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рассмотрения предложений 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отборе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получателей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субсидий для предоставления субсидий организациям жилищно-коммунального хозяйства из бюджета Кондинского района на финансовое обеспечение (возмещение) затрат на приобретение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топливно-энергетических ресурсов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</w:rPr>
        <w:t xml:space="preserve">​​​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жилищно-коммунального хозяйства администрации Кондинского района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риложением 2 «</w:t>
      </w:r>
      <w:r>
        <w:rPr>
          <w:rFonts w:ascii="Times New Roman" w:hAnsi="Times New Roman" w:cs="Times New Roman"/>
          <w:sz w:val="24"/>
          <w:szCs w:val="24"/>
        </w:rPr>
        <w:t xml:space="preserve">Порядок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субсидий организациям ж</w:t>
      </w:r>
      <w:r>
        <w:rPr>
          <w:rFonts w:ascii="Times New Roman" w:hAnsi="Times New Roman" w:cs="Times New Roman"/>
          <w:sz w:val="24"/>
          <w:szCs w:val="24"/>
        </w:rPr>
        <w:t xml:space="preserve">илищно-коммунального хозяйства из бюджета Кондинского района на финансовое обеспечение (возмещение) затрат на приобретение топливно-энергетических ресурсов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 от 04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 xml:space="preserve"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</w:t>
      </w:r>
      <w:r>
        <w:rPr>
          <w:rFonts w:ascii="Times New Roman" w:hAnsi="Times New Roman" w:cs="Times New Roman"/>
          <w:sz w:val="24"/>
          <w:szCs w:val="24"/>
        </w:rPr>
        <w:t xml:space="preserve">ода</w:t>
      </w:r>
      <w:r>
        <w:rPr>
          <w:rFonts w:ascii="Times New Roman" w:hAnsi="Times New Roman" w:cs="Times New Roman"/>
          <w:sz w:val="24"/>
          <w:szCs w:val="24"/>
        </w:rPr>
        <w:t xml:space="preserve"> № 928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Порядков предоставления субсидий организациям жилищно-комму</w:t>
      </w:r>
      <w:r>
        <w:rPr>
          <w:rFonts w:ascii="Times New Roman" w:hAnsi="Times New Roman" w:cs="Times New Roman"/>
          <w:sz w:val="24"/>
          <w:szCs w:val="24"/>
        </w:rPr>
        <w:t xml:space="preserve">нального хозяйства, оказывающим </w:t>
      </w:r>
      <w:r>
        <w:rPr>
          <w:rFonts w:ascii="Times New Roman" w:hAnsi="Times New Roman" w:cs="Times New Roman"/>
          <w:sz w:val="24"/>
          <w:szCs w:val="24"/>
        </w:rPr>
        <w:t xml:space="preserve">услуги теплоснабжения на территории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орядок)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провело отбор </w:t>
      </w:r>
      <w:r>
        <w:rPr>
          <w:rFonts w:ascii="Times New Roman" w:hAnsi="Times New Roman" w:cs="Times New Roman"/>
          <w:sz w:val="24"/>
          <w:szCs w:val="24"/>
        </w:rPr>
        <w:t xml:space="preserve">получателей субсидий для предоставления субсидий организациям жилищно-коммунального хозяйства из бюджета Кондинского района на финансовое обеспечение (возмещение) затрат на приобретение </w:t>
      </w:r>
      <w:r>
        <w:rPr>
          <w:rFonts w:ascii="Times New Roman" w:hAnsi="Times New Roman" w:cs="Times New Roman"/>
          <w:sz w:val="24"/>
          <w:szCs w:val="24"/>
        </w:rPr>
        <w:t xml:space="preserve">топливно-энергетических ресурсов </w:t>
      </w:r>
      <w:r>
        <w:rPr>
          <w:rFonts w:ascii="Times New Roman" w:hAnsi="Times New Roman" w:cs="Times New Roman"/>
        </w:rPr>
        <w:t xml:space="preserve">на цели, указанные в подпункте 1.5.2 пункта 1.5 статьи 1 </w:t>
      </w:r>
      <w:r>
        <w:rPr>
          <w:rFonts w:ascii="Times New Roman" w:hAnsi="Times New Roman" w:cs="Times New Roman"/>
        </w:rPr>
        <w:t xml:space="preserve">П</w:t>
      </w:r>
      <w:r>
        <w:rPr>
          <w:rFonts w:ascii="Times New Roman" w:hAnsi="Times New Roman" w:cs="Times New Roman"/>
        </w:rPr>
        <w:t xml:space="preserve">орядка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</w:p>
    <w:p>
      <w:pPr>
        <w:pStyle w:val="a4"/>
        <w:numPr>
          <w:numId w:val="1"/>
          <w:ilvl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время и место рассмотрения предложений:</w:t>
      </w:r>
    </w:p>
    <w:p>
      <w:pPr>
        <w:pStyle w:val="a4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4"/>
          <w:szCs w:val="24"/>
        </w:rPr>
        <w:t xml:space="preserve">ата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время проведения отбора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08:30 час. </w:t>
      </w:r>
      <w:r>
        <w:rPr>
          <w:rFonts w:ascii="Times New Roman" w:hAnsi="Times New Roman" w:cs="Times New Roman"/>
          <w:sz w:val="24"/>
          <w:szCs w:val="24"/>
        </w:rPr>
        <w:t xml:space="preserve">0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феврал</w:t>
      </w:r>
      <w:r>
        <w:rPr>
          <w:rFonts w:ascii="Times New Roman" w:hAnsi="Times New Roman" w:cs="Times New Roman"/>
          <w:sz w:val="24"/>
          <w:szCs w:val="24"/>
        </w:rPr>
        <w:t xml:space="preserve">я 202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года по 18:00 час </w:t>
      </w:r>
      <w:r>
        <w:rPr>
          <w:rFonts w:ascii="Times New Roman" w:hAnsi="Times New Roman" w:cs="Times New Roman"/>
          <w:sz w:val="24"/>
          <w:szCs w:val="24"/>
        </w:rPr>
        <w:t xml:space="preserve">0</w:t>
      </w: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феврал</w:t>
      </w:r>
      <w:r>
        <w:rPr>
          <w:rFonts w:ascii="Times New Roman" w:hAnsi="Times New Roman" w:cs="Times New Roman"/>
          <w:sz w:val="24"/>
          <w:szCs w:val="24"/>
        </w:rPr>
        <w:t xml:space="preserve">я 202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рассмотрения предложений на участие в отборе:</w:t>
      </w:r>
    </w:p>
    <w:p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жилищно-коммунального хозяйства администрации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расположенное по адресу: </w:t>
      </w:r>
      <w:r>
        <w:rPr>
          <w:rFonts w:ascii="Times New Roman" w:hAnsi="Times New Roman" w:cs="Times New Roman"/>
          <w:sz w:val="24"/>
          <w:szCs w:val="24"/>
        </w:rPr>
        <w:t xml:space="preserve">ул. Титова, д. 17, </w:t>
      </w:r>
      <w:r>
        <w:rPr>
          <w:rFonts w:ascii="Times New Roman" w:hAnsi="Times New Roman" w:cs="Times New Roman"/>
          <w:sz w:val="24"/>
          <w:szCs w:val="24"/>
        </w:rPr>
        <w:t xml:space="preserve">пгт</w:t>
      </w:r>
      <w:r>
        <w:rPr>
          <w:rFonts w:ascii="Times New Roman" w:hAnsi="Times New Roman" w:cs="Times New Roman"/>
          <w:sz w:val="24"/>
          <w:szCs w:val="24"/>
        </w:rPr>
        <w:t xml:space="preserve">. Междуреченский, Кондинский район, Ханты-Мансийский автономный округ – Югра, Тюменская область, 628200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a4"/>
        <w:numPr>
          <w:numId w:val="1"/>
          <w:ilvl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заявителях, предложения которых рассмотрены:</w:t>
      </w:r>
    </w:p>
    <w:p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67" w:type="dxa"/>
        <w:jc w:val="center"/>
        <w:tblLook w:val="04A0" w:firstRow="1" w:lastRow="0" w:firstColumn="1" w:lastColumn="0" w:noHBand="0" w:noVBand="1"/>
      </w:tblPr>
      <w:tblGrid>
        <w:gridCol w:w="8086"/>
        <w:gridCol w:w="2681"/>
      </w:tblGrid>
      <w:tr>
        <w:trPr>
          <w:jc w:val="center"/>
        </w:trPr>
        <w:tc>
          <w:tcPr>
            <w:tcW w:w="8086" w:type="dxa"/>
            <w:vAlign w:val="center"/>
          </w:tcPr>
          <w:p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заявителя</w:t>
            </w:r>
          </w:p>
        </w:tc>
        <w:tc>
          <w:tcPr>
            <w:tcW w:w="2681" w:type="dxa"/>
            <w:vAlign w:val="center"/>
          </w:tcPr>
          <w:p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подачи </w:t>
            </w:r>
            <w:r>
              <w:rPr>
                <w:rFonts w:ascii="Times New Roman" w:hAnsi="Times New Roman" w:cs="Times New Roman"/>
              </w:rPr>
              <w:t xml:space="preserve">предложения, документов</w:t>
            </w:r>
          </w:p>
        </w:tc>
      </w:tr>
      <w:tr>
        <w:trPr>
          <w:jc w:val="center"/>
        </w:trPr>
        <w:tc>
          <w:tcPr>
            <w:tcW w:w="8086" w:type="dxa"/>
            <w:vAlign w:val="center"/>
          </w:tcPr>
          <w:p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СК «Лидер»</w:t>
            </w:r>
          </w:p>
        </w:tc>
        <w:tc>
          <w:tcPr>
            <w:tcW w:w="2681" w:type="dxa"/>
            <w:vAlign w:val="center"/>
          </w:tcPr>
          <w:p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</w:t>
            </w:r>
            <w:r>
              <w:rPr>
                <w:rFonts w:ascii="Times New Roman" w:hAnsi="Times New Roman" w:cs="Times New Roman"/>
              </w:rPr>
              <w:t xml:space="preserve">.0</w:t>
            </w: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.202</w:t>
            </w:r>
            <w:r>
              <w:rPr>
                <w:rFonts w:ascii="Times New Roman" w:hAnsi="Times New Roman" w:cs="Times New Roman"/>
              </w:rPr>
              <w:t xml:space="preserve">4</w:t>
            </w:r>
          </w:p>
        </w:tc>
      </w:tr>
      <w:tr>
        <w:trPr>
          <w:jc w:val="center"/>
        </w:trPr>
        <w:tc>
          <w:tcPr>
            <w:tcW w:w="8086" w:type="dxa"/>
            <w:vAlign w:val="center"/>
          </w:tcPr>
          <w:p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«Мобильный мир»</w:t>
            </w:r>
          </w:p>
        </w:tc>
        <w:tc>
          <w:tcPr>
            <w:tcW w:w="2681" w:type="dxa"/>
            <w:vAlign w:val="center"/>
          </w:tcPr>
          <w:p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</w:t>
            </w:r>
            <w:r>
              <w:rPr>
                <w:rFonts w:ascii="Times New Roman" w:hAnsi="Times New Roman" w:cs="Times New Roman"/>
              </w:rPr>
              <w:t xml:space="preserve">.0</w:t>
            </w:r>
            <w:r>
              <w:rPr>
                <w:rFonts w:ascii="Times New Roman" w:hAnsi="Times New Roman" w:cs="Times New Roman"/>
              </w:rPr>
              <w:t xml:space="preserve">2.2024</w:t>
            </w:r>
          </w:p>
        </w:tc>
      </w:tr>
      <w:tr>
        <w:trPr>
          <w:jc w:val="center"/>
        </w:trPr>
        <w:tc>
          <w:tcPr>
            <w:tcW w:w="8086" w:type="dxa"/>
            <w:vAlign w:val="center"/>
          </w:tcPr>
          <w:p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«Комплекс коммунальных платежей»</w:t>
            </w:r>
          </w:p>
        </w:tc>
        <w:tc>
          <w:tcPr>
            <w:tcW w:w="2681" w:type="dxa"/>
            <w:vAlign w:val="center"/>
          </w:tcPr>
          <w:p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</w:t>
            </w:r>
            <w:r>
              <w:rPr>
                <w:rFonts w:ascii="Times New Roman" w:hAnsi="Times New Roman" w:cs="Times New Roman"/>
              </w:rPr>
              <w:t xml:space="preserve">.0</w:t>
            </w:r>
            <w:r>
              <w:rPr>
                <w:rFonts w:ascii="Times New Roman" w:hAnsi="Times New Roman" w:cs="Times New Roman"/>
              </w:rPr>
              <w:t xml:space="preserve">2.2024</w:t>
            </w:r>
          </w:p>
        </w:tc>
      </w:tr>
      <w:tr>
        <w:trPr>
          <w:jc w:val="center"/>
        </w:trPr>
        <w:tc>
          <w:tcPr>
            <w:tcW w:w="8086" w:type="dxa"/>
            <w:vAlign w:val="center"/>
          </w:tcPr>
          <w:p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«</w:t>
            </w:r>
            <w:r>
              <w:rPr>
                <w:rFonts w:ascii="Times New Roman" w:hAnsi="Times New Roman" w:cs="Times New Roman"/>
              </w:rPr>
              <w:t xml:space="preserve">Теплотехсервис</w:t>
            </w:r>
            <w:r>
              <w:rPr>
                <w:rFonts w:ascii="Times New Roman" w:hAnsi="Times New Roman" w:cs="Times New Roman"/>
              </w:rPr>
              <w:t xml:space="preserve">»</w:t>
            </w:r>
          </w:p>
        </w:tc>
        <w:tc>
          <w:tcPr>
            <w:tcW w:w="2681" w:type="dxa"/>
            <w:vAlign w:val="center"/>
          </w:tcPr>
          <w:p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</w:t>
            </w:r>
            <w:r>
              <w:rPr>
                <w:rFonts w:ascii="Times New Roman" w:hAnsi="Times New Roman" w:cs="Times New Roman"/>
              </w:rPr>
              <w:t xml:space="preserve">.0</w:t>
            </w: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.202</w:t>
            </w:r>
            <w:r>
              <w:rPr>
                <w:rFonts w:ascii="Times New Roman" w:hAnsi="Times New Roman" w:cs="Times New Roman"/>
              </w:rPr>
              <w:t xml:space="preserve">4</w:t>
            </w:r>
          </w:p>
        </w:tc>
      </w:tr>
    </w:tbl>
    <w:p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a4"/>
        <w:numPr>
          <w:numId w:val="1"/>
          <w:ilvl w:val="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заявителях, предложения которых отклонены, с указанием причин их отклонения, в том числе положений объявления о проведении Отбора, которым не соответствуют такие предложения:</w:t>
      </w:r>
    </w:p>
    <w:p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для отклонения предложений на стадии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предложений по основаниям, предусмотренным пунктом 2.</w:t>
      </w:r>
      <w:r>
        <w:rPr>
          <w:rFonts w:ascii="Times New Roman" w:hAnsi="Times New Roman" w:cs="Times New Roman"/>
          <w:sz w:val="24"/>
          <w:szCs w:val="24"/>
        </w:rPr>
        <w:t xml:space="preserve">11</w:t>
      </w:r>
      <w:r>
        <w:rPr>
          <w:rFonts w:ascii="Times New Roman" w:hAnsi="Times New Roman" w:cs="Times New Roman"/>
          <w:sz w:val="24"/>
          <w:szCs w:val="24"/>
        </w:rPr>
        <w:t xml:space="preserve"> статьи 2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орядка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>
      <w:pPr>
        <w:pStyle w:val="a4"/>
        <w:numPr>
          <w:numId w:val="1"/>
          <w:ilvl w:val="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заявителей,</w:t>
      </w:r>
      <w:r>
        <w:rPr>
          <w:rFonts w:ascii="Times New Roman" w:hAnsi="Times New Roman" w:cs="Times New Roman"/>
          <w:sz w:val="24"/>
          <w:szCs w:val="24"/>
        </w:rPr>
        <w:t xml:space="preserve"> с которыми заключаются договоры о предоставлении субсидий, размер предоставляемой субсидии</w:t>
      </w:r>
      <w:r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 по данному виду субсидии на соответствующий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8080"/>
        <w:gridCol w:w="2552"/>
      </w:tblGrid>
      <w:tr>
        <w:tc>
          <w:tcPr>
            <w:tcW w:w="8080" w:type="dxa"/>
            <w:vAlign w:val="center"/>
          </w:tcPr>
          <w:p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заявителя</w:t>
            </w:r>
          </w:p>
        </w:tc>
        <w:tc>
          <w:tcPr>
            <w:tcW w:w="2552" w:type="dxa"/>
            <w:vAlign w:val="center"/>
          </w:tcPr>
          <w:p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субсидии, рублей</w:t>
            </w:r>
          </w:p>
        </w:tc>
      </w:tr>
      <w:tr>
        <w:tc>
          <w:tcPr>
            <w:tcW w:w="8080" w:type="dxa"/>
            <w:vAlign w:val="center"/>
          </w:tcPr>
          <w:p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СК «Лидер»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</w:p>
        </w:tc>
      </w:tr>
      <w:tr>
        <w:tc>
          <w:tcPr>
            <w:tcW w:w="8080" w:type="dxa"/>
            <w:vAlign w:val="center"/>
          </w:tcPr>
          <w:p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«Мобильный мир»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1 951 145,99</w:t>
            </w:r>
          </w:p>
        </w:tc>
      </w:tr>
      <w:tr>
        <w:tc>
          <w:tcPr>
            <w:tcW w:w="8080" w:type="dxa"/>
            <w:vAlign w:val="center"/>
          </w:tcPr>
          <w:p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«Комплекс коммунальных платежей»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</w:p>
        </w:tc>
      </w:tr>
      <w:tr>
        <w:trPr>
          <w:trHeight w:val="274"/>
        </w:trPr>
        <w:tc>
          <w:tcPr>
            <w:tcW w:w="8080" w:type="dxa"/>
            <w:vAlign w:val="center"/>
          </w:tcPr>
          <w:p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«</w:t>
            </w:r>
            <w:r>
              <w:rPr>
                <w:rFonts w:ascii="Times New Roman" w:hAnsi="Times New Roman" w:cs="Times New Roman"/>
              </w:rPr>
              <w:t xml:space="preserve">Теплотехсервис</w:t>
            </w:r>
            <w:r>
              <w:rPr>
                <w:rFonts w:ascii="Times New Roman" w:hAnsi="Times New Roman" w:cs="Times New Roman"/>
              </w:rPr>
              <w:t xml:space="preserve">»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7 186 154,01</w:t>
            </w:r>
          </w:p>
        </w:tc>
      </w:tr>
      <w:bookmarkEnd w:id="0"/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haracters>2485</Characters>
  <CharactersWithSpaces>2915</CharactersWithSpaces>
  <Company/>
  <DocSecurity>0</DocSecurity>
  <HyperlinksChanged>false</HyperlinksChanged>
  <Lines>20</Lines>
  <LinksUpToDate>false</LinksUpToDate>
  <Pages>1</Pages>
  <Paragraphs>5</Paragraphs>
  <ScaleCrop>false</ScaleCrop>
  <SharedDoc>false</SharedDoc>
  <Template>Normal.dotm</Template>
  <TotalTime>1</TotalTime>
  <Words>435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Модлая Елизавета Евгеньевна</dc:creator>
  <cp:keywords/>
  <dc:description/>
  <cp:lastModifiedBy>Жеребцова Мария Юрьевна</cp:lastModifiedBy>
  <cp:revision>2</cp:revision>
  <cp:lastPrinted>2024-03-06T05:52:00Z</cp:lastPrinted>
  <dcterms:created xsi:type="dcterms:W3CDTF">2024-03-13T09:00:00Z</dcterms:created>
  <dcterms:modified xsi:type="dcterms:W3CDTF">2024-03-13T09:00:00Z</dcterms:modified>
</cp:coreProperties>
</file>