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7F" w:rsidRDefault="00095E7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95E7F" w:rsidRDefault="00095E7F">
      <w:pPr>
        <w:pStyle w:val="ConsPlusNormal"/>
        <w:jc w:val="both"/>
        <w:outlineLvl w:val="0"/>
      </w:pPr>
    </w:p>
    <w:p w:rsidR="00095E7F" w:rsidRDefault="00095E7F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095E7F" w:rsidRDefault="00095E7F">
      <w:pPr>
        <w:pStyle w:val="ConsPlusTitle"/>
        <w:jc w:val="center"/>
      </w:pPr>
    </w:p>
    <w:p w:rsidR="00095E7F" w:rsidRDefault="00095E7F">
      <w:pPr>
        <w:pStyle w:val="ConsPlusTitle"/>
        <w:jc w:val="center"/>
      </w:pPr>
      <w:r>
        <w:t>ПОСТАНОВЛЕНИЕ</w:t>
      </w:r>
    </w:p>
    <w:p w:rsidR="00095E7F" w:rsidRDefault="00095E7F">
      <w:pPr>
        <w:pStyle w:val="ConsPlusTitle"/>
        <w:jc w:val="center"/>
      </w:pPr>
      <w:r>
        <w:t>от 6 сентября 2016 г. N 108</w:t>
      </w:r>
    </w:p>
    <w:p w:rsidR="00095E7F" w:rsidRDefault="00095E7F">
      <w:pPr>
        <w:pStyle w:val="ConsPlusTitle"/>
        <w:jc w:val="center"/>
      </w:pPr>
    </w:p>
    <w:p w:rsidR="00095E7F" w:rsidRDefault="00095E7F">
      <w:pPr>
        <w:pStyle w:val="ConsPlusTitle"/>
        <w:jc w:val="center"/>
      </w:pPr>
      <w:r>
        <w:t>О ПОРЯДКЕ ВЗАИМОДЕЙСТВИЯ ДОЛЖНОСТНЫХ ЛИЦ ИСПОЛНИТЕЛЬНЫХ</w:t>
      </w:r>
    </w:p>
    <w:p w:rsidR="00095E7F" w:rsidRDefault="00095E7F">
      <w:pPr>
        <w:pStyle w:val="ConsPlusTitle"/>
        <w:jc w:val="center"/>
      </w:pPr>
      <w:r>
        <w:t>ОРГАНОВ ГОСУДАРСТВЕННОЙ ВЛАСТИ ХАНТЫ-МАНСИЙСКОГО АВТОНОМНОГО</w:t>
      </w:r>
    </w:p>
    <w:p w:rsidR="00095E7F" w:rsidRDefault="00095E7F">
      <w:pPr>
        <w:pStyle w:val="ConsPlusTitle"/>
        <w:jc w:val="center"/>
      </w:pPr>
      <w:r>
        <w:t>ОКРУГА - ЮГРЫ И ОРГАНИЗАЦИЙ ПРИ ПОДГОТОВКЕ И ПРОВЕДЕНИИ</w:t>
      </w:r>
    </w:p>
    <w:p w:rsidR="00095E7F" w:rsidRDefault="00095E7F">
      <w:pPr>
        <w:pStyle w:val="ConsPlusTitle"/>
        <w:jc w:val="center"/>
      </w:pPr>
      <w:r>
        <w:t>ТУРИСТИЧЕСКОГО ПОХОДА, ЭКСПЕДИЦИИ, ЭКСКУРСИИ С УЧАСТИЕМ</w:t>
      </w:r>
    </w:p>
    <w:p w:rsidR="00095E7F" w:rsidRDefault="00095E7F">
      <w:pPr>
        <w:pStyle w:val="ConsPlusTitle"/>
        <w:jc w:val="center"/>
      </w:pPr>
      <w:r>
        <w:t>НЕСОВЕРШЕННОЛЕТНИХ В ХАНТЫ-МАНСИЙСКОМ АВТОНОМНОМ ОКРУГЕ -</w:t>
      </w:r>
    </w:p>
    <w:p w:rsidR="00095E7F" w:rsidRDefault="00095E7F">
      <w:pPr>
        <w:pStyle w:val="ConsPlusTitle"/>
        <w:jc w:val="center"/>
      </w:pPr>
      <w:r>
        <w:t>ЮГРЕ И ЗА ЕГО ПРЕДЕЛАМИ</w:t>
      </w:r>
    </w:p>
    <w:p w:rsidR="00095E7F" w:rsidRDefault="00095E7F">
      <w:pPr>
        <w:pStyle w:val="ConsPlusNormal"/>
        <w:jc w:val="both"/>
      </w:pPr>
    </w:p>
    <w:p w:rsidR="00095E7F" w:rsidRDefault="00095E7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февраля 2003 года N 14-оз "О нормативных правовых актах Ханты-Мансийского автономного округа - Югры", в целях обеспечения комплексной безопасности при подготовке и проведении туристических походов, экспедиций, экскурсий с участием несовершеннолетних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и за его пределами постановляю: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взаимодействия должностных лиц исполнительных органов государственной власти Ханты-Мансийского автономного округа - Югры и организаций при подготовке и проведении туристического похода, экспедиции, экскурсии с участием несовершеннолетних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и за его пределами (далее - Порядок).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городских округов и муниципальных районов Ханты-Мансийского автономного округа - Югры, организациям, независимо от ведомственной принадлежности, организационно-правовой формы и формы собственности, руководствоваться </w:t>
      </w:r>
      <w:hyperlink w:anchor="P32" w:history="1">
        <w:r>
          <w:rPr>
            <w:color w:val="0000FF"/>
          </w:rPr>
          <w:t>Порядком</w:t>
        </w:r>
      </w:hyperlink>
      <w:r>
        <w:t xml:space="preserve"> при подготовке и проведении туристического похода, экспедиции, экскурсии с участием несовершеннолетних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и за его пределами.</w:t>
      </w:r>
    </w:p>
    <w:p w:rsidR="00095E7F" w:rsidRDefault="00095E7F">
      <w:pPr>
        <w:pStyle w:val="ConsPlusNormal"/>
        <w:jc w:val="both"/>
      </w:pPr>
    </w:p>
    <w:p w:rsidR="00095E7F" w:rsidRDefault="00095E7F">
      <w:pPr>
        <w:pStyle w:val="ConsPlusNormal"/>
        <w:jc w:val="right"/>
      </w:pPr>
      <w:r>
        <w:t>Губернатор</w:t>
      </w:r>
    </w:p>
    <w:p w:rsidR="00095E7F" w:rsidRDefault="00095E7F">
      <w:pPr>
        <w:pStyle w:val="ConsPlusNormal"/>
        <w:jc w:val="right"/>
      </w:pPr>
      <w:r>
        <w:t>Ханты-Мансийского</w:t>
      </w:r>
    </w:p>
    <w:p w:rsidR="00095E7F" w:rsidRDefault="00095E7F">
      <w:pPr>
        <w:pStyle w:val="ConsPlusNormal"/>
        <w:jc w:val="right"/>
      </w:pPr>
      <w:r>
        <w:t>автономного округа - Югры</w:t>
      </w:r>
    </w:p>
    <w:p w:rsidR="00095E7F" w:rsidRDefault="00095E7F">
      <w:pPr>
        <w:pStyle w:val="ConsPlusNormal"/>
        <w:jc w:val="right"/>
      </w:pPr>
      <w:r>
        <w:t>Н.В.КОМАРОВА</w:t>
      </w:r>
    </w:p>
    <w:p w:rsidR="00095E7F" w:rsidRDefault="00095E7F">
      <w:pPr>
        <w:pStyle w:val="ConsPlusNormal"/>
        <w:jc w:val="both"/>
      </w:pPr>
    </w:p>
    <w:p w:rsidR="00095E7F" w:rsidRDefault="00095E7F">
      <w:pPr>
        <w:pStyle w:val="ConsPlusNormal"/>
        <w:jc w:val="both"/>
      </w:pPr>
    </w:p>
    <w:p w:rsidR="00095E7F" w:rsidRDefault="00095E7F">
      <w:pPr>
        <w:pStyle w:val="ConsPlusNormal"/>
        <w:jc w:val="both"/>
      </w:pPr>
    </w:p>
    <w:p w:rsidR="00095E7F" w:rsidRDefault="00095E7F">
      <w:pPr>
        <w:pStyle w:val="ConsPlusNormal"/>
        <w:jc w:val="both"/>
      </w:pPr>
    </w:p>
    <w:p w:rsidR="00095E7F" w:rsidRDefault="00095E7F">
      <w:pPr>
        <w:pStyle w:val="ConsPlusNormal"/>
        <w:jc w:val="both"/>
      </w:pPr>
    </w:p>
    <w:p w:rsidR="00095E7F" w:rsidRDefault="00095E7F">
      <w:pPr>
        <w:pStyle w:val="ConsPlusNormal"/>
        <w:jc w:val="right"/>
        <w:outlineLvl w:val="0"/>
      </w:pPr>
      <w:r>
        <w:t>Приложение</w:t>
      </w:r>
    </w:p>
    <w:p w:rsidR="00095E7F" w:rsidRDefault="00095E7F">
      <w:pPr>
        <w:pStyle w:val="ConsPlusNormal"/>
        <w:jc w:val="right"/>
      </w:pPr>
      <w:r>
        <w:t>к постановлению Губернатора</w:t>
      </w:r>
    </w:p>
    <w:p w:rsidR="00095E7F" w:rsidRDefault="00095E7F">
      <w:pPr>
        <w:pStyle w:val="ConsPlusNormal"/>
        <w:jc w:val="right"/>
      </w:pPr>
      <w:r>
        <w:t>Ханты-Мансийского</w:t>
      </w:r>
    </w:p>
    <w:p w:rsidR="00095E7F" w:rsidRDefault="00095E7F">
      <w:pPr>
        <w:pStyle w:val="ConsPlusNormal"/>
        <w:jc w:val="right"/>
      </w:pPr>
      <w:r>
        <w:t>автономного округа - Югры</w:t>
      </w:r>
    </w:p>
    <w:p w:rsidR="00095E7F" w:rsidRDefault="00095E7F">
      <w:pPr>
        <w:pStyle w:val="ConsPlusNormal"/>
        <w:jc w:val="right"/>
      </w:pPr>
      <w:r>
        <w:t>от 6 сентября 2016 года N 108</w:t>
      </w:r>
    </w:p>
    <w:p w:rsidR="00095E7F" w:rsidRDefault="00095E7F">
      <w:pPr>
        <w:pStyle w:val="ConsPlusNormal"/>
        <w:jc w:val="both"/>
      </w:pPr>
    </w:p>
    <w:p w:rsidR="00095E7F" w:rsidRDefault="00095E7F">
      <w:pPr>
        <w:pStyle w:val="ConsPlusTitle"/>
        <w:jc w:val="center"/>
      </w:pPr>
      <w:bookmarkStart w:id="0" w:name="P32"/>
      <w:bookmarkEnd w:id="0"/>
      <w:r>
        <w:t>ПОРЯДОК</w:t>
      </w:r>
    </w:p>
    <w:p w:rsidR="00095E7F" w:rsidRDefault="00095E7F">
      <w:pPr>
        <w:pStyle w:val="ConsPlusTitle"/>
        <w:jc w:val="center"/>
      </w:pPr>
      <w:r>
        <w:t>ВЗАИМОДЕЙСТВИЯ ДОЛЖНОСТНЫХ ЛИЦ ИСПОЛНИТЕЛЬНЫХ ОРГАНОВ</w:t>
      </w:r>
    </w:p>
    <w:p w:rsidR="00095E7F" w:rsidRDefault="00095E7F">
      <w:pPr>
        <w:pStyle w:val="ConsPlusTitle"/>
        <w:jc w:val="center"/>
      </w:pPr>
      <w:r>
        <w:t>ГОСУДАРСТВЕННОЙ ВЛАСТИ ХАНТЫ-МАНСИЙСКОГО АВТОНОМНОГО ОКРУГА</w:t>
      </w:r>
    </w:p>
    <w:p w:rsidR="00095E7F" w:rsidRDefault="00095E7F">
      <w:pPr>
        <w:pStyle w:val="ConsPlusTitle"/>
        <w:jc w:val="center"/>
      </w:pPr>
      <w:r>
        <w:t>- ЮГРЫ И ОРГАНИЗАЦИЙ ПРИ ПОДГОТОВКЕ И ПРОВЕДЕНИИ</w:t>
      </w:r>
    </w:p>
    <w:p w:rsidR="00095E7F" w:rsidRDefault="00095E7F">
      <w:pPr>
        <w:pStyle w:val="ConsPlusTitle"/>
        <w:jc w:val="center"/>
      </w:pPr>
      <w:r>
        <w:t>ТУРИСТИЧЕСКОГО ПОХОДА, ЭКСПЕДИЦИИ, ЭКСКУРСИИ С УЧАСТИЕМ</w:t>
      </w:r>
    </w:p>
    <w:p w:rsidR="00095E7F" w:rsidRDefault="00095E7F">
      <w:pPr>
        <w:pStyle w:val="ConsPlusTitle"/>
        <w:jc w:val="center"/>
      </w:pPr>
      <w:r>
        <w:lastRenderedPageBreak/>
        <w:t>НЕСОВЕРШЕННОЛЕТНИХ В ХАНТЫ-МАНСИЙСКОМ АВТОНОМНОМ ОКРУГЕ -</w:t>
      </w:r>
    </w:p>
    <w:p w:rsidR="00095E7F" w:rsidRDefault="00095E7F">
      <w:pPr>
        <w:pStyle w:val="ConsPlusTitle"/>
        <w:jc w:val="center"/>
      </w:pPr>
      <w:r>
        <w:t>ЮГРЕ И ЗА ЕГО ПРЕДЕЛАМИ</w:t>
      </w:r>
    </w:p>
    <w:p w:rsidR="00095E7F" w:rsidRDefault="00095E7F">
      <w:pPr>
        <w:pStyle w:val="ConsPlusTitle"/>
        <w:jc w:val="center"/>
      </w:pPr>
      <w:r>
        <w:t>(ДАЛЕЕ - ПОРЯДОК)</w:t>
      </w:r>
    </w:p>
    <w:p w:rsidR="00095E7F" w:rsidRDefault="00095E7F">
      <w:pPr>
        <w:pStyle w:val="ConsPlusNormal"/>
        <w:jc w:val="both"/>
      </w:pPr>
    </w:p>
    <w:p w:rsidR="00095E7F" w:rsidRDefault="00095E7F">
      <w:pPr>
        <w:pStyle w:val="ConsPlusNormal"/>
        <w:ind w:firstLine="540"/>
        <w:jc w:val="both"/>
      </w:pPr>
      <w:r>
        <w:t xml:space="preserve">1. Руководитель организации, проводящей туристический поход, экспедицию, экскурсию с участием несовершеннолетних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и за его пределами (далее - туристическое мероприятие), независимо от ведомственной принадлежности, организационно-правовой формы и формы собственности, действующей в Ханты-Мансийском автономном округе - Югре (далее - автономный округ, организация), перед проведением туристического мероприятия: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назначает лиц, ответственных за организацию туристического мероприятия, в том числе сопровождающих группу несовершеннолетних в период его проведения (далее - сопровождающие);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определяет: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цели, задачи, тему туристического мероприятия;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место и период продолжительности туристического мероприятия;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персональный состав группы несовершеннолетних с указанием фамилий, имен, отчеств, возраста, контактных данных их законных представителей (после получения организацией письменного согласия родителей (законных представителей) несовершеннолетних и оформления медицинского допуска на участие несовершеннолетних в туристическом мероприятии);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маршрут движения группы несовершеннолетних (далее - маршрут) с учетом безопасности передвижения, по возможности с предварительным обследованием местности или объекта, по которому пролегает такой маршрут, на предмет соответствия его требованиям безопасности.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2. Сопровождающие: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имеют среднее специальное или высшее педагогическое образование, опыт работы с детьми не менее 1 года;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владеют знаниями о требованиях безопасности в местах проведения туристических мероприятий (лесной массив, водные объекты и др.), приемами и способами спасения людей, оказания первой доврачебной помощи пострадавшим;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имеют необходимую экипировку и средства связи, позволяющие связаться со спасательными службами в случае возникновения чрезвычайной ситуации.</w:t>
      </w:r>
    </w:p>
    <w:p w:rsidR="00095E7F" w:rsidRDefault="00095E7F">
      <w:pPr>
        <w:pStyle w:val="ConsPlusNormal"/>
        <w:spacing w:before="220"/>
        <w:ind w:firstLine="540"/>
        <w:jc w:val="both"/>
      </w:pPr>
      <w:bookmarkStart w:id="1" w:name="P52"/>
      <w:bookmarkEnd w:id="1"/>
      <w:r>
        <w:t>3. Руководитель организации не позднее 10 календарных дней до начала туристического мероприятия информирует о маршруте:</w:t>
      </w:r>
    </w:p>
    <w:p w:rsidR="00095E7F" w:rsidRDefault="00095E7F">
      <w:pPr>
        <w:pStyle w:val="ConsPlusNormal"/>
        <w:spacing w:before="220"/>
        <w:ind w:firstLine="540"/>
        <w:jc w:val="both"/>
      </w:pPr>
      <w:proofErr w:type="gramStart"/>
      <w:r>
        <w:t>единую дежурно-диспетчерскую службу по телефону 112, которая незамедлительно письменно уведомляет федеральное казенное учреждение "Центр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России по Ханты-Мансийскому автономному округу - Югре", казенное учреждение Ханты-Мансийского автономного округа - Югры "Центроспас-Югория" для обеспечения готовности сил и средств к реагированию при возникновении чрезвычайной ситуации;</w:t>
      </w:r>
      <w:proofErr w:type="gramEnd"/>
    </w:p>
    <w:p w:rsidR="00095E7F" w:rsidRDefault="00095E7F">
      <w:pPr>
        <w:pStyle w:val="ConsPlusNormal"/>
        <w:spacing w:before="220"/>
        <w:ind w:firstLine="540"/>
        <w:jc w:val="both"/>
      </w:pPr>
      <w:r>
        <w:t>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 - Югре, на территории которого пролегает маршрут туристического мероприятия;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lastRenderedPageBreak/>
        <w:t>территориальный отдел Управления Министерства внутренних дел Российской Федерации по Ханты-Мансийскому автономному округу - Югре, на территории которого пролегает маршрут туристического мероприятия;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соответствующую муниципальную межведомственную комиссию по организации отдыха, оздоровления, занятости детей и молодежи Ханты-Мансийского автономного округа - Югры;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 xml:space="preserve">исполнительный орган государственной власти автономного округа, в ведении которого находится организация (далее также - исполнительный орган), по установленной форме </w:t>
      </w:r>
      <w:hyperlink w:anchor="P78" w:history="1">
        <w:r>
          <w:rPr>
            <w:color w:val="0000FF"/>
          </w:rPr>
          <w:t>(Таблица)</w:t>
        </w:r>
      </w:hyperlink>
      <w:r>
        <w:t>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 xml:space="preserve">Департамент социального развития автономного округа - в случае, если организация не является подведомственным учреждением исполнительного органа, по установленной форме </w:t>
      </w:r>
      <w:hyperlink w:anchor="P78" w:history="1">
        <w:r>
          <w:rPr>
            <w:color w:val="0000FF"/>
          </w:rPr>
          <w:t>(Таблица)</w:t>
        </w:r>
      </w:hyperlink>
      <w:r>
        <w:t>.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4. При проведении туристического мероприятия за пределами автономного округа руководитель организации не позднее 10 календарных дней до его начала письменно уведомляет о маршруте: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России по Ханты-Мансийскому автономному округу - Югре для доведения указанной информации до Главного управления Министерства Российской Федерации по делам гражданской обороны, чрезвычайным ситуациям и ликвидации </w:t>
      </w:r>
      <w:proofErr w:type="gramStart"/>
      <w:r>
        <w:t>последствий стихийных бедствий России соответствующего субъекта Российской Федерации</w:t>
      </w:r>
      <w:proofErr w:type="gramEnd"/>
      <w:r>
        <w:t>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федеральное казенное учреждение "Центр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России по Ханты-Мансийскому автономному округу - Югре";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 xml:space="preserve">исполнительный орган, по установленной форме </w:t>
      </w:r>
      <w:hyperlink w:anchor="P78" w:history="1">
        <w:r>
          <w:rPr>
            <w:color w:val="0000FF"/>
          </w:rPr>
          <w:t>(Таблица)</w:t>
        </w:r>
      </w:hyperlink>
      <w:r>
        <w:t>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 xml:space="preserve">Департамент социального развития автономного округа - в случае, если организация не является подведомственным учреждением исполнительного органа, по установленной форме </w:t>
      </w:r>
      <w:hyperlink w:anchor="P78" w:history="1">
        <w:r>
          <w:rPr>
            <w:color w:val="0000FF"/>
          </w:rPr>
          <w:t>(Таблица)</w:t>
        </w:r>
      </w:hyperlink>
      <w:r>
        <w:t>.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 xml:space="preserve">5. По окончании туристического мероприятия руководитель организации в течение 1 календарного дня информирует о его завершении уполномоченные органы и организации, указанные в </w:t>
      </w:r>
      <w:hyperlink w:anchor="P52" w:history="1">
        <w:r>
          <w:rPr>
            <w:color w:val="0000FF"/>
          </w:rPr>
          <w:t>пункте 3</w:t>
        </w:r>
      </w:hyperlink>
      <w:r>
        <w:t xml:space="preserve"> Порядка.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6. Сопровождающий в случае: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6.1. Возникновения чрезвычайной ситуации при проведении туристического мероприятия, в том числе самовольного ухода или пропажи несовершеннолетнего, группы несовершеннолетних, возникновения угрозы жизни и здоровью несовершеннолетнего или группы несовершеннолетних, неблагоприятных погодных условий в районе маршрута туристического мероприятия незамедлительно: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обращается в единую дежурно-диспетчерскую службу по телефону 112;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оповещает руководителя организации.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6.2. Незапланированного изменения маршрута туристического мероприятия незамедлительно обращается в единую дежурно-диспетчерскую службу по телефону 112.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lastRenderedPageBreak/>
        <w:t>7. В случае возникновения чрезвычайной ситуации: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 xml:space="preserve">8.1. </w:t>
      </w:r>
      <w:proofErr w:type="gramStart"/>
      <w:r>
        <w:t>Руководитель организации, являющейся подведомственным учреждением исполнительного органа, незамедлительно информирует об этом руководителя исполнительного органа, лицо, его замещающее, и директора Департамента социального развития автономного округа.</w:t>
      </w:r>
      <w:proofErr w:type="gramEnd"/>
    </w:p>
    <w:p w:rsidR="00095E7F" w:rsidRDefault="00095E7F">
      <w:pPr>
        <w:pStyle w:val="ConsPlusNormal"/>
        <w:spacing w:before="220"/>
        <w:ind w:firstLine="540"/>
        <w:jc w:val="both"/>
      </w:pPr>
      <w:r>
        <w:t xml:space="preserve">8.2. </w:t>
      </w:r>
      <w:proofErr w:type="gramStart"/>
      <w:r>
        <w:t>Руководитель организации, не являющейся подведомственным учреждением исполнительного органа, незамедлительно информирует председателя соответствующей муниципальной межведомственной комиссии по организации отдыха, оздоровления, занятости детей и молодежи и директора Департамента социального развития автономного округа.</w:t>
      </w:r>
      <w:proofErr w:type="gramEnd"/>
    </w:p>
    <w:p w:rsidR="00095E7F" w:rsidRDefault="00095E7F">
      <w:pPr>
        <w:pStyle w:val="ConsPlusNormal"/>
        <w:spacing w:before="220"/>
        <w:ind w:firstLine="540"/>
        <w:jc w:val="both"/>
      </w:pPr>
      <w:r>
        <w:t>9. Руководитель исполнительного органа незамедлительно информирует о возникновении чрезвычайной ситуации заместителя Губернатора автономного округа, в ведении которого находится исполнительный орган.</w:t>
      </w:r>
    </w:p>
    <w:p w:rsidR="00095E7F" w:rsidRDefault="00095E7F">
      <w:pPr>
        <w:pStyle w:val="ConsPlusNormal"/>
        <w:spacing w:before="220"/>
        <w:ind w:firstLine="540"/>
        <w:jc w:val="both"/>
      </w:pPr>
      <w:r>
        <w:t>10. Директор Департамента социального развития автономного округа незамедлительно информирует о возникновении чрезвычайной ситуации заместителя Губернатора автономного округа, в ведении которого находится Департамент социального развития автономного округа, - председателя межведомственной комиссии по организации отдыха, оздоровления, занятости детей и молодежи Ханты-Мансийского автономного округа - Югры.</w:t>
      </w:r>
    </w:p>
    <w:p w:rsidR="00095E7F" w:rsidRDefault="00095E7F">
      <w:pPr>
        <w:pStyle w:val="ConsPlusNormal"/>
        <w:jc w:val="both"/>
      </w:pPr>
    </w:p>
    <w:p w:rsidR="00095E7F" w:rsidRDefault="00095E7F">
      <w:pPr>
        <w:pStyle w:val="ConsPlusNormal"/>
        <w:jc w:val="right"/>
        <w:outlineLvl w:val="1"/>
      </w:pPr>
      <w:r>
        <w:t>Таблица</w:t>
      </w:r>
    </w:p>
    <w:p w:rsidR="00095E7F" w:rsidRDefault="00095E7F">
      <w:pPr>
        <w:pStyle w:val="ConsPlusNormal"/>
        <w:jc w:val="both"/>
      </w:pPr>
    </w:p>
    <w:p w:rsidR="00095E7F" w:rsidRDefault="00095E7F">
      <w:pPr>
        <w:pStyle w:val="ConsPlusNormal"/>
        <w:jc w:val="center"/>
      </w:pPr>
      <w:bookmarkStart w:id="2" w:name="P78"/>
      <w:bookmarkEnd w:id="2"/>
      <w:r>
        <w:t>Форма уведомления о маршруте туристического мероприятия</w:t>
      </w:r>
    </w:p>
    <w:p w:rsidR="00095E7F" w:rsidRDefault="00095E7F">
      <w:pPr>
        <w:pStyle w:val="ConsPlusNormal"/>
        <w:jc w:val="both"/>
      </w:pPr>
    </w:p>
    <w:p w:rsidR="00095E7F" w:rsidRDefault="00095E7F">
      <w:pPr>
        <w:sectPr w:rsidR="00095E7F" w:rsidSect="00BE6C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04"/>
        <w:gridCol w:w="1559"/>
        <w:gridCol w:w="1559"/>
        <w:gridCol w:w="1814"/>
        <w:gridCol w:w="2438"/>
        <w:gridCol w:w="3005"/>
      </w:tblGrid>
      <w:tr w:rsidR="00095E7F">
        <w:tc>
          <w:tcPr>
            <w:tcW w:w="1928" w:type="dxa"/>
          </w:tcPr>
          <w:p w:rsidR="00095E7F" w:rsidRDefault="00095E7F">
            <w:pPr>
              <w:pStyle w:val="ConsPlusNormal"/>
              <w:jc w:val="center"/>
            </w:pPr>
            <w:r>
              <w:lastRenderedPageBreak/>
              <w:t>Муниципальное образование</w:t>
            </w:r>
          </w:p>
        </w:tc>
        <w:tc>
          <w:tcPr>
            <w:tcW w:w="1304" w:type="dxa"/>
          </w:tcPr>
          <w:p w:rsidR="00095E7F" w:rsidRDefault="00095E7F">
            <w:pPr>
              <w:pStyle w:val="ConsPlusNormal"/>
              <w:jc w:val="center"/>
            </w:pPr>
            <w:r>
              <w:t>Маршрут</w:t>
            </w:r>
          </w:p>
        </w:tc>
        <w:tc>
          <w:tcPr>
            <w:tcW w:w="1559" w:type="dxa"/>
          </w:tcPr>
          <w:p w:rsidR="00095E7F" w:rsidRDefault="00095E7F">
            <w:pPr>
              <w:pStyle w:val="ConsPlusNormal"/>
              <w:jc w:val="center"/>
            </w:pPr>
            <w:r>
              <w:t>Дата начала и окончания маршрута</w:t>
            </w:r>
          </w:p>
        </w:tc>
        <w:tc>
          <w:tcPr>
            <w:tcW w:w="1559" w:type="dxa"/>
          </w:tcPr>
          <w:p w:rsidR="00095E7F" w:rsidRDefault="00095E7F">
            <w:pPr>
              <w:pStyle w:val="ConsPlusNormal"/>
              <w:jc w:val="center"/>
            </w:pPr>
            <w:r>
              <w:t>Количество несовершеннолетних</w:t>
            </w:r>
          </w:p>
        </w:tc>
        <w:tc>
          <w:tcPr>
            <w:tcW w:w="1814" w:type="dxa"/>
          </w:tcPr>
          <w:p w:rsidR="00095E7F" w:rsidRDefault="00095E7F">
            <w:pPr>
              <w:pStyle w:val="ConsPlusNormal"/>
              <w:jc w:val="center"/>
            </w:pPr>
            <w:r>
              <w:t>Количество сопровождающих</w:t>
            </w:r>
          </w:p>
        </w:tc>
        <w:tc>
          <w:tcPr>
            <w:tcW w:w="2438" w:type="dxa"/>
          </w:tcPr>
          <w:p w:rsidR="00095E7F" w:rsidRDefault="00095E7F">
            <w:pPr>
              <w:pStyle w:val="ConsPlusNormal"/>
              <w:jc w:val="center"/>
            </w:pPr>
            <w:r>
              <w:t>ФИО, контактные данные организатора и сопровождающих</w:t>
            </w:r>
          </w:p>
        </w:tc>
        <w:tc>
          <w:tcPr>
            <w:tcW w:w="3005" w:type="dxa"/>
          </w:tcPr>
          <w:p w:rsidR="00095E7F" w:rsidRDefault="00095E7F">
            <w:pPr>
              <w:pStyle w:val="ConsPlusNormal"/>
              <w:jc w:val="center"/>
            </w:pPr>
            <w:r>
              <w:t>Информирование контрольно-надзорных органов (в адрес какого органа направлены письма и реквизиты исходящих документов)</w:t>
            </w:r>
          </w:p>
        </w:tc>
      </w:tr>
      <w:tr w:rsidR="00095E7F">
        <w:tc>
          <w:tcPr>
            <w:tcW w:w="1928" w:type="dxa"/>
          </w:tcPr>
          <w:p w:rsidR="00095E7F" w:rsidRDefault="00095E7F">
            <w:pPr>
              <w:pStyle w:val="ConsPlusNormal"/>
            </w:pPr>
          </w:p>
        </w:tc>
        <w:tc>
          <w:tcPr>
            <w:tcW w:w="1304" w:type="dxa"/>
          </w:tcPr>
          <w:p w:rsidR="00095E7F" w:rsidRDefault="00095E7F">
            <w:pPr>
              <w:pStyle w:val="ConsPlusNormal"/>
            </w:pPr>
          </w:p>
        </w:tc>
        <w:tc>
          <w:tcPr>
            <w:tcW w:w="1559" w:type="dxa"/>
          </w:tcPr>
          <w:p w:rsidR="00095E7F" w:rsidRDefault="00095E7F">
            <w:pPr>
              <w:pStyle w:val="ConsPlusNormal"/>
            </w:pPr>
          </w:p>
        </w:tc>
        <w:tc>
          <w:tcPr>
            <w:tcW w:w="1559" w:type="dxa"/>
          </w:tcPr>
          <w:p w:rsidR="00095E7F" w:rsidRDefault="00095E7F">
            <w:pPr>
              <w:pStyle w:val="ConsPlusNormal"/>
            </w:pPr>
          </w:p>
        </w:tc>
        <w:tc>
          <w:tcPr>
            <w:tcW w:w="1814" w:type="dxa"/>
          </w:tcPr>
          <w:p w:rsidR="00095E7F" w:rsidRDefault="00095E7F">
            <w:pPr>
              <w:pStyle w:val="ConsPlusNormal"/>
            </w:pPr>
          </w:p>
        </w:tc>
        <w:tc>
          <w:tcPr>
            <w:tcW w:w="2438" w:type="dxa"/>
          </w:tcPr>
          <w:p w:rsidR="00095E7F" w:rsidRDefault="00095E7F">
            <w:pPr>
              <w:pStyle w:val="ConsPlusNormal"/>
            </w:pPr>
          </w:p>
        </w:tc>
        <w:tc>
          <w:tcPr>
            <w:tcW w:w="3005" w:type="dxa"/>
          </w:tcPr>
          <w:p w:rsidR="00095E7F" w:rsidRDefault="00095E7F">
            <w:pPr>
              <w:pStyle w:val="ConsPlusNormal"/>
            </w:pPr>
          </w:p>
        </w:tc>
      </w:tr>
      <w:tr w:rsidR="00095E7F">
        <w:tc>
          <w:tcPr>
            <w:tcW w:w="1928" w:type="dxa"/>
          </w:tcPr>
          <w:p w:rsidR="00095E7F" w:rsidRDefault="00095E7F">
            <w:pPr>
              <w:pStyle w:val="ConsPlusNormal"/>
            </w:pPr>
          </w:p>
        </w:tc>
        <w:tc>
          <w:tcPr>
            <w:tcW w:w="1304" w:type="dxa"/>
          </w:tcPr>
          <w:p w:rsidR="00095E7F" w:rsidRDefault="00095E7F">
            <w:pPr>
              <w:pStyle w:val="ConsPlusNormal"/>
            </w:pPr>
          </w:p>
        </w:tc>
        <w:tc>
          <w:tcPr>
            <w:tcW w:w="1559" w:type="dxa"/>
          </w:tcPr>
          <w:p w:rsidR="00095E7F" w:rsidRDefault="00095E7F">
            <w:pPr>
              <w:pStyle w:val="ConsPlusNormal"/>
            </w:pPr>
          </w:p>
        </w:tc>
        <w:tc>
          <w:tcPr>
            <w:tcW w:w="1559" w:type="dxa"/>
          </w:tcPr>
          <w:p w:rsidR="00095E7F" w:rsidRDefault="00095E7F">
            <w:pPr>
              <w:pStyle w:val="ConsPlusNormal"/>
            </w:pPr>
          </w:p>
        </w:tc>
        <w:tc>
          <w:tcPr>
            <w:tcW w:w="1814" w:type="dxa"/>
          </w:tcPr>
          <w:p w:rsidR="00095E7F" w:rsidRDefault="00095E7F">
            <w:pPr>
              <w:pStyle w:val="ConsPlusNormal"/>
            </w:pPr>
          </w:p>
        </w:tc>
        <w:tc>
          <w:tcPr>
            <w:tcW w:w="2438" w:type="dxa"/>
          </w:tcPr>
          <w:p w:rsidR="00095E7F" w:rsidRDefault="00095E7F">
            <w:pPr>
              <w:pStyle w:val="ConsPlusNormal"/>
            </w:pPr>
          </w:p>
        </w:tc>
        <w:tc>
          <w:tcPr>
            <w:tcW w:w="3005" w:type="dxa"/>
          </w:tcPr>
          <w:p w:rsidR="00095E7F" w:rsidRDefault="00095E7F">
            <w:pPr>
              <w:pStyle w:val="ConsPlusNormal"/>
            </w:pPr>
          </w:p>
        </w:tc>
      </w:tr>
    </w:tbl>
    <w:p w:rsidR="00095E7F" w:rsidRDefault="00095E7F">
      <w:pPr>
        <w:pStyle w:val="ConsPlusNormal"/>
        <w:jc w:val="both"/>
      </w:pPr>
    </w:p>
    <w:p w:rsidR="00095E7F" w:rsidRDefault="00095E7F">
      <w:pPr>
        <w:pStyle w:val="ConsPlusNonformat"/>
        <w:jc w:val="both"/>
      </w:pPr>
      <w:r>
        <w:t>Руководитель организации _____________________ ____________________________</w:t>
      </w:r>
    </w:p>
    <w:p w:rsidR="00095E7F" w:rsidRDefault="00095E7F">
      <w:pPr>
        <w:pStyle w:val="ConsPlusNonformat"/>
        <w:jc w:val="both"/>
      </w:pPr>
      <w:r>
        <w:t xml:space="preserve">                               (подпись)            (расшифровка подписи)</w:t>
      </w:r>
    </w:p>
    <w:p w:rsidR="00095E7F" w:rsidRDefault="00095E7F">
      <w:pPr>
        <w:pStyle w:val="ConsPlusNormal"/>
        <w:jc w:val="both"/>
      </w:pPr>
    </w:p>
    <w:p w:rsidR="00095E7F" w:rsidRDefault="00095E7F">
      <w:pPr>
        <w:pStyle w:val="ConsPlusNormal"/>
        <w:jc w:val="both"/>
      </w:pPr>
    </w:p>
    <w:p w:rsidR="00095E7F" w:rsidRDefault="00095E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7CC2" w:rsidRDefault="00AE7CC2">
      <w:bookmarkStart w:id="3" w:name="_GoBack"/>
      <w:bookmarkEnd w:id="3"/>
    </w:p>
    <w:sectPr w:rsidR="00AE7CC2" w:rsidSect="00EE471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7F"/>
    <w:rsid w:val="00095E7F"/>
    <w:rsid w:val="00A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5E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5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5E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5E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5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5E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A9B412E3DC75843566383FF872461A794BCC7BD8CD822FFADC3342DAC4EC76715FB869353B56905ABB848FA2025CA147BFJ3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021928</dc:creator>
  <cp:lastModifiedBy>021928</cp:lastModifiedBy>
  <cp:revision>1</cp:revision>
  <dcterms:created xsi:type="dcterms:W3CDTF">2020-06-30T11:09:00Z</dcterms:created>
  <dcterms:modified xsi:type="dcterms:W3CDTF">2020-06-30T11:10:00Z</dcterms:modified>
</cp:coreProperties>
</file>