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6" w:rsidRPr="00761668" w:rsidRDefault="00E21CC0" w:rsidP="00B62B06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 w:firstLine="851"/>
        <w:contextualSpacing/>
        <w:jc w:val="center"/>
        <w:rPr>
          <w:b/>
          <w:bCs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="00B62B06" w:rsidRPr="00B62B06">
        <w:rPr>
          <w:b/>
        </w:rPr>
        <w:t>постановления администрации</w:t>
      </w:r>
      <w:proofErr w:type="gramEnd"/>
      <w:r w:rsidR="00B62B06" w:rsidRPr="00B62B06">
        <w:rPr>
          <w:b/>
        </w:rPr>
        <w:t xml:space="preserve"> Кондинского района </w:t>
      </w:r>
      <w:r w:rsidR="00761668" w:rsidRPr="00761668">
        <w:rPr>
          <w:b/>
        </w:rPr>
        <w:t>«</w:t>
      </w:r>
      <w:r w:rsidR="00761668" w:rsidRPr="00761668">
        <w:rPr>
          <w:b/>
          <w:bCs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61668" w:rsidRPr="00761668">
        <w:rPr>
          <w:b/>
        </w:rPr>
        <w:t>«Прием заявлений и выдача документов о согласовании переустройства и (или) переп</w:t>
      </w:r>
      <w:bookmarkStart w:id="0" w:name="_GoBack"/>
      <w:bookmarkEnd w:id="0"/>
      <w:r w:rsidR="00761668" w:rsidRPr="00761668">
        <w:rPr>
          <w:b/>
        </w:rPr>
        <w:t>ланировки жилого помещения»</w:t>
      </w:r>
    </w:p>
    <w:p w:rsidR="00E21CC0" w:rsidRPr="00770166" w:rsidRDefault="00E21CC0" w:rsidP="00B62B06">
      <w:pPr>
        <w:spacing w:line="0" w:lineRule="atLeast"/>
        <w:ind w:firstLine="567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795F61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Pr="00EF4F94" w:rsidRDefault="00E21CC0" w:rsidP="00795F61">
      <w:pPr>
        <w:autoSpaceDE w:val="0"/>
        <w:autoSpaceDN w:val="0"/>
        <w:jc w:val="both"/>
        <w:rPr>
          <w:i/>
        </w:rPr>
      </w:pPr>
      <w:r w:rsidRPr="00770166">
        <w:t>1.1. Регулирующий орган:</w:t>
      </w:r>
      <w:r>
        <w:t xml:space="preserve"> </w:t>
      </w:r>
      <w:r w:rsidRPr="00EF4F94">
        <w:rPr>
          <w:i/>
        </w:rPr>
        <w:t>Управление архитектуры и градостроительства администрации Кондинского района.</w:t>
      </w:r>
    </w:p>
    <w:p w:rsidR="0084665B" w:rsidRPr="001167BF" w:rsidRDefault="00E21CC0" w:rsidP="00795F61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/>
        <w:contextualSpacing/>
        <w:jc w:val="both"/>
        <w:rPr>
          <w:bCs/>
          <w:i/>
        </w:rPr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1167BF">
        <w:rPr>
          <w:bCs/>
          <w:i/>
        </w:rPr>
        <w:t xml:space="preserve">проект </w:t>
      </w:r>
      <w:r w:rsidR="0084665B" w:rsidRPr="001167BF">
        <w:rPr>
          <w:i/>
        </w:rPr>
        <w:t xml:space="preserve">постановления администрации Кондинского района </w:t>
      </w:r>
      <w:r w:rsidR="00761668" w:rsidRPr="00761668">
        <w:rPr>
          <w:i/>
        </w:rPr>
        <w:t>«</w:t>
      </w:r>
      <w:r w:rsidR="00761668" w:rsidRPr="00761668">
        <w:rPr>
          <w:bCs/>
          <w:i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61668" w:rsidRPr="00761668">
        <w:rPr>
          <w:i/>
        </w:rPr>
        <w:t>«Прием заявлений и выдача документов о согласовании переустройства и (или) перепланировки жилого помещения»</w:t>
      </w:r>
      <w:r w:rsidR="0084665B" w:rsidRPr="00761668">
        <w:rPr>
          <w:bCs/>
          <w:i/>
        </w:rPr>
        <w:t>.</w:t>
      </w:r>
    </w:p>
    <w:p w:rsidR="00E21CC0" w:rsidRPr="00761668" w:rsidRDefault="00E21CC0" w:rsidP="00795F61">
      <w:pPr>
        <w:spacing w:line="0" w:lineRule="atLeast"/>
        <w:jc w:val="both"/>
      </w:pPr>
      <w:r w:rsidRPr="00770166">
        <w:t>1.3. Краткое описание содержания предлагаемого правового регулирования:</w:t>
      </w:r>
      <w:r w:rsidR="00761668">
        <w:t xml:space="preserve"> н</w:t>
      </w:r>
      <w:r w:rsidRPr="001167BF">
        <w:rPr>
          <w:i/>
          <w:shd w:val="clear" w:color="auto" w:fill="FFFFFF"/>
        </w:rPr>
        <w:t xml:space="preserve">еобходимость разработки проекта НПА связана с </w:t>
      </w:r>
      <w:r w:rsidRPr="001167BF">
        <w:rPr>
          <w:i/>
        </w:rPr>
        <w:t xml:space="preserve"> </w:t>
      </w:r>
      <w:r w:rsidR="00A2197F" w:rsidRPr="001167BF">
        <w:rPr>
          <w:i/>
          <w:color w:val="000000"/>
          <w:shd w:val="clear" w:color="auto" w:fill="FFFFFF"/>
        </w:rPr>
        <w:t>необходимостью определения порядка и стандарта предоставления муниципальной услуги.</w:t>
      </w:r>
    </w:p>
    <w:p w:rsidR="00E21CC0" w:rsidRPr="00770166" w:rsidRDefault="00E21CC0" w:rsidP="00795F61">
      <w:pPr>
        <w:autoSpaceDE w:val="0"/>
        <w:autoSpaceDN w:val="0"/>
        <w:jc w:val="both"/>
      </w:pPr>
      <w:r w:rsidRPr="00770166">
        <w:t xml:space="preserve">1.4. Дата размещения уведомления о проведении публичных консультаций по проекту муниципального нормативного правового акта: </w:t>
      </w:r>
      <w:r w:rsidRPr="001167BF">
        <w:rPr>
          <w:i/>
        </w:rPr>
        <w:t>«</w:t>
      </w:r>
      <w:r w:rsidR="00761668">
        <w:rPr>
          <w:i/>
        </w:rPr>
        <w:t>07</w:t>
      </w:r>
      <w:r w:rsidRPr="001167BF">
        <w:rPr>
          <w:i/>
        </w:rPr>
        <w:t xml:space="preserve">» </w:t>
      </w:r>
      <w:r w:rsidR="00761668">
        <w:rPr>
          <w:i/>
        </w:rPr>
        <w:t>июня</w:t>
      </w:r>
      <w:r w:rsidRPr="001167BF">
        <w:rPr>
          <w:i/>
        </w:rPr>
        <w:t xml:space="preserve"> 2017г.</w:t>
      </w:r>
      <w:r w:rsidRPr="00770166">
        <w:t xml:space="preserve">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1167BF" w:rsidRDefault="00E21CC0" w:rsidP="00795F61">
      <w:pPr>
        <w:autoSpaceDE w:val="0"/>
        <w:autoSpaceDN w:val="0"/>
        <w:ind w:firstLine="284"/>
        <w:jc w:val="both"/>
        <w:rPr>
          <w:i/>
        </w:rPr>
      </w:pPr>
      <w:r w:rsidRPr="001167BF">
        <w:rPr>
          <w:i/>
        </w:rPr>
        <w:t>начало: «</w:t>
      </w:r>
      <w:r w:rsidR="00761668">
        <w:rPr>
          <w:i/>
        </w:rPr>
        <w:t>07</w:t>
      </w:r>
      <w:r w:rsidRPr="001167BF">
        <w:rPr>
          <w:i/>
        </w:rPr>
        <w:t xml:space="preserve">» </w:t>
      </w:r>
      <w:r w:rsidR="00761668">
        <w:rPr>
          <w:i/>
        </w:rPr>
        <w:t>июня</w:t>
      </w:r>
      <w:r w:rsidRPr="001167BF">
        <w:rPr>
          <w:i/>
        </w:rPr>
        <w:t xml:space="preserve"> 2017г.; окончание: «</w:t>
      </w:r>
      <w:r w:rsidR="00761668">
        <w:rPr>
          <w:i/>
        </w:rPr>
        <w:t>22</w:t>
      </w:r>
      <w:r w:rsidRPr="001167BF">
        <w:rPr>
          <w:i/>
        </w:rPr>
        <w:t xml:space="preserve">» </w:t>
      </w:r>
      <w:r w:rsidR="00A2197F" w:rsidRPr="001167BF">
        <w:rPr>
          <w:i/>
        </w:rPr>
        <w:t>июня</w:t>
      </w:r>
      <w:r w:rsidRPr="001167BF">
        <w:rPr>
          <w:i/>
        </w:rPr>
        <w:t xml:space="preserve"> 2017г.</w:t>
      </w:r>
    </w:p>
    <w:p w:rsidR="00E21CC0" w:rsidRPr="00770166" w:rsidRDefault="00E21CC0" w:rsidP="00795F61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795F61">
      <w:pPr>
        <w:tabs>
          <w:tab w:val="center" w:pos="8505"/>
          <w:tab w:val="right" w:pos="9923"/>
        </w:tabs>
        <w:autoSpaceDE w:val="0"/>
        <w:autoSpaceDN w:val="0"/>
        <w:ind w:firstLine="284"/>
        <w:jc w:val="both"/>
      </w:pPr>
      <w:r w:rsidRPr="00770166">
        <w:t>В</w:t>
      </w:r>
      <w:r w:rsidR="00761668">
        <w:t xml:space="preserve">сего замечаний и предложений: </w:t>
      </w:r>
      <w:r w:rsidRPr="00761668">
        <w:rPr>
          <w:u w:val="single"/>
        </w:rPr>
        <w:t>0</w:t>
      </w:r>
      <w:r w:rsidRPr="00770166">
        <w:t>.</w:t>
      </w:r>
    </w:p>
    <w:p w:rsidR="00E21CC0" w:rsidRPr="001167BF" w:rsidRDefault="00E21CC0" w:rsidP="00795F61">
      <w:pPr>
        <w:autoSpaceDE w:val="0"/>
        <w:autoSpaceDN w:val="0"/>
        <w:ind w:firstLine="284"/>
        <w:jc w:val="both"/>
        <w:rPr>
          <w:i/>
        </w:rPr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761668">
        <w:rPr>
          <w:i/>
        </w:rPr>
        <w:t>23</w:t>
      </w:r>
      <w:r w:rsidR="00DA7578" w:rsidRPr="001167BF">
        <w:rPr>
          <w:i/>
        </w:rPr>
        <w:t xml:space="preserve"> июня 2017 года </w:t>
      </w:r>
    </w:p>
    <w:p w:rsidR="00E21CC0" w:rsidRPr="00770166" w:rsidRDefault="00E21CC0" w:rsidP="00795F61">
      <w:pPr>
        <w:autoSpaceDE w:val="0"/>
        <w:autoSpaceDN w:val="0"/>
        <w:ind w:firstLine="284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795F61">
      <w:pPr>
        <w:autoSpaceDE w:val="0"/>
        <w:autoSpaceDN w:val="0"/>
      </w:pPr>
      <w:r w:rsidRPr="00770166">
        <w:t xml:space="preserve">Ф.И.О.: </w:t>
      </w:r>
      <w:proofErr w:type="spellStart"/>
      <w:r w:rsidR="00A2197F" w:rsidRPr="00761668">
        <w:rPr>
          <w:i/>
        </w:rPr>
        <w:t>Гиголаева</w:t>
      </w:r>
      <w:proofErr w:type="spellEnd"/>
      <w:r w:rsidR="00A2197F" w:rsidRPr="00761668">
        <w:rPr>
          <w:i/>
        </w:rPr>
        <w:t xml:space="preserve"> Екатерина</w:t>
      </w:r>
      <w:r w:rsidRPr="00761668">
        <w:rPr>
          <w:i/>
        </w:rPr>
        <w:t xml:space="preserve"> Сергеевна</w:t>
      </w:r>
    </w:p>
    <w:p w:rsidR="00E21CC0" w:rsidRPr="00770166" w:rsidRDefault="00E21CC0" w:rsidP="00795F61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 w:rsidR="00A2197F" w:rsidRPr="00761668">
        <w:rPr>
          <w:i/>
        </w:rPr>
        <w:t>начальник отдела ИСОГД</w:t>
      </w:r>
      <w:r w:rsidRPr="00761668">
        <w:rPr>
          <w:i/>
        </w:rPr>
        <w:t xml:space="preserve">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795F61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795F61">
            <w:pPr>
              <w:autoSpaceDE w:val="0"/>
              <w:autoSpaceDN w:val="0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761668" w:rsidP="00795F61">
            <w:pPr>
              <w:autoSpaceDE w:val="0"/>
              <w:autoSpaceDN w:val="0"/>
            </w:pPr>
            <w:r>
              <w:t xml:space="preserve">            </w:t>
            </w:r>
            <w:r w:rsidR="00E21CC0"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795F61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A2197F" w:rsidRPr="00761668" w:rsidRDefault="00E21CC0" w:rsidP="00795F61">
      <w:pPr>
        <w:autoSpaceDE w:val="0"/>
        <w:autoSpaceDN w:val="0"/>
        <w:jc w:val="both"/>
        <w:rPr>
          <w:rStyle w:val="a6"/>
          <w:b w:val="0"/>
          <w:bCs w:val="0"/>
        </w:rPr>
      </w:pPr>
      <w:r w:rsidRPr="00770166">
        <w:t>2.1. </w:t>
      </w:r>
      <w:proofErr w:type="gramStart"/>
      <w:r w:rsidRPr="00770166"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761668">
        <w:t xml:space="preserve"> п</w:t>
      </w:r>
      <w:r w:rsidR="00DB020D" w:rsidRPr="001167BF">
        <w:rPr>
          <w:i/>
        </w:rPr>
        <w:t xml:space="preserve">роблема, на решение которой направлено предлагаемое проектом НПА правовое регулирование связана с </w:t>
      </w:r>
      <w:r w:rsidR="00A2197F" w:rsidRPr="001167BF">
        <w:rPr>
          <w:rStyle w:val="a6"/>
          <w:b w:val="0"/>
          <w:i/>
        </w:rPr>
        <w:t>установлением сроков и последовательностью административных процедур и административных действий Управления архитектуры и градостроительства, а также порядка его взаимодействия с заявителями, органами власти и организациями при предоставлении муниципальной услуги.</w:t>
      </w:r>
      <w:proofErr w:type="gramEnd"/>
    </w:p>
    <w:p w:rsidR="00DB020D" w:rsidRDefault="00E21CC0" w:rsidP="00795F61">
      <w:pPr>
        <w:autoSpaceDE w:val="0"/>
        <w:autoSpaceDN w:val="0"/>
        <w:adjustRightInd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82A35" w:rsidRDefault="00A2197F" w:rsidP="00795F61">
      <w:pPr>
        <w:ind w:firstLine="284"/>
        <w:contextualSpacing/>
        <w:jc w:val="both"/>
        <w:rPr>
          <w:i/>
        </w:rPr>
      </w:pPr>
      <w:r w:rsidRPr="001167BF">
        <w:rPr>
          <w:i/>
        </w:rPr>
        <w:t xml:space="preserve">Данная муниципальная услуга ранее предоставлялась администрацией </w:t>
      </w:r>
      <w:proofErr w:type="spellStart"/>
      <w:r w:rsidRPr="001167BF">
        <w:rPr>
          <w:i/>
        </w:rPr>
        <w:t>пгт</w:t>
      </w:r>
      <w:proofErr w:type="spellEnd"/>
      <w:r w:rsidRPr="001167BF">
        <w:rPr>
          <w:i/>
        </w:rPr>
        <w:t xml:space="preserve">. Междуреченский, на основании Решения думы Кондинского района от 27 февраля 2017 № 216 «О принятии к осуществлению части полномочий по решению </w:t>
      </w:r>
      <w:proofErr w:type="gramStart"/>
      <w:r w:rsidRPr="001167BF">
        <w:rPr>
          <w:i/>
        </w:rPr>
        <w:t>вопросов местного значения органов местного самоуправления городского поселения</w:t>
      </w:r>
      <w:proofErr w:type="gramEnd"/>
      <w:r w:rsidRPr="001167BF">
        <w:rPr>
          <w:i/>
        </w:rPr>
        <w:t xml:space="preserve"> Междуреченский» передана Управлению архитектуры и градостроительства.</w:t>
      </w:r>
    </w:p>
    <w:p w:rsidR="00982A35" w:rsidRPr="00982A35" w:rsidRDefault="00E21CC0" w:rsidP="00795F61">
      <w:pPr>
        <w:contextualSpacing/>
        <w:jc w:val="both"/>
        <w:rPr>
          <w:i/>
        </w:rPr>
      </w:pPr>
      <w:r w:rsidRPr="00770166">
        <w:t>2.3. Социальные группы, заинтересованные в устранении проблемы, их количественная оценка:</w:t>
      </w:r>
      <w:r w:rsidR="00982A35">
        <w:t xml:space="preserve"> </w:t>
      </w:r>
      <w:r w:rsidR="00982A35" w:rsidRPr="00982A35">
        <w:rPr>
          <w:i/>
          <w:color w:val="000000" w:themeColor="text1"/>
        </w:rPr>
        <w:t>собственники жилых помещений (физические или юридические л</w:t>
      </w:r>
      <w:r w:rsidR="00982A35">
        <w:rPr>
          <w:i/>
        </w:rPr>
        <w:t>ица).</w:t>
      </w:r>
    </w:p>
    <w:p w:rsidR="008174EA" w:rsidRPr="00C74B11" w:rsidRDefault="00E21CC0" w:rsidP="00795F61">
      <w:pPr>
        <w:autoSpaceDE w:val="0"/>
        <w:autoSpaceDN w:val="0"/>
        <w:jc w:val="both"/>
        <w:rPr>
          <w:i/>
        </w:rPr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  <w:r w:rsidR="001167BF">
        <w:t xml:space="preserve"> </w:t>
      </w:r>
      <w:r w:rsidR="00C74B11" w:rsidRPr="00C74B11">
        <w:rPr>
          <w:i/>
        </w:rPr>
        <w:t>Нарушение Жилищного кодекса Российской Федерации</w:t>
      </w:r>
      <w:r w:rsidR="00C74B11">
        <w:rPr>
          <w:i/>
        </w:rPr>
        <w:t xml:space="preserve"> - </w:t>
      </w:r>
      <w:r w:rsidR="00C74B11" w:rsidRPr="00C74B11">
        <w:rPr>
          <w:i/>
        </w:rPr>
        <w:t>осуществление перепланировки и (или) переустройства жилого</w:t>
      </w:r>
      <w:r w:rsidR="00EF4F94" w:rsidRPr="00C74B11">
        <w:rPr>
          <w:i/>
          <w:color w:val="000000"/>
          <w:shd w:val="clear" w:color="auto" w:fill="FFFFFF"/>
        </w:rPr>
        <w:t xml:space="preserve"> помещени</w:t>
      </w:r>
      <w:r w:rsidR="00C74B11" w:rsidRPr="00C74B11">
        <w:rPr>
          <w:i/>
          <w:color w:val="000000"/>
          <w:shd w:val="clear" w:color="auto" w:fill="FFFFFF"/>
        </w:rPr>
        <w:t>я</w:t>
      </w:r>
      <w:r w:rsidR="00EF4F94" w:rsidRPr="00C74B11">
        <w:rPr>
          <w:i/>
          <w:color w:val="000000"/>
          <w:shd w:val="clear" w:color="auto" w:fill="FFFFFF"/>
        </w:rPr>
        <w:t xml:space="preserve"> </w:t>
      </w:r>
      <w:r w:rsidR="00C74B11" w:rsidRPr="00C74B11">
        <w:rPr>
          <w:i/>
          <w:color w:val="000000"/>
          <w:shd w:val="clear" w:color="auto" w:fill="FFFFFF"/>
        </w:rPr>
        <w:t xml:space="preserve">без согласия </w:t>
      </w:r>
      <w:r w:rsidR="00C74B11" w:rsidRPr="00C74B11">
        <w:rPr>
          <w:i/>
        </w:rPr>
        <w:t xml:space="preserve">всех собственников, а </w:t>
      </w:r>
      <w:r w:rsidR="00C74B11" w:rsidRPr="00C74B11">
        <w:rPr>
          <w:i/>
        </w:rPr>
        <w:lastRenderedPageBreak/>
        <w:t>так же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по социальному найму</w:t>
      </w:r>
      <w:r w:rsidR="00EF4F94" w:rsidRPr="00C74B11">
        <w:rPr>
          <w:i/>
          <w:color w:val="000000"/>
          <w:shd w:val="clear" w:color="auto" w:fill="FFFFFF"/>
        </w:rPr>
        <w:t>.</w:t>
      </w:r>
      <w:r w:rsidR="00982A35">
        <w:rPr>
          <w:i/>
          <w:color w:val="000000"/>
          <w:shd w:val="clear" w:color="auto" w:fill="FFFFFF"/>
        </w:rPr>
        <w:t xml:space="preserve"> При не соблюдении конкретных правил, в части строительства, при проведении перепланировки и (или) переустройства жилого помещения в многоквартирном жилом доме может произойти разрушение здания.</w:t>
      </w:r>
    </w:p>
    <w:p w:rsidR="008174EA" w:rsidRPr="008174EA" w:rsidRDefault="00E21CC0" w:rsidP="00795F61">
      <w:pPr>
        <w:autoSpaceDE w:val="0"/>
        <w:autoSpaceDN w:val="0"/>
        <w:adjustRightInd w:val="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982A35">
        <w:rPr>
          <w:i/>
          <w:shd w:val="clear" w:color="auto" w:fill="FFFFFF"/>
        </w:rPr>
        <w:t>н</w:t>
      </w:r>
      <w:r w:rsidR="008174EA" w:rsidRPr="001167BF">
        <w:rPr>
          <w:i/>
          <w:shd w:val="clear" w:color="auto" w:fill="FFFFFF"/>
        </w:rPr>
        <w:t xml:space="preserve">еобходимость разработки проекта НПА связана с </w:t>
      </w:r>
      <w:r w:rsidR="008174EA" w:rsidRPr="001167BF">
        <w:rPr>
          <w:i/>
        </w:rPr>
        <w:t xml:space="preserve"> </w:t>
      </w:r>
      <w:r w:rsidR="00EF4F94" w:rsidRPr="001167BF">
        <w:rPr>
          <w:i/>
          <w:shd w:val="clear" w:color="auto" w:fill="FFFFFF"/>
        </w:rPr>
        <w:t>реализаци</w:t>
      </w:r>
      <w:r w:rsidR="00982A35">
        <w:rPr>
          <w:i/>
          <w:shd w:val="clear" w:color="auto" w:fill="FFFFFF"/>
        </w:rPr>
        <w:t>ей прав</w:t>
      </w:r>
      <w:r w:rsidR="00EF4F94" w:rsidRPr="00E44477">
        <w:rPr>
          <w:i/>
          <w:shd w:val="clear" w:color="auto" w:fill="FFFFFF"/>
        </w:rPr>
        <w:t xml:space="preserve"> </w:t>
      </w:r>
      <w:r w:rsidR="00982A35">
        <w:rPr>
          <w:i/>
          <w:shd w:val="clear" w:color="auto" w:fill="FFFFFF"/>
        </w:rPr>
        <w:t>физических и юридических лиц, являющимися собственника</w:t>
      </w:r>
      <w:r w:rsidR="007C5AEA">
        <w:rPr>
          <w:i/>
          <w:shd w:val="clear" w:color="auto" w:fill="FFFFFF"/>
        </w:rPr>
        <w:t>ми</w:t>
      </w:r>
      <w:r w:rsidR="00982A35">
        <w:rPr>
          <w:i/>
          <w:shd w:val="clear" w:color="auto" w:fill="FFFFFF"/>
        </w:rPr>
        <w:t xml:space="preserve"> жилых помещений на территории</w:t>
      </w:r>
      <w:r w:rsidR="00EF4F94" w:rsidRPr="00E44477">
        <w:rPr>
          <w:i/>
          <w:shd w:val="clear" w:color="auto" w:fill="FFFFFF"/>
        </w:rPr>
        <w:t xml:space="preserve"> </w:t>
      </w:r>
      <w:proofErr w:type="spellStart"/>
      <w:r w:rsidR="00DB6181">
        <w:rPr>
          <w:i/>
          <w:shd w:val="clear" w:color="auto" w:fill="FFFFFF"/>
        </w:rPr>
        <w:t>пгт</w:t>
      </w:r>
      <w:proofErr w:type="spellEnd"/>
      <w:r w:rsidR="00DB6181">
        <w:rPr>
          <w:i/>
          <w:shd w:val="clear" w:color="auto" w:fill="FFFFFF"/>
        </w:rPr>
        <w:t>.</w:t>
      </w:r>
      <w:r w:rsidR="007C5AEA">
        <w:rPr>
          <w:i/>
          <w:shd w:val="clear" w:color="auto" w:fill="FFFFFF"/>
        </w:rPr>
        <w:t xml:space="preserve"> </w:t>
      </w:r>
      <w:r w:rsidR="00DB6181">
        <w:rPr>
          <w:i/>
          <w:shd w:val="clear" w:color="auto" w:fill="FFFFFF"/>
        </w:rPr>
        <w:t xml:space="preserve">Междуреченский. А так же для </w:t>
      </w:r>
      <w:r w:rsidR="00DB6181" w:rsidRPr="00E44477">
        <w:rPr>
          <w:i/>
          <w:shd w:val="clear" w:color="auto" w:fill="FFFFFF"/>
        </w:rPr>
        <w:t xml:space="preserve">повышения качества </w:t>
      </w:r>
      <w:r w:rsidR="00DB6181">
        <w:rPr>
          <w:i/>
          <w:shd w:val="clear" w:color="auto" w:fill="FFFFFF"/>
        </w:rPr>
        <w:t xml:space="preserve">предоставления муниципальной услуги </w:t>
      </w:r>
      <w:proofErr w:type="gramStart"/>
      <w:r w:rsidR="00DB6181">
        <w:rPr>
          <w:i/>
          <w:shd w:val="clear" w:color="auto" w:fill="FFFFFF"/>
        </w:rPr>
        <w:t>при</w:t>
      </w:r>
      <w:proofErr w:type="gramEnd"/>
      <w:r w:rsidR="00DB6181">
        <w:rPr>
          <w:i/>
          <w:shd w:val="clear" w:color="auto" w:fill="FFFFFF"/>
        </w:rPr>
        <w:t xml:space="preserve"> </w:t>
      </w:r>
      <w:r w:rsidR="00DB6181" w:rsidRPr="00E44477">
        <w:rPr>
          <w:i/>
          <w:shd w:val="clear" w:color="auto" w:fill="FFFFFF"/>
        </w:rPr>
        <w:t xml:space="preserve">рассмотрения таких обращений </w:t>
      </w:r>
      <w:r w:rsidR="00EF4F94" w:rsidRPr="00E44477">
        <w:rPr>
          <w:i/>
          <w:shd w:val="clear" w:color="auto" w:fill="FFFFFF"/>
        </w:rPr>
        <w:t>в орган</w:t>
      </w:r>
      <w:r w:rsidR="00DB6181">
        <w:rPr>
          <w:i/>
          <w:shd w:val="clear" w:color="auto" w:fill="FFFFFF"/>
        </w:rPr>
        <w:t>е</w:t>
      </w:r>
      <w:r w:rsidR="00EF4F94" w:rsidRPr="00E44477">
        <w:rPr>
          <w:i/>
          <w:shd w:val="clear" w:color="auto" w:fill="FFFFFF"/>
        </w:rPr>
        <w:t xml:space="preserve"> местного самоуправления</w:t>
      </w:r>
      <w:r w:rsidR="008174EA" w:rsidRPr="008174EA">
        <w:t xml:space="preserve">. </w:t>
      </w:r>
    </w:p>
    <w:p w:rsidR="008174EA" w:rsidRPr="00DA264C" w:rsidRDefault="00E21CC0" w:rsidP="00795F6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</w:t>
      </w:r>
      <w:r w:rsidR="00DA264C" w:rsidRPr="00DA264C">
        <w:rPr>
          <w:rFonts w:eastAsiaTheme="minorHAnsi"/>
          <w:i/>
          <w:lang w:eastAsia="en-US"/>
        </w:rPr>
        <w:t>предоставление муниципальных услуг осуществляется орган</w:t>
      </w:r>
      <w:r w:rsidR="00982A35">
        <w:rPr>
          <w:rFonts w:eastAsiaTheme="minorHAnsi"/>
          <w:i/>
          <w:lang w:eastAsia="en-US"/>
        </w:rPr>
        <w:t>а</w:t>
      </w:r>
      <w:r w:rsidR="00DA264C" w:rsidRPr="00DA264C">
        <w:rPr>
          <w:rFonts w:eastAsiaTheme="minorHAnsi"/>
          <w:i/>
          <w:lang w:eastAsia="en-US"/>
        </w:rPr>
        <w:t xml:space="preserve">ми местного самоуправления, </w:t>
      </w:r>
      <w:proofErr w:type="gramStart"/>
      <w:r w:rsidR="00DA264C" w:rsidRPr="00DA264C">
        <w:rPr>
          <w:rFonts w:eastAsiaTheme="minorHAnsi"/>
          <w:i/>
          <w:lang w:eastAsia="en-US"/>
        </w:rPr>
        <w:t>согласно</w:t>
      </w:r>
      <w:proofErr w:type="gramEnd"/>
      <w:r w:rsidR="00DA264C" w:rsidRPr="00DA264C">
        <w:rPr>
          <w:rFonts w:eastAsiaTheme="minorHAnsi"/>
          <w:i/>
          <w:lang w:eastAsia="en-US"/>
        </w:rPr>
        <w:t xml:space="preserve"> </w:t>
      </w:r>
      <w:r w:rsidR="00DA264C" w:rsidRPr="00DA264C">
        <w:rPr>
          <w:i/>
          <w:iCs/>
        </w:rPr>
        <w:t>Федерального закона от 27 июля 2010 года</w:t>
      </w:r>
      <w:r w:rsidR="00DA264C">
        <w:rPr>
          <w:i/>
          <w:iCs/>
        </w:rPr>
        <w:t xml:space="preserve"> </w:t>
      </w:r>
      <w:hyperlink r:id="rId7" w:history="1">
        <w:r w:rsidR="00DA264C" w:rsidRPr="00DA264C">
          <w:rPr>
            <w:i/>
            <w:iCs/>
          </w:rPr>
          <w:t>№ 210-ФЗ</w:t>
        </w:r>
      </w:hyperlink>
      <w:r w:rsidR="00DA264C" w:rsidRPr="00DA264C">
        <w:rPr>
          <w:i/>
          <w:iCs/>
        </w:rPr>
        <w:t xml:space="preserve"> «Об организации предоставления государственных и муниципальных услуг»</w:t>
      </w:r>
      <w:r w:rsidR="00DA264C">
        <w:rPr>
          <w:i/>
          <w:iCs/>
        </w:rPr>
        <w:t>.</w:t>
      </w:r>
    </w:p>
    <w:p w:rsidR="0048711F" w:rsidRDefault="00E21CC0" w:rsidP="00795F61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0A3A39" w:rsidRPr="000A3A39" w:rsidRDefault="000A3A39" w:rsidP="00795F61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0A3A39">
        <w:rPr>
          <w:rFonts w:eastAsiaTheme="minorHAnsi"/>
          <w:i/>
          <w:lang w:eastAsia="en-US"/>
        </w:rPr>
        <w:t>Постановление Администрации города Ханты-Мансийска от 15.09.2014 N 859 (ред. от 30.05.2017)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</w:p>
    <w:p w:rsidR="000A3A39" w:rsidRPr="000A3A39" w:rsidRDefault="000A3A39" w:rsidP="00795F61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0A3A39">
        <w:rPr>
          <w:rFonts w:eastAsiaTheme="minorHAnsi"/>
          <w:i/>
          <w:lang w:eastAsia="en-US"/>
        </w:rPr>
        <w:t>Постановление Администрации Октябрьского района от 04.07.2016 N 1450 (ред. от 13.03.2017)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</w:p>
    <w:p w:rsidR="000A3A39" w:rsidRPr="000A3A39" w:rsidRDefault="000A3A39" w:rsidP="00795F61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0A3A39">
        <w:rPr>
          <w:rFonts w:eastAsiaTheme="minorHAnsi"/>
          <w:i/>
          <w:lang w:eastAsia="en-US"/>
        </w:rPr>
        <w:t xml:space="preserve">Постановление Администрации города </w:t>
      </w:r>
      <w:proofErr w:type="spellStart"/>
      <w:r w:rsidRPr="000A3A39">
        <w:rPr>
          <w:rFonts w:eastAsiaTheme="minorHAnsi"/>
          <w:i/>
          <w:lang w:eastAsia="en-US"/>
        </w:rPr>
        <w:t>Мегиона</w:t>
      </w:r>
      <w:proofErr w:type="spellEnd"/>
      <w:r w:rsidRPr="000A3A39">
        <w:rPr>
          <w:rFonts w:eastAsiaTheme="minorHAnsi"/>
          <w:i/>
          <w:lang w:eastAsia="en-US"/>
        </w:rPr>
        <w:t xml:space="preserve"> от 16.02.2017 N 346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</w:r>
    </w:p>
    <w:p w:rsidR="00E21CC0" w:rsidRPr="00DA264C" w:rsidRDefault="00E21CC0" w:rsidP="00795F61">
      <w:pPr>
        <w:autoSpaceDE w:val="0"/>
        <w:autoSpaceDN w:val="0"/>
        <w:jc w:val="both"/>
        <w:rPr>
          <w:i/>
        </w:rPr>
      </w:pPr>
      <w:r w:rsidRPr="0084453E">
        <w:t>2.8. Источники данных:</w:t>
      </w:r>
      <w:r w:rsidR="0084453E">
        <w:t xml:space="preserve"> </w:t>
      </w:r>
      <w:proofErr w:type="spellStart"/>
      <w:r w:rsidR="0084453E" w:rsidRPr="00DA264C">
        <w:rPr>
          <w:i/>
        </w:rPr>
        <w:t>КонсультантПлюс</w:t>
      </w:r>
      <w:proofErr w:type="spellEnd"/>
    </w:p>
    <w:p w:rsidR="00E21CC0" w:rsidRDefault="00E21CC0" w:rsidP="00795F61">
      <w:pPr>
        <w:pStyle w:val="S"/>
        <w:spacing w:line="240" w:lineRule="auto"/>
        <w:ind w:firstLine="0"/>
        <w:contextualSpacing/>
        <w:rPr>
          <w:i/>
        </w:rPr>
      </w:pPr>
      <w:r w:rsidRPr="00770166">
        <w:t>2.9. Иная информация о проблеме:</w:t>
      </w:r>
      <w:r w:rsidR="0084453E">
        <w:t xml:space="preserve"> </w:t>
      </w:r>
      <w:r w:rsidR="000A3A39" w:rsidRPr="000A3A39">
        <w:rPr>
          <w:i/>
        </w:rPr>
        <w:t xml:space="preserve">предлагаемый проект постановления </w:t>
      </w:r>
      <w:r w:rsidR="000A3A39">
        <w:rPr>
          <w:i/>
        </w:rPr>
        <w:t xml:space="preserve">дополнит нормативно правовую базу администрации Кондинского района, что </w:t>
      </w:r>
      <w:r w:rsidR="000A3A39" w:rsidRPr="000A3A39">
        <w:rPr>
          <w:i/>
        </w:rPr>
        <w:t xml:space="preserve">позволит </w:t>
      </w:r>
      <w:r w:rsidR="000A3A39">
        <w:rPr>
          <w:i/>
        </w:rPr>
        <w:t>осуществлять в большей мере контроль в сфере градостроительства.</w:t>
      </w:r>
    </w:p>
    <w:p w:rsidR="000A3A39" w:rsidRPr="00770166" w:rsidRDefault="000A3A39" w:rsidP="000A3A39">
      <w:pPr>
        <w:pStyle w:val="S"/>
        <w:spacing w:line="240" w:lineRule="auto"/>
        <w:ind w:firstLine="284"/>
        <w:contextualSpacing/>
        <w:sectPr w:rsidR="000A3A39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Default="007C5AEA" w:rsidP="00056BC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1167BF">
              <w:rPr>
                <w:i/>
                <w:shd w:val="clear" w:color="auto" w:fill="FFFFFF"/>
              </w:rPr>
              <w:t>реализаци</w:t>
            </w:r>
            <w:r>
              <w:rPr>
                <w:i/>
                <w:shd w:val="clear" w:color="auto" w:fill="FFFFFF"/>
              </w:rPr>
              <w:t>я прав</w:t>
            </w:r>
            <w:r w:rsidRPr="00E44477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физических и юридических лиц, являющимися собственниками жилых помещений на территории</w:t>
            </w:r>
            <w:r w:rsidRPr="00E44477">
              <w:rPr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</w:rPr>
              <w:t>пгт</w:t>
            </w:r>
            <w:proofErr w:type="gramStart"/>
            <w:r>
              <w:rPr>
                <w:i/>
                <w:shd w:val="clear" w:color="auto" w:fill="FFFFFF"/>
              </w:rPr>
              <w:t>.М</w:t>
            </w:r>
            <w:proofErr w:type="gramEnd"/>
            <w:r>
              <w:rPr>
                <w:i/>
                <w:shd w:val="clear" w:color="auto" w:fill="FFFFFF"/>
              </w:rPr>
              <w:t>еждуреченский</w:t>
            </w:r>
            <w:proofErr w:type="spellEnd"/>
            <w:r w:rsidRPr="00770166">
              <w:rPr>
                <w:i/>
                <w:iCs/>
              </w:rPr>
              <w:t xml:space="preserve"> </w:t>
            </w:r>
          </w:p>
          <w:p w:rsidR="007C5AEA" w:rsidRPr="00770166" w:rsidRDefault="007C5AEA" w:rsidP="007C5AEA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E44477">
              <w:rPr>
                <w:i/>
                <w:shd w:val="clear" w:color="auto" w:fill="FFFFFF"/>
              </w:rPr>
              <w:t>повышени</w:t>
            </w:r>
            <w:r>
              <w:rPr>
                <w:i/>
                <w:shd w:val="clear" w:color="auto" w:fill="FFFFFF"/>
              </w:rPr>
              <w:t>е</w:t>
            </w:r>
            <w:r w:rsidRPr="00E44477">
              <w:rPr>
                <w:i/>
                <w:shd w:val="clear" w:color="auto" w:fill="FFFFFF"/>
              </w:rPr>
              <w:t xml:space="preserve"> качества </w:t>
            </w:r>
            <w:r>
              <w:rPr>
                <w:i/>
                <w:shd w:val="clear" w:color="auto" w:fill="FFFFFF"/>
              </w:rPr>
              <w:t xml:space="preserve">предоставления муниципальной услуги </w:t>
            </w:r>
          </w:p>
        </w:tc>
        <w:tc>
          <w:tcPr>
            <w:tcW w:w="3459" w:type="dxa"/>
          </w:tcPr>
          <w:p w:rsidR="00E21CC0" w:rsidRPr="00DA264C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DA264C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DA264C" w:rsidRDefault="0084453E" w:rsidP="007C5AEA">
            <w:pPr>
              <w:autoSpaceDE w:val="0"/>
              <w:autoSpaceDN w:val="0"/>
              <w:jc w:val="center"/>
              <w:rPr>
                <w:i/>
              </w:rPr>
            </w:pPr>
            <w:r w:rsidRPr="00DA264C">
              <w:rPr>
                <w:i/>
              </w:rPr>
              <w:t>еже</w:t>
            </w:r>
            <w:r w:rsidR="007C5AEA">
              <w:rPr>
                <w:i/>
              </w:rPr>
              <w:t>квартально</w:t>
            </w:r>
          </w:p>
        </w:tc>
      </w:tr>
    </w:tbl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DA264C" w:rsidRDefault="00DA264C" w:rsidP="00DA264C">
      <w:pPr>
        <w:autoSpaceDE w:val="0"/>
        <w:autoSpaceDN w:val="0"/>
        <w:jc w:val="both"/>
        <w:rPr>
          <w:i/>
        </w:rPr>
      </w:pPr>
      <w:r w:rsidRPr="00E44477">
        <w:rPr>
          <w:i/>
        </w:rPr>
        <w:t>Постановление администрации Кондинского района от 22 мая 2017 года № 651 «О внесении изменений в постановление администрации Кондинского района от 09 июня 2015 года № 662 «Об утверждении реестра муниципальных услуг»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6521"/>
        <w:gridCol w:w="2268"/>
        <w:gridCol w:w="2268"/>
      </w:tblGrid>
      <w:tr w:rsidR="00E21CC0" w:rsidRPr="00770166" w:rsidTr="00293598">
        <w:tc>
          <w:tcPr>
            <w:tcW w:w="413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652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2268" w:type="dxa"/>
          </w:tcPr>
          <w:p w:rsidR="00E21CC0" w:rsidRPr="00770166" w:rsidRDefault="00E21CC0" w:rsidP="00293598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 xml:space="preserve">индикаторов </w:t>
            </w:r>
            <w:r w:rsidR="00293598">
              <w:t>за 2017 год</w:t>
            </w:r>
          </w:p>
        </w:tc>
      </w:tr>
      <w:tr w:rsidR="008E5019" w:rsidRPr="00770166" w:rsidTr="00293598">
        <w:trPr>
          <w:trHeight w:val="848"/>
        </w:trPr>
        <w:tc>
          <w:tcPr>
            <w:tcW w:w="4139" w:type="dxa"/>
          </w:tcPr>
          <w:p w:rsidR="008E5019" w:rsidRPr="00770166" w:rsidRDefault="007C5AEA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  <w:shd w:val="clear" w:color="auto" w:fill="FFFFFF"/>
              </w:rPr>
              <w:t>реализация прав</w:t>
            </w:r>
            <w:r w:rsidR="00DA264C" w:rsidRPr="00E44477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физических и юридических лиц, являющимися собственниками жилых помещений на территории</w:t>
            </w:r>
            <w:r w:rsidRPr="00E44477">
              <w:rPr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</w:rPr>
              <w:t>пгт</w:t>
            </w:r>
            <w:proofErr w:type="gramStart"/>
            <w:r>
              <w:rPr>
                <w:i/>
                <w:shd w:val="clear" w:color="auto" w:fill="FFFFFF"/>
              </w:rPr>
              <w:t>.М</w:t>
            </w:r>
            <w:proofErr w:type="gramEnd"/>
            <w:r>
              <w:rPr>
                <w:i/>
                <w:shd w:val="clear" w:color="auto" w:fill="FFFFFF"/>
              </w:rPr>
              <w:t>еждуреченский</w:t>
            </w:r>
            <w:proofErr w:type="spellEnd"/>
            <w:r w:rsidRPr="00770166">
              <w:rPr>
                <w:i/>
                <w:iCs/>
              </w:rPr>
              <w:t xml:space="preserve"> </w:t>
            </w:r>
          </w:p>
        </w:tc>
        <w:tc>
          <w:tcPr>
            <w:tcW w:w="6521" w:type="dxa"/>
          </w:tcPr>
          <w:p w:rsidR="00F968E6" w:rsidRPr="004E394F" w:rsidRDefault="007C5AEA" w:rsidP="007C5AE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F968E6" w:rsidRPr="004E394F">
              <w:rPr>
                <w:i/>
              </w:rPr>
              <w:t xml:space="preserve">Выдача </w:t>
            </w:r>
            <w:r>
              <w:rPr>
                <w:i/>
              </w:rPr>
              <w:t xml:space="preserve">решения: </w:t>
            </w:r>
          </w:p>
          <w:p w:rsidR="008E5019" w:rsidRPr="007C5AEA" w:rsidRDefault="007C5AEA" w:rsidP="00E21CC0">
            <w:pPr>
              <w:autoSpaceDE w:val="0"/>
              <w:autoSpaceDN w:val="0"/>
              <w:ind w:left="57" w:right="57"/>
            </w:pPr>
            <w:proofErr w:type="gramStart"/>
            <w:r>
              <w:rPr>
                <w:i/>
              </w:rPr>
              <w:t xml:space="preserve">- о </w:t>
            </w:r>
            <w:r w:rsidRPr="007C5AEA">
              <w:rPr>
                <w:i/>
              </w:rPr>
              <w:t xml:space="preserve">согласовании переустройства и (или) перепланировки жилого помещения по форме, установленной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      </w:r>
            <w:r w:rsidRPr="007C5AEA">
              <w:t>перепланировки жилого помещения»;</w:t>
            </w:r>
            <w:proofErr w:type="gramEnd"/>
          </w:p>
          <w:p w:rsidR="007C5AEA" w:rsidRPr="007C5AEA" w:rsidRDefault="007C5AEA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C5AEA">
              <w:rPr>
                <w:i/>
                <w:iCs/>
              </w:rPr>
              <w:t xml:space="preserve">- </w:t>
            </w:r>
            <w:r w:rsidRPr="007C5AEA">
              <w:rPr>
                <w:i/>
              </w:rPr>
              <w:t>об отказе в согласовании переустройства и (или) перепланировки жилого помещения на бланке уполномоченного органа</w:t>
            </w:r>
          </w:p>
        </w:tc>
        <w:tc>
          <w:tcPr>
            <w:tcW w:w="2268" w:type="dxa"/>
          </w:tcPr>
          <w:p w:rsidR="008E5019" w:rsidRPr="00DB5F7E" w:rsidRDefault="00EF5695" w:rsidP="00E21CC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Количество оказанных услуг</w:t>
            </w:r>
          </w:p>
          <w:p w:rsidR="008E5019" w:rsidRPr="00DB5F7E" w:rsidRDefault="008E5019" w:rsidP="008E5019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F968E6" w:rsidRPr="004E394F" w:rsidRDefault="00EF5695" w:rsidP="00293598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В связи с тем, что услуга носит заявительный характер, определить целевые значения по годам не представляется возможным</w:t>
            </w:r>
          </w:p>
        </w:tc>
      </w:tr>
      <w:tr w:rsidR="007C5AEA" w:rsidRPr="00770166" w:rsidTr="00293598">
        <w:trPr>
          <w:trHeight w:val="848"/>
        </w:trPr>
        <w:tc>
          <w:tcPr>
            <w:tcW w:w="4139" w:type="dxa"/>
          </w:tcPr>
          <w:p w:rsidR="007C5AEA" w:rsidRDefault="007C5AEA" w:rsidP="002B7034">
            <w:pPr>
              <w:autoSpaceDE w:val="0"/>
              <w:autoSpaceDN w:val="0"/>
              <w:ind w:left="57" w:right="57"/>
              <w:jc w:val="both"/>
              <w:rPr>
                <w:i/>
                <w:shd w:val="clear" w:color="auto" w:fill="FFFFFF"/>
              </w:rPr>
            </w:pPr>
            <w:r w:rsidRPr="00E44477">
              <w:rPr>
                <w:i/>
                <w:shd w:val="clear" w:color="auto" w:fill="FFFFFF"/>
              </w:rPr>
              <w:t>повышени</w:t>
            </w:r>
            <w:r>
              <w:rPr>
                <w:i/>
                <w:shd w:val="clear" w:color="auto" w:fill="FFFFFF"/>
              </w:rPr>
              <w:t>е</w:t>
            </w:r>
            <w:r w:rsidRPr="00E44477">
              <w:rPr>
                <w:i/>
                <w:shd w:val="clear" w:color="auto" w:fill="FFFFFF"/>
              </w:rPr>
              <w:t xml:space="preserve"> качества </w:t>
            </w:r>
            <w:r>
              <w:rPr>
                <w:i/>
                <w:shd w:val="clear" w:color="auto" w:fill="FFFFFF"/>
              </w:rPr>
              <w:t>предоставления муниципальной услуги</w:t>
            </w:r>
          </w:p>
        </w:tc>
        <w:tc>
          <w:tcPr>
            <w:tcW w:w="6521" w:type="dxa"/>
          </w:tcPr>
          <w:p w:rsidR="007C5AEA" w:rsidRPr="004E394F" w:rsidRDefault="00DA501C" w:rsidP="007C5AE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Жалобы физических и юридических лиц</w:t>
            </w:r>
          </w:p>
        </w:tc>
        <w:tc>
          <w:tcPr>
            <w:tcW w:w="2268" w:type="dxa"/>
          </w:tcPr>
          <w:p w:rsidR="007C5AEA" w:rsidRDefault="00DA501C" w:rsidP="00E21CC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жалоба</w:t>
            </w:r>
          </w:p>
        </w:tc>
        <w:tc>
          <w:tcPr>
            <w:tcW w:w="2268" w:type="dxa"/>
          </w:tcPr>
          <w:p w:rsidR="007C5AEA" w:rsidRPr="004E394F" w:rsidRDefault="00DA501C" w:rsidP="00293598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1B7536" w:rsidRPr="00DA501C" w:rsidRDefault="00E21CC0" w:rsidP="001B7536">
      <w:pPr>
        <w:autoSpaceDE w:val="0"/>
        <w:autoSpaceDN w:val="0"/>
        <w:jc w:val="both"/>
        <w:rPr>
          <w:i/>
        </w:rPr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DB5F7E">
        <w:rPr>
          <w:i/>
        </w:rPr>
        <w:t xml:space="preserve">Индикаторами достижения целей предлагаемого правового регулирования являются </w:t>
      </w:r>
      <w:r w:rsidR="00DA501C">
        <w:rPr>
          <w:i/>
        </w:rPr>
        <w:t xml:space="preserve">обращение физических и юридических лиц за предоставлением муниципальной услуги и </w:t>
      </w:r>
      <w:hyperlink r:id="rId9" w:history="1">
        <w:r w:rsidR="00DA501C" w:rsidRPr="00DA501C">
          <w:rPr>
            <w:rStyle w:val="a5"/>
            <w:i/>
            <w:color w:val="auto"/>
            <w:u w:val="none"/>
          </w:rPr>
          <w:t>жалобы на решения</w:t>
        </w:r>
        <w:r w:rsidR="00DA501C">
          <w:rPr>
            <w:rStyle w:val="a5"/>
            <w:i/>
            <w:color w:val="auto"/>
            <w:u w:val="none"/>
          </w:rPr>
          <w:t xml:space="preserve"> Управления архитектуры и градостроительства, а так же </w:t>
        </w:r>
        <w:r w:rsidR="00DA501C" w:rsidRPr="00DA501C">
          <w:rPr>
            <w:rStyle w:val="a5"/>
            <w:i/>
            <w:color w:val="auto"/>
            <w:u w:val="none"/>
          </w:rPr>
          <w:t>действия (бездействия)</w:t>
        </w:r>
      </w:hyperlink>
      <w:r w:rsidR="00DA501C">
        <w:rPr>
          <w:i/>
        </w:rPr>
        <w:t xml:space="preserve"> специалиста, ответственного за предоставление муниципальной услуги</w:t>
      </w:r>
      <w:r w:rsidR="001B7536" w:rsidRPr="00DA501C">
        <w:rPr>
          <w:i/>
        </w:rPr>
        <w:t>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</w:t>
      </w:r>
      <w:r w:rsidR="001B7536" w:rsidRPr="00DB5F7E">
        <w:rPr>
          <w:i/>
        </w:rPr>
        <w:t>не влечет</w:t>
      </w:r>
      <w:r w:rsidR="001B7536">
        <w:t>.</w:t>
      </w: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DB5F7E" w:rsidRDefault="00DB5F7E" w:rsidP="00DA501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DB5F7E">
              <w:rPr>
                <w:i/>
              </w:rPr>
              <w:t xml:space="preserve">собственники помещений </w:t>
            </w:r>
            <w:r w:rsidR="00DA501C">
              <w:rPr>
                <w:i/>
              </w:rPr>
              <w:t xml:space="preserve">(физический и юридические лица </w:t>
            </w:r>
            <w:proofErr w:type="gramStart"/>
            <w:r w:rsidR="00DA501C">
              <w:rPr>
                <w:i/>
              </w:rPr>
              <w:t>)</w:t>
            </w:r>
            <w:r w:rsidRPr="00DB5F7E">
              <w:rPr>
                <w:i/>
              </w:rPr>
              <w:t>н</w:t>
            </w:r>
            <w:proofErr w:type="gramEnd"/>
            <w:r w:rsidRPr="00DB5F7E">
              <w:rPr>
                <w:i/>
              </w:rPr>
              <w:t xml:space="preserve">а территории </w:t>
            </w:r>
            <w:proofErr w:type="spellStart"/>
            <w:r w:rsidRPr="00DB5F7E">
              <w:rPr>
                <w:i/>
              </w:rPr>
              <w:t>пгт</w:t>
            </w:r>
            <w:proofErr w:type="spellEnd"/>
            <w:r w:rsidRPr="00DB5F7E">
              <w:rPr>
                <w:i/>
              </w:rPr>
              <w:t>. Междуреченский</w:t>
            </w:r>
          </w:p>
        </w:tc>
        <w:tc>
          <w:tcPr>
            <w:tcW w:w="3685" w:type="dxa"/>
          </w:tcPr>
          <w:p w:rsidR="00F76057" w:rsidRPr="00DB5F7E" w:rsidRDefault="00F76057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DB5F7E" w:rsidRDefault="00F76057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F968E6" w:rsidRPr="004E394F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E394F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E21CC0" w:rsidRPr="00F968E6" w:rsidRDefault="00293598" w:rsidP="00E21CC0">
            <w:pPr>
              <w:autoSpaceDE w:val="0"/>
              <w:autoSpaceDN w:val="0"/>
              <w:ind w:left="57" w:right="57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П</w:t>
            </w:r>
            <w:r w:rsidR="00DB5F7E" w:rsidRPr="004E394F">
              <w:rPr>
                <w:i/>
                <w:iCs/>
              </w:rPr>
              <w:t>редоставление муниципальной услуги</w:t>
            </w:r>
          </w:p>
        </w:tc>
        <w:tc>
          <w:tcPr>
            <w:tcW w:w="2495" w:type="dxa"/>
          </w:tcPr>
          <w:p w:rsidR="00E21CC0" w:rsidRPr="00DB5F7E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новая</w:t>
            </w:r>
          </w:p>
        </w:tc>
        <w:tc>
          <w:tcPr>
            <w:tcW w:w="2211" w:type="dxa"/>
          </w:tcPr>
          <w:p w:rsidR="00E21CC0" w:rsidRPr="00DB5F7E" w:rsidRDefault="00DB5F7E" w:rsidP="00E21CC0">
            <w:pPr>
              <w:autoSpaceDE w:val="0"/>
              <w:autoSpaceDN w:val="0"/>
              <w:rPr>
                <w:i/>
              </w:rPr>
            </w:pPr>
            <w:r w:rsidRPr="00DB5F7E">
              <w:rPr>
                <w:i/>
              </w:rPr>
              <w:t>Регламентированное предоставление муниципальной услуги</w:t>
            </w:r>
          </w:p>
        </w:tc>
        <w:tc>
          <w:tcPr>
            <w:tcW w:w="3827" w:type="dxa"/>
          </w:tcPr>
          <w:p w:rsidR="00E21CC0" w:rsidRPr="004E394F" w:rsidRDefault="00F968E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4E394F">
              <w:rPr>
                <w:i/>
              </w:rPr>
              <w:t>Численность сотрудников не изменится</w:t>
            </w:r>
          </w:p>
          <w:p w:rsidR="00F968E6" w:rsidRPr="00B3496A" w:rsidRDefault="00B3496A" w:rsidP="004E394F">
            <w:pPr>
              <w:autoSpaceDE w:val="0"/>
              <w:autoSpaceDN w:val="0"/>
              <w:jc w:val="center"/>
              <w:rPr>
                <w:i/>
              </w:rPr>
            </w:pPr>
            <w:r w:rsidRPr="00B3496A">
              <w:rPr>
                <w:i/>
              </w:rPr>
              <w:t>Оценка изменения трудовых затрат</w:t>
            </w:r>
            <w:r>
              <w:rPr>
                <w:i/>
              </w:rPr>
              <w:t xml:space="preserve"> 324 чел/час в год</w:t>
            </w:r>
          </w:p>
        </w:tc>
        <w:tc>
          <w:tcPr>
            <w:tcW w:w="3005" w:type="dxa"/>
          </w:tcPr>
          <w:p w:rsidR="00E21CC0" w:rsidRPr="00DB5F7E" w:rsidRDefault="001B7536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Не влечет</w:t>
            </w:r>
          </w:p>
        </w:tc>
      </w:tr>
    </w:tbl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6664"/>
        <w:gridCol w:w="4396"/>
      </w:tblGrid>
      <w:tr w:rsidR="00E21CC0" w:rsidRPr="00770166" w:rsidTr="009D46C4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6664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439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010C55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Администрация Кондинского района</w:t>
            </w:r>
          </w:p>
        </w:tc>
      </w:tr>
      <w:tr w:rsidR="00F968E6" w:rsidRPr="00770166" w:rsidTr="009D46C4">
        <w:trPr>
          <w:cantSplit/>
          <w:trHeight w:val="325"/>
        </w:trPr>
        <w:tc>
          <w:tcPr>
            <w:tcW w:w="4137" w:type="dxa"/>
            <w:vMerge w:val="restart"/>
          </w:tcPr>
          <w:p w:rsidR="00F968E6" w:rsidRPr="004E394F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E394F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F968E6" w:rsidRPr="00F968E6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  <w:highlight w:val="yellow"/>
              </w:rPr>
            </w:pPr>
            <w:r w:rsidRPr="004E394F">
              <w:rPr>
                <w:i/>
                <w:iCs/>
              </w:rPr>
              <w:t>Предоставление муниципальной услуги</w:t>
            </w:r>
          </w:p>
        </w:tc>
        <w:tc>
          <w:tcPr>
            <w:tcW w:w="6664" w:type="dxa"/>
          </w:tcPr>
          <w:p w:rsidR="00F968E6" w:rsidRPr="00770166" w:rsidRDefault="00F968E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4396" w:type="dxa"/>
          </w:tcPr>
          <w:p w:rsidR="00F968E6" w:rsidRPr="00010C55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9D46C4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4396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9D46C4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4396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4396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4396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9D46C4">
        <w:trPr>
          <w:cantSplit/>
          <w:trHeight w:val="419"/>
        </w:trPr>
        <w:tc>
          <w:tcPr>
            <w:tcW w:w="10801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4396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</w:tbl>
    <w:p w:rsidR="00010C55" w:rsidRPr="00010C55" w:rsidRDefault="00E21CC0" w:rsidP="00010C55">
      <w:pPr>
        <w:autoSpaceDE w:val="0"/>
        <w:autoSpaceDN w:val="0"/>
        <w:jc w:val="both"/>
        <w:rPr>
          <w:i/>
        </w:rPr>
      </w:pPr>
      <w:r w:rsidRPr="00770166">
        <w:lastRenderedPageBreak/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</w:t>
      </w:r>
      <w:r w:rsidR="00010C55" w:rsidRPr="00010C55">
        <w:rPr>
          <w:i/>
        </w:rPr>
        <w:t>отсутствуют.</w:t>
      </w:r>
    </w:p>
    <w:p w:rsidR="00010C55" w:rsidRPr="00010C55" w:rsidRDefault="00E21CC0" w:rsidP="00010C55">
      <w:pPr>
        <w:autoSpaceDE w:val="0"/>
        <w:autoSpaceDN w:val="0"/>
        <w:jc w:val="both"/>
        <w:rPr>
          <w:i/>
        </w:rPr>
      </w:pPr>
      <w:r w:rsidRPr="00770166">
        <w:t>6.5. Источники данных:</w:t>
      </w:r>
      <w:r w:rsidR="0048711F">
        <w:t xml:space="preserve"> </w:t>
      </w:r>
      <w:r w:rsidR="00010C55" w:rsidRPr="00010C55">
        <w:rPr>
          <w:i/>
        </w:rPr>
        <w:t>отсутствуют.</w:t>
      </w: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088"/>
        <w:gridCol w:w="2835"/>
        <w:gridCol w:w="2040"/>
      </w:tblGrid>
      <w:tr w:rsidR="00E21CC0" w:rsidRPr="00770166" w:rsidTr="00712B97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708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3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04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712B97">
        <w:trPr>
          <w:cantSplit/>
          <w:trHeight w:val="1048"/>
        </w:trPr>
        <w:tc>
          <w:tcPr>
            <w:tcW w:w="3005" w:type="dxa"/>
            <w:vMerge w:val="restart"/>
          </w:tcPr>
          <w:p w:rsidR="002B7034" w:rsidRPr="0048711F" w:rsidRDefault="00712B9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B5F7E">
              <w:rPr>
                <w:i/>
              </w:rPr>
              <w:t xml:space="preserve">собственники помещений </w:t>
            </w:r>
            <w:r>
              <w:rPr>
                <w:i/>
              </w:rPr>
              <w:t xml:space="preserve">(физический и юридические лица </w:t>
            </w:r>
            <w:proofErr w:type="gramStart"/>
            <w:r>
              <w:rPr>
                <w:i/>
              </w:rPr>
              <w:t>)</w:t>
            </w:r>
            <w:r w:rsidRPr="00DB5F7E">
              <w:rPr>
                <w:i/>
              </w:rPr>
              <w:t>н</w:t>
            </w:r>
            <w:proofErr w:type="gramEnd"/>
            <w:r w:rsidRPr="00DB5F7E">
              <w:rPr>
                <w:i/>
              </w:rPr>
              <w:t xml:space="preserve">а территории </w:t>
            </w:r>
            <w:proofErr w:type="spellStart"/>
            <w:r w:rsidRPr="00DB5F7E">
              <w:rPr>
                <w:i/>
              </w:rPr>
              <w:t>пгт</w:t>
            </w:r>
            <w:proofErr w:type="spellEnd"/>
            <w:r w:rsidRPr="00DB5F7E">
              <w:rPr>
                <w:i/>
              </w:rPr>
              <w:t>. Междуреченский</w:t>
            </w:r>
          </w:p>
        </w:tc>
        <w:tc>
          <w:tcPr>
            <w:tcW w:w="7088" w:type="dxa"/>
          </w:tcPr>
          <w:p w:rsidR="002B7034" w:rsidRPr="00010C55" w:rsidRDefault="002B7034" w:rsidP="00010C55">
            <w:pPr>
              <w:pStyle w:val="S"/>
              <w:ind w:firstLine="0"/>
              <w:rPr>
                <w:i/>
              </w:rPr>
            </w:pPr>
            <w:r w:rsidRPr="00010C55">
              <w:rPr>
                <w:i/>
                <w:iCs/>
              </w:rPr>
              <w:t xml:space="preserve">Преимуществом является: </w:t>
            </w:r>
            <w:r w:rsidR="00010C55" w:rsidRPr="00010C55">
              <w:rPr>
                <w:i/>
              </w:rPr>
              <w:t xml:space="preserve">предоставление муниципальной услуги </w:t>
            </w:r>
            <w:proofErr w:type="gramStart"/>
            <w:r w:rsidR="00010C55" w:rsidRPr="00010C55">
              <w:rPr>
                <w:i/>
              </w:rPr>
              <w:t>согласно</w:t>
            </w:r>
            <w:proofErr w:type="gramEnd"/>
            <w:r w:rsidR="00010C55" w:rsidRPr="00010C55">
              <w:rPr>
                <w:i/>
              </w:rPr>
              <w:t xml:space="preserve"> «Жилищного кодекса РФ»</w:t>
            </w:r>
            <w:r w:rsidR="00A65419">
              <w:rPr>
                <w:i/>
              </w:rPr>
              <w:t xml:space="preserve"> и законодательства о градостроительной деятельности.</w:t>
            </w:r>
          </w:p>
        </w:tc>
        <w:tc>
          <w:tcPr>
            <w:tcW w:w="2835" w:type="dxa"/>
          </w:tcPr>
          <w:p w:rsidR="002B7034" w:rsidRPr="00010C55" w:rsidRDefault="002B7034" w:rsidP="00E21CC0">
            <w:pPr>
              <w:autoSpaceDE w:val="0"/>
              <w:autoSpaceDN w:val="0"/>
              <w:rPr>
                <w:i/>
              </w:rPr>
            </w:pPr>
            <w:r w:rsidRPr="00010C55">
              <w:rPr>
                <w:i/>
              </w:rPr>
              <w:t>Не повлечет</w:t>
            </w:r>
          </w:p>
        </w:tc>
        <w:tc>
          <w:tcPr>
            <w:tcW w:w="2040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712B97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7088" w:type="dxa"/>
          </w:tcPr>
          <w:p w:rsidR="002B7034" w:rsidRPr="00010C55" w:rsidRDefault="002B7034" w:rsidP="00712B97">
            <w:pPr>
              <w:autoSpaceDE w:val="0"/>
              <w:autoSpaceDN w:val="0"/>
              <w:rPr>
                <w:i/>
              </w:rPr>
            </w:pPr>
            <w:r w:rsidRPr="00010C55">
              <w:rPr>
                <w:i/>
              </w:rPr>
              <w:t xml:space="preserve">Обязанности и ограничения: </w:t>
            </w:r>
            <w:r w:rsidR="00010C55">
              <w:rPr>
                <w:i/>
              </w:rPr>
              <w:t>соблюдение «Жилищного кодекса РФ»</w:t>
            </w:r>
            <w:r w:rsidRPr="00010C55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2B7034" w:rsidRPr="00010C55" w:rsidRDefault="002B7034" w:rsidP="00E21CC0">
            <w:pPr>
              <w:autoSpaceDE w:val="0"/>
              <w:autoSpaceDN w:val="0"/>
              <w:rPr>
                <w:i/>
              </w:rPr>
            </w:pPr>
            <w:r w:rsidRPr="00010C55">
              <w:rPr>
                <w:i/>
              </w:rPr>
              <w:t>Не повлечет</w:t>
            </w:r>
          </w:p>
        </w:tc>
        <w:tc>
          <w:tcPr>
            <w:tcW w:w="2040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010C55">
        <w:t xml:space="preserve"> </w:t>
      </w:r>
      <w:r w:rsidR="0048711F" w:rsidRPr="00010C55">
        <w:rPr>
          <w:i/>
        </w:rPr>
        <w:t>отсутствуют</w:t>
      </w:r>
    </w:p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>7.6. Источники данных:</w:t>
      </w:r>
      <w:r w:rsidR="0048711F">
        <w:t xml:space="preserve"> </w:t>
      </w:r>
      <w:r w:rsidR="0048711F" w:rsidRPr="00010C55">
        <w:rPr>
          <w:i/>
        </w:rPr>
        <w:t>отсутствуют</w:t>
      </w:r>
    </w:p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 xml:space="preserve">7.6.1. Описание упущенной выгоды, ее количественная оценка: </w:t>
      </w:r>
      <w:r w:rsidR="0048711F" w:rsidRPr="00010C55">
        <w:rPr>
          <w:i/>
        </w:rPr>
        <w:t>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712B9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C74B11">
              <w:rPr>
                <w:i/>
              </w:rPr>
              <w:t>осуществление перепланировки и (или) переустройства жилого</w:t>
            </w:r>
            <w:r w:rsidRPr="00C74B11">
              <w:rPr>
                <w:i/>
                <w:color w:val="000000"/>
                <w:shd w:val="clear" w:color="auto" w:fill="FFFFFF"/>
              </w:rPr>
              <w:t xml:space="preserve"> помещения без согласия </w:t>
            </w:r>
            <w:r w:rsidRPr="00C74B11">
              <w:rPr>
                <w:i/>
              </w:rPr>
              <w:t>всех собственников, а так же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по социальному найму</w:t>
            </w:r>
            <w:r>
              <w:rPr>
                <w:i/>
              </w:rPr>
              <w:t>; разрушение здания при не соблюдении правил строительства</w:t>
            </w:r>
          </w:p>
        </w:tc>
        <w:tc>
          <w:tcPr>
            <w:tcW w:w="3856" w:type="dxa"/>
          </w:tcPr>
          <w:p w:rsidR="00E21CC0" w:rsidRPr="00A65419" w:rsidRDefault="00010C55" w:rsidP="00712B97">
            <w:pPr>
              <w:autoSpaceDE w:val="0"/>
              <w:autoSpaceDN w:val="0"/>
              <w:rPr>
                <w:i/>
                <w:iCs/>
              </w:rPr>
            </w:pPr>
            <w:r w:rsidRPr="00A65419">
              <w:rPr>
                <w:i/>
                <w:iCs/>
              </w:rPr>
              <w:t>Высокая</w:t>
            </w:r>
            <w:r w:rsidR="00A65419" w:rsidRPr="00A65419">
              <w:rPr>
                <w:i/>
                <w:iCs/>
              </w:rPr>
              <w:t xml:space="preserve">. Собственники самовольно принимают решение о </w:t>
            </w:r>
            <w:r w:rsidR="00712B97">
              <w:rPr>
                <w:i/>
                <w:iCs/>
              </w:rPr>
              <w:t xml:space="preserve">перепланировки и (или) </w:t>
            </w:r>
            <w:proofErr w:type="gramStart"/>
            <w:r w:rsidR="00712B97">
              <w:rPr>
                <w:i/>
                <w:iCs/>
              </w:rPr>
              <w:t>переустройстве</w:t>
            </w:r>
            <w:proofErr w:type="gramEnd"/>
            <w:r w:rsidR="00712B97">
              <w:rPr>
                <w:i/>
                <w:iCs/>
              </w:rPr>
              <w:t xml:space="preserve"> жилого помещения</w:t>
            </w:r>
          </w:p>
        </w:tc>
        <w:tc>
          <w:tcPr>
            <w:tcW w:w="3799" w:type="dxa"/>
          </w:tcPr>
          <w:p w:rsidR="00E21CC0" w:rsidRPr="00B42E1D" w:rsidRDefault="00CF665D" w:rsidP="00712B97">
            <w:pPr>
              <w:autoSpaceDE w:val="0"/>
              <w:autoSpaceDN w:val="0"/>
              <w:rPr>
                <w:i/>
              </w:rPr>
            </w:pPr>
            <w:r w:rsidRPr="00B42E1D">
              <w:rPr>
                <w:i/>
              </w:rPr>
              <w:t xml:space="preserve">При </w:t>
            </w:r>
            <w:r w:rsidR="00712B97">
              <w:rPr>
                <w:i/>
              </w:rPr>
              <w:t>составлении технического паспорта точное описание объекта</w:t>
            </w:r>
          </w:p>
        </w:tc>
        <w:tc>
          <w:tcPr>
            <w:tcW w:w="3572" w:type="dxa"/>
          </w:tcPr>
          <w:p w:rsidR="00E21CC0" w:rsidRPr="00B42E1D" w:rsidRDefault="00EF5695" w:rsidP="00E21CC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</w:t>
      </w:r>
      <w:r w:rsidR="0048711F" w:rsidRPr="00712B97">
        <w:rPr>
          <w:i/>
        </w:rPr>
        <w:t>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4111"/>
        <w:gridCol w:w="4111"/>
      </w:tblGrid>
      <w:tr w:rsidR="0048711F" w:rsidRPr="00770166" w:rsidTr="00EF5695">
        <w:trPr>
          <w:cantSplit/>
        </w:trPr>
        <w:tc>
          <w:tcPr>
            <w:tcW w:w="6974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EF5695">
        <w:tc>
          <w:tcPr>
            <w:tcW w:w="6974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Принятие нормативно-правового акта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Отсутствие нормативно-правового акта</w:t>
            </w:r>
          </w:p>
        </w:tc>
      </w:tr>
      <w:tr w:rsidR="0048711F" w:rsidRPr="00770166" w:rsidTr="00EF5695">
        <w:tc>
          <w:tcPr>
            <w:tcW w:w="6974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 xml:space="preserve">Физические и юридические лица, </w:t>
            </w:r>
            <w:r w:rsidR="00CF665D" w:rsidRPr="00CF665D">
              <w:rPr>
                <w:i/>
              </w:rPr>
              <w:t xml:space="preserve">собственники помещений на территории </w:t>
            </w:r>
            <w:proofErr w:type="spellStart"/>
            <w:r w:rsidR="00CF665D" w:rsidRPr="00CF665D">
              <w:rPr>
                <w:i/>
              </w:rPr>
              <w:t>пгт</w:t>
            </w:r>
            <w:proofErr w:type="gramStart"/>
            <w:r w:rsidR="00CF665D" w:rsidRPr="00CF665D">
              <w:rPr>
                <w:i/>
              </w:rPr>
              <w:t>.М</w:t>
            </w:r>
            <w:proofErr w:type="gramEnd"/>
            <w:r w:rsidR="00CF665D" w:rsidRPr="00CF665D">
              <w:rPr>
                <w:i/>
              </w:rPr>
              <w:t>еждуреченский</w:t>
            </w:r>
            <w:proofErr w:type="spellEnd"/>
            <w:r w:rsidRPr="00CF665D">
              <w:rPr>
                <w:i/>
              </w:rPr>
              <w:t>.</w:t>
            </w:r>
          </w:p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EF5695">
        <w:tc>
          <w:tcPr>
            <w:tcW w:w="6974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jc w:val="both"/>
              <w:rPr>
                <w:i/>
              </w:rPr>
            </w:pPr>
            <w:r w:rsidRPr="00CF665D">
              <w:rPr>
                <w:rStyle w:val="pt-a0"/>
                <w:i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EF5695">
        <w:tc>
          <w:tcPr>
            <w:tcW w:w="6974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jc w:val="both"/>
              <w:rPr>
                <w:i/>
              </w:rPr>
            </w:pPr>
            <w:r w:rsidRPr="00CF665D">
              <w:rPr>
                <w:rStyle w:val="pt-a0"/>
                <w:i/>
              </w:rPr>
              <w:t>Дополнительных расходов (доходов) бюджета Кондинского района при принятии  НПА не повлечет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EF5695">
        <w:tc>
          <w:tcPr>
            <w:tcW w:w="6974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 xml:space="preserve"> Высокая.</w:t>
            </w:r>
          </w:p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Цели предполагаемого регулирования будут достигнуты в полном объеме путем принятия НПА</w:t>
            </w:r>
            <w:r w:rsidR="00CF665D">
              <w:rPr>
                <w:i/>
              </w:rPr>
              <w:t xml:space="preserve">. Муниципальная услуга будет предоставляться </w:t>
            </w:r>
            <w:proofErr w:type="gramStart"/>
            <w:r w:rsidR="00CF665D">
              <w:rPr>
                <w:i/>
              </w:rPr>
              <w:t>согласно законодательства</w:t>
            </w:r>
            <w:proofErr w:type="gramEnd"/>
            <w:r w:rsidR="00CF665D">
              <w:rPr>
                <w:i/>
              </w:rPr>
              <w:t xml:space="preserve"> РФ.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Оценка невозможна</w:t>
            </w:r>
          </w:p>
        </w:tc>
      </w:tr>
      <w:tr w:rsidR="0048711F" w:rsidRPr="00770166" w:rsidTr="00EF5695">
        <w:tc>
          <w:tcPr>
            <w:tcW w:w="6974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712B97" w:rsidRDefault="00EF5695" w:rsidP="00712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C74B11">
              <w:rPr>
                <w:i/>
              </w:rPr>
              <w:t>осуществление перепланировки и (или) переустройства жилого</w:t>
            </w:r>
            <w:r w:rsidRPr="00C74B11">
              <w:rPr>
                <w:i/>
                <w:color w:val="000000"/>
                <w:shd w:val="clear" w:color="auto" w:fill="FFFFFF"/>
              </w:rPr>
              <w:t xml:space="preserve"> помещения без согласия </w:t>
            </w:r>
            <w:r w:rsidRPr="00C74B11">
              <w:rPr>
                <w:i/>
              </w:rPr>
              <w:t>всех собственников, а так же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по социальному найму</w:t>
            </w:r>
            <w:r>
              <w:rPr>
                <w:i/>
              </w:rPr>
              <w:t xml:space="preserve">; разрушение здания при не соблюдении правил </w:t>
            </w:r>
            <w:r>
              <w:rPr>
                <w:i/>
              </w:rPr>
              <w:lastRenderedPageBreak/>
              <w:t>строительства</w:t>
            </w:r>
          </w:p>
        </w:tc>
        <w:tc>
          <w:tcPr>
            <w:tcW w:w="4111" w:type="dxa"/>
          </w:tcPr>
          <w:p w:rsidR="0048711F" w:rsidRPr="00712B97" w:rsidRDefault="00EF5695" w:rsidP="00712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C74B11">
              <w:rPr>
                <w:i/>
              </w:rPr>
              <w:lastRenderedPageBreak/>
              <w:t>осуществление перепланировки и (или) переустройства жилого</w:t>
            </w:r>
            <w:r w:rsidRPr="00C74B11">
              <w:rPr>
                <w:i/>
                <w:color w:val="000000"/>
                <w:shd w:val="clear" w:color="auto" w:fill="FFFFFF"/>
              </w:rPr>
              <w:t xml:space="preserve"> помещения без согласия </w:t>
            </w:r>
            <w:r w:rsidRPr="00C74B11">
              <w:rPr>
                <w:i/>
              </w:rPr>
              <w:t>всех собственников, а так же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по социальному найму</w:t>
            </w:r>
            <w:r>
              <w:rPr>
                <w:i/>
              </w:rPr>
              <w:t xml:space="preserve">; разрушение здания при не соблюдении правил </w:t>
            </w:r>
            <w:r>
              <w:rPr>
                <w:i/>
              </w:rPr>
              <w:lastRenderedPageBreak/>
              <w:t>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CF665D" w:rsidRPr="00CF665D" w:rsidRDefault="0048711F" w:rsidP="00CF665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CF665D">
        <w:rPr>
          <w:i/>
        </w:rPr>
        <w:t xml:space="preserve">Предпочтительно является использование первого варианта, т.е. принятие данного проекта </w:t>
      </w:r>
      <w:r w:rsidR="00712B97" w:rsidRPr="00712B97">
        <w:rPr>
          <w:i/>
        </w:rPr>
        <w:t>Прием заявлений и выдача документов о согласовании переустройства и (или) перепланировки жилого помещения</w:t>
      </w:r>
      <w:r w:rsidR="00CF665D" w:rsidRPr="00CF665D">
        <w:rPr>
          <w:rFonts w:eastAsiaTheme="minorHAnsi"/>
          <w:i/>
          <w:lang w:eastAsia="en-US"/>
        </w:rPr>
        <w:t xml:space="preserve"> допускается с учетом соблюдения требований Жилищного Кодекса и </w:t>
      </w:r>
      <w:r w:rsidR="00795F61">
        <w:rPr>
          <w:rFonts w:eastAsiaTheme="minorHAnsi"/>
          <w:i/>
          <w:lang w:eastAsia="en-US"/>
        </w:rPr>
        <w:t>правил строительства жилых зданий</w:t>
      </w:r>
      <w:r w:rsidR="00CF665D" w:rsidRPr="00CF665D">
        <w:rPr>
          <w:rFonts w:eastAsiaTheme="minorHAnsi"/>
          <w:i/>
          <w:lang w:eastAsia="en-US"/>
        </w:rPr>
        <w:t>.</w:t>
      </w: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CF665D" w:rsidRDefault="00CF665D" w:rsidP="0048711F">
      <w:pPr>
        <w:pStyle w:val="S"/>
        <w:tabs>
          <w:tab w:val="left" w:pos="851"/>
        </w:tabs>
        <w:rPr>
          <w:i/>
        </w:rPr>
      </w:pPr>
      <w:r w:rsidRPr="00CF665D">
        <w:rPr>
          <w:rStyle w:val="a6"/>
          <w:b w:val="0"/>
          <w:i/>
        </w:rPr>
        <w:t xml:space="preserve">Административный регламент предоставления муниципальной услуги </w:t>
      </w:r>
      <w:r w:rsidRPr="00CF665D">
        <w:rPr>
          <w:bCs/>
          <w:i/>
        </w:rPr>
        <w:t>«</w:t>
      </w:r>
      <w:r w:rsidR="00795F61" w:rsidRPr="00712B97">
        <w:rPr>
          <w:i/>
        </w:rPr>
        <w:t>Прием заявлений и выдача документов о согласовании переустройства и (или) перепланировки жилого помещения</w:t>
      </w:r>
      <w:r w:rsidRPr="00CF665D">
        <w:rPr>
          <w:bCs/>
          <w:i/>
        </w:rPr>
        <w:t>»</w:t>
      </w:r>
      <w:r w:rsidRPr="00CF665D">
        <w:rPr>
          <w:rStyle w:val="a6"/>
          <w:b w:val="0"/>
          <w:i/>
        </w:rPr>
        <w:t>, устанавливает сроки и последовательность административных процедур и административных действий Управления архитектуры и градостроительства, а также порядок его взаимодействия с заявителями, органами власти и организациями при предоставлении муниципальной услуги.</w:t>
      </w:r>
      <w:r w:rsidR="0048711F" w:rsidRPr="00CF665D">
        <w:rPr>
          <w:i/>
        </w:rPr>
        <w:tab/>
      </w:r>
    </w:p>
    <w:p w:rsidR="00E21CC0" w:rsidRPr="00CF665D" w:rsidRDefault="00E21CC0" w:rsidP="00E21CC0">
      <w:pPr>
        <w:autoSpaceDE w:val="0"/>
        <w:autoSpaceDN w:val="0"/>
        <w:rPr>
          <w:i/>
        </w:rPr>
        <w:sectPr w:rsidR="00E21CC0" w:rsidRPr="00CF665D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95F61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795F61">
        <w:t xml:space="preserve"> </w:t>
      </w:r>
    </w:p>
    <w:p w:rsidR="00E21CC0" w:rsidRPr="00795F61" w:rsidRDefault="0048711F" w:rsidP="00E21CC0">
      <w:pPr>
        <w:autoSpaceDE w:val="0"/>
        <w:autoSpaceDN w:val="0"/>
      </w:pPr>
      <w:r w:rsidRPr="00CF665D">
        <w:rPr>
          <w:i/>
        </w:rP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</w:rPr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  <w:r w:rsidR="00795F61">
        <w:t>.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Default="00E21CC0" w:rsidP="00E21CC0">
      <w:pPr>
        <w:autoSpaceDE w:val="0"/>
        <w:autoSpaceDN w:val="0"/>
        <w:jc w:val="both"/>
      </w:pPr>
    </w:p>
    <w:p w:rsidR="00795F61" w:rsidRPr="00770166" w:rsidRDefault="00795F61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6A" w:rsidRDefault="00B3496A" w:rsidP="00266753">
      <w:r>
        <w:separator/>
      </w:r>
    </w:p>
  </w:endnote>
  <w:endnote w:type="continuationSeparator" w:id="0">
    <w:p w:rsidR="00B3496A" w:rsidRDefault="00B3496A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6A" w:rsidRDefault="00B3496A" w:rsidP="00266753">
      <w:r>
        <w:separator/>
      </w:r>
    </w:p>
  </w:footnote>
  <w:footnote w:type="continuationSeparator" w:id="0">
    <w:p w:rsidR="00B3496A" w:rsidRDefault="00B3496A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6A" w:rsidRPr="004C359F" w:rsidRDefault="004056CA" w:rsidP="00E21CC0">
    <w:pPr>
      <w:pStyle w:val="a3"/>
      <w:jc w:val="center"/>
    </w:pPr>
    <w:fldSimple w:instr="PAGE   \* MERGEFORMAT">
      <w:r w:rsidR="00EF5695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10C55"/>
    <w:rsid w:val="000427CF"/>
    <w:rsid w:val="00056BCC"/>
    <w:rsid w:val="000A3A39"/>
    <w:rsid w:val="000B5522"/>
    <w:rsid w:val="001167BF"/>
    <w:rsid w:val="00143EAE"/>
    <w:rsid w:val="001B7536"/>
    <w:rsid w:val="00242E7F"/>
    <w:rsid w:val="00266753"/>
    <w:rsid w:val="0027409F"/>
    <w:rsid w:val="00293598"/>
    <w:rsid w:val="002B7034"/>
    <w:rsid w:val="0033199F"/>
    <w:rsid w:val="004056CA"/>
    <w:rsid w:val="0048711F"/>
    <w:rsid w:val="004A56D8"/>
    <w:rsid w:val="004E394F"/>
    <w:rsid w:val="0050085A"/>
    <w:rsid w:val="005F1B4B"/>
    <w:rsid w:val="00657E8B"/>
    <w:rsid w:val="006E1D65"/>
    <w:rsid w:val="00712B97"/>
    <w:rsid w:val="00761668"/>
    <w:rsid w:val="00795F61"/>
    <w:rsid w:val="007C5AEA"/>
    <w:rsid w:val="008174EA"/>
    <w:rsid w:val="008357D2"/>
    <w:rsid w:val="0084453E"/>
    <w:rsid w:val="0084665B"/>
    <w:rsid w:val="008E5019"/>
    <w:rsid w:val="00982A35"/>
    <w:rsid w:val="009D46C4"/>
    <w:rsid w:val="00A2197F"/>
    <w:rsid w:val="00A65419"/>
    <w:rsid w:val="00A95630"/>
    <w:rsid w:val="00AA5F46"/>
    <w:rsid w:val="00AB5A9D"/>
    <w:rsid w:val="00B31267"/>
    <w:rsid w:val="00B3496A"/>
    <w:rsid w:val="00B42E1D"/>
    <w:rsid w:val="00B62B06"/>
    <w:rsid w:val="00C07E81"/>
    <w:rsid w:val="00C74B11"/>
    <w:rsid w:val="00CF665D"/>
    <w:rsid w:val="00DA264C"/>
    <w:rsid w:val="00DA501C"/>
    <w:rsid w:val="00DA7578"/>
    <w:rsid w:val="00DB020D"/>
    <w:rsid w:val="00DB5F7E"/>
    <w:rsid w:val="00DB6181"/>
    <w:rsid w:val="00E10C64"/>
    <w:rsid w:val="00E21CC0"/>
    <w:rsid w:val="00ED6FD0"/>
    <w:rsid w:val="00EF4F94"/>
    <w:rsid w:val="00EF5695"/>
    <w:rsid w:val="00F71664"/>
    <w:rsid w:val="00F76057"/>
    <w:rsid w:val="00F84783"/>
    <w:rsid w:val="00F9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30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14</cp:revision>
  <cp:lastPrinted>2017-06-22T07:57:00Z</cp:lastPrinted>
  <dcterms:created xsi:type="dcterms:W3CDTF">2017-05-30T05:11:00Z</dcterms:created>
  <dcterms:modified xsi:type="dcterms:W3CDTF">2017-06-30T11:21:00Z</dcterms:modified>
</cp:coreProperties>
</file>