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Приказ Минспорта России от 28.01.2016 N 54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(ред. от 28.08.2019)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"Об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(ГТО)"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(Зарегистрировано в Минюсте России 04.03.2016 N 41328)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2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16.06.2023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lef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Зарегистрировано в Минюсте России 4 марта 2016 г. N 41328</w:t>
      </w: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МИНИСТЕРСТВО СПОРТА РОССИЙСКОЙ ФЕДЕРАЦИИ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ПРИКАЗ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28 января 2016 г. N 54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 УТВЕРЖДЕНИИ ПОРЯДКА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ОРГАНИЗАЦИИ И ПРОВЕДЕНИЯ ТЕСТИРОВАНИЯ ПО ВЫПОЛНЕНИЮ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НОРМАТИВОВ ИСПЫТАНИЙ (ТЕСТОВ) ВСЕРОССИЙСКОГО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ФИЗКУЛЬТУРНО-СПОРТИВНОГО КОМПЛЕКСА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"ГОТОВ К ТРУДУ И ОБОРОНЕ" (ГТО)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Приказов Минспорта России от 24.05.2017 </w:t>
            </w:r>
            <w:hyperlink r:id="rId1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452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09.01.2018 </w:t>
            </w:r>
            <w:hyperlink r:id="rId1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11.01.2019 </w:t>
            </w:r>
            <w:hyperlink r:id="rId1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28.08.2019 </w:t>
            </w:r>
            <w:hyperlink r:id="rId1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699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соответствии с </w:t>
      </w:r>
      <w:hyperlink r:id="rId1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4 статьи 31.1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2015, N 41, ст. 5628) приказываю: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Утвердить прилагаемый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порядок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Признать утратившими силу приказы Министерства спорта Российской Федерации от 29.08.2014 </w:t>
      </w:r>
      <w:hyperlink r:id="rId1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739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"Об утверждении Порядка организации и проведения тестирования населения в рамках Всероссийского физкультурно-спортивного комплекса "Готов к труду и обороне" (ГТО)" (зарегистрирован Министерством юстиции Российской Федерации 02.12.2014, регистрационный N 35050) и от 14.07.2015 </w:t>
      </w:r>
      <w:hyperlink r:id="rId1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731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"О внесении изменений в Порядок организации и проведения тестирования населения в рамках Всероссийского физкультурно-спортивного комплекса "Готов к труду и обороне" (ГТО), утвержденный приказом Министерства спорта Российской Федерации от 29.08.2014 N 739" (зарегистрирован Министерством юстиции Российской Федерации 11.08.2015, регистрационный N 38465).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Контроль за исполнением настоящего приказа возложить на статс-секретаря - заместителя Министра спорта Российской Федерации Н.В. Паршикову.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Министр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В.Л.МУТКО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Утвержден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приказом Министерства спорта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Российской Федерации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28 января 2016 г. N 54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" w:name="Par35"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ПОРЯДОК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ОРГАНИЗАЦИИ И ПРОВЕДЕНИЯ ТЕСТИРОВАНИЯ ПО ВЫПОЛНЕНИЮ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НОРМАТИВОВ ИСПЫТАНИЙ (ТЕСТОВ) ВСЕРОССИЙСКОГО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ФИЗКУЛЬТУРНО-СПОРТИВНОГО КОМПЛЕКСА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"ГОТОВ К ТРУДУ И ОБОРОНЕ" (ГТО)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Приказов Минспорта России от 24.05.2017 </w:t>
            </w:r>
            <w:hyperlink r:id="rId2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452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09.01.2018 </w:t>
            </w:r>
            <w:hyperlink r:id="rId2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11.01.2019 </w:t>
            </w:r>
            <w:hyperlink r:id="rId2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7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28.08.2019 </w:t>
            </w:r>
            <w:hyperlink r:id="rId2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699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I. Общие положения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Порядок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 (далее - порядок) разработан в соответствии с </w:t>
      </w:r>
      <w:hyperlink r:id="rId2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4 статьи 31.1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2015, N 41, ст. 5628).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Порядок определяет последовательность мероприятий по организации и проведению тестирования населения по выполнению государственных </w:t>
      </w:r>
      <w:hyperlink r:id="rId2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требований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Всероссийского физкультурно-спортивного комплекса "Готов к труду и обороне" (ГТО), утвержденных приказом Министерства спорта Российской Федерации от 08.07.2014 N 575 (зарегистрирован Министерством юстиции Российской Федерации 29.07.2014, регистрационный N 33345), с учетом изменений, внесенных приказом Минспорта России от 16.11.2015 N 1045 "О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(ГТО)" (зарегистрирован Минюстом России 01.12.2015, регистрационный N 39908) (далее - государственные требования).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Организация и проведение тестирования населения по выполнению нормативов испытаний (тестов) Всероссийского физкультурно-спортивного комплекса "Готов к труду и обороне" (ГТО) (далее - комплекс) осуществляется центрами тестирования по выполнению нормативов испытаний (тестов) комплекса (далее - центр тестирования).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II. Организация тестирования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2" w:name="Par52"/>
      <w:bookmarkEnd w:id="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Лицо, желающее пройти тестирование (далее - участник), регистрируется в информационно-телекоммуникационной сети "Интернет" на Всероссийском портале комплекса по адресу www.gto.ru (далее - портал).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3" w:name="Par53"/>
      <w:bookmarkEnd w:id="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При регистрации создается личный кабинет участника, в котором: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4" w:name="Par54"/>
      <w:bookmarkEnd w:id="4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5.1. Указываются: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фамилия, имя, отчество (при наличии);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пол;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дата рождения;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адрес места жительства;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адрес электронной почты, мобильный телефон;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информация об образовании и (или) трудоустройстве (место работы).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2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Минспорта России от 09.01.2018 N 2)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Абзацы восьмой - десятый утратили силу. - </w:t>
      </w:r>
      <w:hyperlink r:id="rId2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Минспорта России от 09.01.2018 N 2.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5" w:name="Par63"/>
      <w:bookmarkEnd w:id="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5.2. Загружается личная фотография в электронном виде в формате "jpeg" с соотношением сторон 3 x 4 на светлом фоне.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5.3. 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Допускается регистрация участника при личном обращении в центр тестирования. Регистрация в этом случае осуществляется при содействии сотрудника центра тестирования в соответствии с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подпунктами 5.1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5.2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 при предъявлении документа удостоверяющего личность (для лиц, не достигших четырнадцати лет - свидетельства о рождении, либо его копии).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6.1. Участник при первом посещении центра тестирования, либо после присвоения ему соответствующего почетного спортивного звания, спортивного звания и/или спортивного разряда, но не ниже "второго юношеского спортивного разряда" сообщает в центр тестирования сведения о наличии такого почетного спортивного звания, спортивного звания и/или спортивного разряда с предъявлением подтверждающих документов (выписка из документа о присвоении).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(пп. 6.1 введен </w:t>
      </w:r>
      <w:hyperlink r:id="rId2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Минспорта России от 09.01.2018 N 2)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 Регистрация завершается присвоением участнику уникального идентификационного номера (далее - УИН), состоящего из 11 цифр: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первые 2 цифры - указывают на календарный год регистрации;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вторые 2 цифры - цифровое обозначение субъекта Российской Федерации для определения места регистрации участника;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следующие 7 цифр - порядковый номер участника.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 После регистрации участник: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выбирает центр тестирования из предложенного списка на портале;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направляет в выбранный центр тестирования заявку на прохождение тестирования.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Допускается прием коллективных заявок, при выполнении условий, указанных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пунктах 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 Центр тестирования принимает заявки и формирует единый список участников.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 График проведения тестирования с указанием места тестирования, составляется центром тестирования и размещается на портале.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6" w:name="Par78"/>
      <w:bookmarkEnd w:id="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11. Условиями допуска участника к прохождению тестирования являются: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наличие заявки на прохождение тестирования;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правильность заполнения персональных данных участника, указанных при регистрации на портале;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соответствие фотографии участника, загруженной при регистрации;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предъявление документа, удостоверяющего личность (для лиц, не достигших четырнадцати лет - свидетельства о рождении, либо его копии);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предъявление медицинского заключения о допуске к выполнению нормативов испытаний (тестов) комплекса ГТО, выданного в соответствии с </w:t>
      </w:r>
      <w:hyperlink r:id="rId2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Порядком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обороне", утвержденным приказом Министерства здравоохранения Российской Федерации от 01.03.2016 N 134н (зарегистрирован Министерством юстиции Российской Федерации 21.06.2016, регистрационный N 42578). 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</w:t>
      </w:r>
      <w:hyperlink r:id="rId3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Министерства здравоохранения Российской Федерации от 21.12.2012 N 1346н "О Порядке прохождения несовершеннолетними медицинских осмотров, в том числе при поступлении в образовательные учреждения и в период их обучения в них" (зарегистрирован Министерством юстиции Российской Федерации 02.04.2013, регистрационный N 27961) медицинское заключение для допуска к выполнению нормативов комплекса не требуется;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3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Минспорта России от 24.05.2017 N 452)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согласие законного представителя несовершеннолетнего участника на прохождение тестирования.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12. Участник не допускается к прохождению тестирования в следующих случаях: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несоблюдения условий, указанных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11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ухудшения его физического состояния до начала тестирования.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13. Для прохождения участником очередного тестирования в заявке указываются только фамилия, имя, отчество (при наличии), УИН и выбранные для выполнения испытания (тесты).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14. В случае, если участник не выполнил норматив испытания (теста) комплекса на знак отличия, он имеет право один раз в отчетный период пройти повторное тестирование, но не ранее чем через 45 календарных дней со дня совершения первой попытки выполнения норматива испытания (теста). График проведения повторного тестирования определяется центром тестирования.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14 в ред. </w:t>
      </w:r>
      <w:hyperlink r:id="rId3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Минспорта России от 11.01.2019 N 7)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15. Центр тестирования обеспечивает условия для организации оказания медицинской помощи при проведении тестирования.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III. Проведение тестирования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16. Тестирование осуществляется по видам испытаний (тестов),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17. В целях реализации участниками своих физических возможностей, тестирование по выполнению нормативов испытаний (тестов) проводится в последовательности, установленной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18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порядка.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Проведение тестирования начинается с наименее энергозатратных испытаний (тестов), при этом участникам между выполнением нормативов испытаний (тестов) предоставляется время на отдых для восстановления функциональных возможностей организма.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7" w:name="Par100"/>
      <w:bookmarkEnd w:id="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18.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гибкости;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координационных способностей;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силы;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скоростных возможностей;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скоростно-силовых возможностей;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прикладных навыков;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выносливости.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19. 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20. Результаты тестирования каждого участника заносятся спортивным судьей в протокол выполнения государственных </w:t>
      </w:r>
      <w:hyperlink r:id="rId3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требований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 виду испытания (теста) (далее - протокол). Протокол подписывается спортивным судьей.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После тестирования по каждому испытанию (тесту) участникам сообщаются их результаты.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протоколе указываются: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номер и дата составления;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наименование субъекта Российской Федерации, муниципального образования, в котором проводилось тестирование;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дата проведения тестирования;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фамилия, имя, отчество (при наличии) участника;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УИН;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дата рождения;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пол;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основное место учебы, работы (при наличии);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ступень структуры комплекса и возрастная группа;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вид испытания (теста);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результат выполнения испытания (теста);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выполнение норматива комплекса;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нагрудный номер участника (при наличии);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спортивное звание (при наличии);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почетное спортивное звание (при наличии);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спортивный разряд с указанием вида спорта, но не ниже "второго юношеского спортивного разряда" (при наличии);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 подпись спортивного судьи.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21. 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</w:t>
      </w:r>
      <w:hyperlink r:id="rId3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требованиями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комплекса по соответствующим ступеням (возрастной группе) комплекса.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22. Присвоение участникам спортивных разрядов по спортивным дисциплинам видов спорта, включенным в комплекс, осуществляется в соответствии с требованиями Единой всероссийской спортивной </w:t>
      </w:r>
      <w:hyperlink r:id="rId3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классификации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23. 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электронную базу данных, относящихся к реализации комплекса.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24. Согласно </w:t>
      </w:r>
      <w:hyperlink r:id="rId3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части 5 статьи 31.2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Федерального закона от 04.12.2007 N 329-ФЗ "О физической культуре и спорте в Российской Федерации" центр тестирования представляет участников, выполнивших нормативы испытаний (тестов) комплекса, к награждению знаком отличия комплекса.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25. Отчетный период выполнения участниками нормативов испытаний (тестов) комплекса устанавливается с 1 января по 31 декабря.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25 в ред. </w:t>
      </w:r>
      <w:hyperlink r:id="rId3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Минспорта России от 28.08.2019 N 699)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8"/>
      <w:footerReference w:type="default" r:id="rId9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Минспорта России от 28.01.2016 N 54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28.08.2019)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утверждении порядка организации и проведения тестиро...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16.06.2023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218267&amp;date=16.06.2023&amp;dst=100006&amp;field=134" TargetMode="External"/><Relationship Id="rId14" Type="http://schemas.openxmlformats.org/officeDocument/2006/relationships/hyperlink" Target="https://login.consultant.ru/link/?req=doc&amp;base=LAW&amp;n=294134&amp;date=16.06.2023&amp;dst=100006&amp;field=134" TargetMode="External"/><Relationship Id="rId15" Type="http://schemas.openxmlformats.org/officeDocument/2006/relationships/hyperlink" Target="https://login.consultant.ru/link/?req=doc&amp;base=LAW&amp;n=321736&amp;date=16.06.2023&amp;dst=100006&amp;field=134" TargetMode="External"/><Relationship Id="rId16" Type="http://schemas.openxmlformats.org/officeDocument/2006/relationships/hyperlink" Target="https://login.consultant.ru/link/?req=doc&amp;base=LAW&amp;n=333941&amp;date=16.06.2023&amp;dst=100006&amp;field=134" TargetMode="External"/><Relationship Id="rId17" Type="http://schemas.openxmlformats.org/officeDocument/2006/relationships/hyperlink" Target="https://login.consultant.ru/link/?req=doc&amp;base=LAW&amp;n=446185&amp;date=16.06.2023&amp;dst=100643&amp;field=134" TargetMode="External"/><Relationship Id="rId18" Type="http://schemas.openxmlformats.org/officeDocument/2006/relationships/hyperlink" Target="https://login.consultant.ru/link/?req=doc&amp;base=LAW&amp;n=184499&amp;date=16.06.2023" TargetMode="External"/><Relationship Id="rId19" Type="http://schemas.openxmlformats.org/officeDocument/2006/relationships/hyperlink" Target="https://login.consultant.ru/link/?req=doc&amp;base=LAW&amp;n=184375&amp;date=16.06.2023" TargetMode="External"/><Relationship Id="rId20" Type="http://schemas.openxmlformats.org/officeDocument/2006/relationships/hyperlink" Target="https://login.consultant.ru/link/?req=doc&amp;base=LAW&amp;n=218267&amp;date=16.06.2023&amp;dst=100006&amp;field=134" TargetMode="External"/><Relationship Id="rId21" Type="http://schemas.openxmlformats.org/officeDocument/2006/relationships/hyperlink" Target="https://login.consultant.ru/link/?req=doc&amp;base=LAW&amp;n=294134&amp;date=16.06.2023&amp;dst=100006&amp;field=134" TargetMode="External"/><Relationship Id="rId22" Type="http://schemas.openxmlformats.org/officeDocument/2006/relationships/hyperlink" Target="https://login.consultant.ru/link/?req=doc&amp;base=LAW&amp;n=321736&amp;date=16.06.2023&amp;dst=100006&amp;field=134" TargetMode="External"/><Relationship Id="rId23" Type="http://schemas.openxmlformats.org/officeDocument/2006/relationships/hyperlink" Target="https://login.consultant.ru/link/?req=doc&amp;base=LAW&amp;n=333941&amp;date=16.06.2023&amp;dst=100006&amp;field=134" TargetMode="External"/><Relationship Id="rId24" Type="http://schemas.openxmlformats.org/officeDocument/2006/relationships/hyperlink" Target="https://login.consultant.ru/link/?req=doc&amp;base=LAW&amp;n=446185&amp;date=16.06.2023&amp;dst=100643&amp;field=134" TargetMode="External"/><Relationship Id="rId25" Type="http://schemas.openxmlformats.org/officeDocument/2006/relationships/hyperlink" Target="https://login.consultant.ru/link/?req=doc&amp;base=LAW&amp;n=210531&amp;date=16.06.2023&amp;dst=100010&amp;field=134" TargetMode="External"/><Relationship Id="rId26" Type="http://schemas.openxmlformats.org/officeDocument/2006/relationships/hyperlink" Target="https://login.consultant.ru/link/?req=doc&amp;base=LAW&amp;n=294134&amp;date=16.06.2023&amp;dst=100008&amp;field=134" TargetMode="External"/><Relationship Id="rId27" Type="http://schemas.openxmlformats.org/officeDocument/2006/relationships/hyperlink" Target="https://login.consultant.ru/link/?req=doc&amp;base=LAW&amp;n=294134&amp;date=16.06.2023&amp;dst=100007&amp;field=134" TargetMode="External"/><Relationship Id="rId28" Type="http://schemas.openxmlformats.org/officeDocument/2006/relationships/hyperlink" Target="https://login.consultant.ru/link/?req=doc&amp;base=LAW&amp;n=294134&amp;date=16.06.2023&amp;dst=100009&amp;field=134" TargetMode="External"/><Relationship Id="rId29" Type="http://schemas.openxmlformats.org/officeDocument/2006/relationships/hyperlink" Target="https://login.consultant.ru/link/?req=doc&amp;base=LAW&amp;n=358704&amp;date=16.06.2023&amp;dst=100010&amp;field=134" TargetMode="External"/><Relationship Id="rId30" Type="http://schemas.openxmlformats.org/officeDocument/2006/relationships/hyperlink" Target="https://login.consultant.ru/link/?req=doc&amp;base=LAW&amp;n=144975&amp;date=16.06.2023&amp;dst=100218&amp;field=134" TargetMode="External"/><Relationship Id="rId31" Type="http://schemas.openxmlformats.org/officeDocument/2006/relationships/hyperlink" Target="https://login.consultant.ru/link/?req=doc&amp;base=LAW&amp;n=218267&amp;date=16.06.2023&amp;dst=100007&amp;field=134" TargetMode="External"/><Relationship Id="rId32" Type="http://schemas.openxmlformats.org/officeDocument/2006/relationships/hyperlink" Target="https://login.consultant.ru/link/?req=doc&amp;base=LAW&amp;n=321736&amp;date=16.06.2023&amp;dst=100007&amp;field=134" TargetMode="External"/><Relationship Id="rId33" Type="http://schemas.openxmlformats.org/officeDocument/2006/relationships/hyperlink" Target="https://login.consultant.ru/link/?req=doc&amp;base=LAW&amp;n=443204&amp;date=16.06.2023&amp;dst=100012&amp;field=134" TargetMode="External"/><Relationship Id="rId34" Type="http://schemas.openxmlformats.org/officeDocument/2006/relationships/hyperlink" Target="https://login.consultant.ru/link/?req=doc&amp;base=LAW&amp;n=443204&amp;date=16.06.2023&amp;dst=100012&amp;field=134" TargetMode="External"/><Relationship Id="rId35" Type="http://schemas.openxmlformats.org/officeDocument/2006/relationships/hyperlink" Target="https://login.consultant.ru/link/?req=doc&amp;base=LAW&amp;n=447987&amp;date=16.06.2023&amp;dst=100006&amp;field=134" TargetMode="External"/><Relationship Id="rId36" Type="http://schemas.openxmlformats.org/officeDocument/2006/relationships/hyperlink" Target="https://login.consultant.ru/link/?req=doc&amp;base=LAW&amp;n=446185&amp;date=16.06.2023&amp;dst=100653&amp;field=134" TargetMode="External"/><Relationship Id="rId37" Type="http://schemas.openxmlformats.org/officeDocument/2006/relationships/hyperlink" Target="https://login.consultant.ru/link/?req=doc&amp;base=LAW&amp;n=333941&amp;date=16.06.2023&amp;dst=100007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28.01.2016 N 54(ред. от 28.08.2019)&amp;quot;Об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&amp;quot;Готов к труду и обороне&amp;quot; (ГТО)&amp;quot;(Зарегистрировано в Минюсте России 04.03.2016 N 41328)</dc:title>
  <dc:creator/>
  <cp:lastModifiedBy/>
</cp:coreProperties>
</file>