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DB6C2D">
        <w:rPr>
          <w:rFonts w:ascii="Arial" w:hAnsi="Arial" w:cs="Arial"/>
          <w:b/>
        </w:rPr>
        <w:t>продажи посредством публичного предложения</w:t>
      </w:r>
    </w:p>
    <w:p w:rsidR="00B444B1" w:rsidRDefault="007D202F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2310</w:t>
      </w:r>
      <w:bookmarkStart w:id="0" w:name="_GoBack"/>
      <w:bookmarkEnd w:id="0"/>
      <w:r w:rsidR="00CF40DC">
        <w:rPr>
          <w:rFonts w:ascii="Arial" w:hAnsi="Arial" w:cs="Arial"/>
          <w:b/>
        </w:rPr>
        <w:t>17</w:t>
      </w:r>
      <w:r w:rsidR="00B444B1">
        <w:rPr>
          <w:rFonts w:ascii="Arial" w:hAnsi="Arial" w:cs="Arial"/>
          <w:b/>
        </w:rPr>
        <w:t>/0105111/0</w:t>
      </w:r>
      <w:r w:rsidR="004A1655">
        <w:rPr>
          <w:rFonts w:ascii="Arial" w:hAnsi="Arial" w:cs="Arial"/>
          <w:b/>
        </w:rPr>
        <w:t>1</w:t>
      </w:r>
      <w:r w:rsidR="00B444B1"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 xml:space="preserve">Дата </w:t>
      </w:r>
      <w:r w:rsidR="00C71D78" w:rsidRPr="00472597">
        <w:rPr>
          <w:rFonts w:ascii="Arial" w:hAnsi="Arial" w:cs="Arial"/>
        </w:rPr>
        <w:t xml:space="preserve">определения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t xml:space="preserve">: </w:t>
      </w:r>
      <w:r w:rsidRPr="00472597">
        <w:rPr>
          <w:i/>
          <w:u w:val="single"/>
        </w:rPr>
        <w:tab/>
      </w:r>
      <w:r w:rsidR="007D202F">
        <w:rPr>
          <w:i/>
          <w:u w:val="single"/>
        </w:rPr>
        <w:t>21</w:t>
      </w:r>
      <w:r w:rsidR="00D04F0C" w:rsidRPr="00472597">
        <w:rPr>
          <w:i/>
          <w:u w:val="single"/>
        </w:rPr>
        <w:t xml:space="preserve"> </w:t>
      </w:r>
      <w:r w:rsidR="00CF40DC">
        <w:rPr>
          <w:i/>
          <w:u w:val="single"/>
        </w:rPr>
        <w:t>ноября</w:t>
      </w:r>
      <w:r w:rsidRPr="00472597">
        <w:rPr>
          <w:i/>
          <w:u w:val="single"/>
        </w:rPr>
        <w:t xml:space="preserve"> 201</w:t>
      </w:r>
      <w:r w:rsidR="00B74802" w:rsidRPr="00472597">
        <w:rPr>
          <w:i/>
          <w:u w:val="single"/>
        </w:rPr>
        <w:t>7</w:t>
      </w:r>
      <w:r w:rsidRPr="00472597">
        <w:rPr>
          <w:i/>
          <w:u w:val="single"/>
        </w:rPr>
        <w:t xml:space="preserve"> года</w:t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Место проведения</w:t>
      </w:r>
      <w:r w:rsidRPr="00472597">
        <w:t>:</w:t>
      </w:r>
      <w:r w:rsidRPr="00472597">
        <w:rPr>
          <w:u w:val="single"/>
        </w:rPr>
        <w:tab/>
      </w:r>
      <w:r w:rsidRPr="00472597">
        <w:rPr>
          <w:i/>
          <w:u w:val="single"/>
        </w:rPr>
        <w:t>628200, ул. Титова, 2</w:t>
      </w:r>
      <w:r w:rsidR="00D04F0C" w:rsidRPr="00472597">
        <w:rPr>
          <w:i/>
          <w:u w:val="single"/>
        </w:rPr>
        <w:t>4</w:t>
      </w:r>
      <w:r w:rsidRPr="00472597">
        <w:rPr>
          <w:i/>
          <w:u w:val="single"/>
        </w:rPr>
        <w:t xml:space="preserve">, </w:t>
      </w:r>
      <w:proofErr w:type="spellStart"/>
      <w:r w:rsidRPr="00472597">
        <w:rPr>
          <w:i/>
          <w:u w:val="single"/>
        </w:rPr>
        <w:t>пгт</w:t>
      </w:r>
      <w:proofErr w:type="spellEnd"/>
      <w:r w:rsidRPr="00472597">
        <w:rPr>
          <w:i/>
          <w:u w:val="single"/>
        </w:rPr>
        <w:t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</w:p>
    <w:p w:rsidR="009B3B25" w:rsidRPr="007D202F" w:rsidRDefault="00BD1BD9" w:rsidP="007D202F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proofErr w:type="gramStart"/>
      <w:r w:rsidRPr="00472597">
        <w:rPr>
          <w:rFonts w:ascii="Arial" w:hAnsi="Arial" w:cs="Arial"/>
        </w:rPr>
        <w:t>Предмет торгов (объект продажи)</w:t>
      </w:r>
      <w:r w:rsidRPr="00472597">
        <w:t xml:space="preserve">: </w:t>
      </w:r>
      <w:r w:rsidR="00CF40DC" w:rsidRPr="00CF40DC">
        <w:rPr>
          <w:i/>
          <w:u w:val="single"/>
        </w:rPr>
        <w:t xml:space="preserve">лот №1 </w:t>
      </w:r>
      <w:r w:rsidR="00CF40DC" w:rsidRPr="007D202F">
        <w:rPr>
          <w:i/>
          <w:u w:val="single"/>
        </w:rPr>
        <w:t xml:space="preserve">- </w:t>
      </w:r>
      <w:r w:rsidR="007D202F" w:rsidRPr="007D202F">
        <w:rPr>
          <w:i/>
          <w:u w:val="single"/>
        </w:rPr>
        <w:t xml:space="preserve">нежилые помещения цокольного этажа «Жилого 5-ти этажного дома с торгово-офисными помещениями», назначение: нежилое, общая площадь 242,1 </w:t>
      </w:r>
      <w:proofErr w:type="spellStart"/>
      <w:r w:rsidR="007D202F" w:rsidRPr="007D202F">
        <w:rPr>
          <w:i/>
          <w:u w:val="single"/>
        </w:rPr>
        <w:t>кв.м</w:t>
      </w:r>
      <w:proofErr w:type="spellEnd"/>
      <w:r w:rsidR="007D202F" w:rsidRPr="007D202F">
        <w:rPr>
          <w:i/>
          <w:u w:val="single"/>
        </w:rPr>
        <w:t>., этаж цокольный, номера на поэтажном плане 3, 11, 12, 13, 14, 15, 16, 17, 18, 19, 20, 21, 22, 23, 26, 27, 28, 29, 30, 31, кадастровый (или условный) номер: 86:15:14:0001Г:18Г:0000</w:t>
      </w:r>
      <w:proofErr w:type="gramEnd"/>
      <w:r w:rsidR="007D202F" w:rsidRPr="007D202F">
        <w:rPr>
          <w:i/>
          <w:u w:val="single"/>
        </w:rPr>
        <w:t xml:space="preserve">/20004, адрес: </w:t>
      </w:r>
      <w:proofErr w:type="spellStart"/>
      <w:r w:rsidR="007D202F" w:rsidRPr="007D202F">
        <w:rPr>
          <w:i/>
          <w:u w:val="single"/>
        </w:rPr>
        <w:t>г</w:t>
      </w:r>
      <w:proofErr w:type="gramStart"/>
      <w:r w:rsidR="007D202F" w:rsidRPr="007D202F">
        <w:rPr>
          <w:i/>
          <w:u w:val="single"/>
        </w:rPr>
        <w:t>.У</w:t>
      </w:r>
      <w:proofErr w:type="gramEnd"/>
      <w:r w:rsidR="007D202F" w:rsidRPr="007D202F">
        <w:rPr>
          <w:i/>
          <w:u w:val="single"/>
        </w:rPr>
        <w:t>рай</w:t>
      </w:r>
      <w:proofErr w:type="spellEnd"/>
      <w:r w:rsidR="007D202F" w:rsidRPr="007D202F">
        <w:rPr>
          <w:i/>
          <w:u w:val="single"/>
        </w:rPr>
        <w:t xml:space="preserve">, </w:t>
      </w:r>
      <w:proofErr w:type="spellStart"/>
      <w:r w:rsidR="007D202F" w:rsidRPr="007D202F">
        <w:rPr>
          <w:i/>
          <w:u w:val="single"/>
        </w:rPr>
        <w:t>мкр</w:t>
      </w:r>
      <w:proofErr w:type="spellEnd"/>
      <w:r w:rsidR="007D202F" w:rsidRPr="007D202F">
        <w:rPr>
          <w:i/>
          <w:u w:val="single"/>
        </w:rPr>
        <w:t>-н 1 г, д.18 г, Ханты-Мансийский автономный округ - Югра.</w:t>
      </w:r>
    </w:p>
    <w:p w:rsidR="007253C2" w:rsidRPr="00472597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Перечень принятых заявок:</w:t>
      </w:r>
      <w:r w:rsidR="00B74802" w:rsidRPr="00472597">
        <w:rPr>
          <w:rFonts w:ascii="Arial" w:hAnsi="Arial" w:cs="Arial"/>
        </w:rPr>
        <w:t xml:space="preserve"> </w:t>
      </w:r>
      <w:r w:rsidR="00B74802" w:rsidRPr="00472597">
        <w:rPr>
          <w:i/>
          <w:u w:val="single"/>
        </w:rPr>
        <w:t xml:space="preserve">лот №1: </w:t>
      </w:r>
      <w:r w:rsidR="004A1655" w:rsidRPr="00472597">
        <w:rPr>
          <w:i/>
          <w:u w:val="single"/>
        </w:rPr>
        <w:t>заявки отсутствуют</w:t>
      </w:r>
    </w:p>
    <w:p w:rsidR="00000060" w:rsidRPr="00472597" w:rsidRDefault="00C71D78" w:rsidP="00000060">
      <w:pPr>
        <w:contextualSpacing/>
        <w:jc w:val="both"/>
        <w:rPr>
          <w:u w:val="single"/>
        </w:rPr>
      </w:pPr>
      <w:r w:rsidRPr="00472597">
        <w:rPr>
          <w:rFonts w:ascii="Arial" w:hAnsi="Arial" w:cs="Arial"/>
        </w:rPr>
        <w:t>Перечень отозванных заявок</w:t>
      </w:r>
      <w:r w:rsidR="00000060" w:rsidRPr="00472597">
        <w:rPr>
          <w:rFonts w:ascii="Arial" w:hAnsi="Arial" w:cs="Arial"/>
        </w:rPr>
        <w:t>:</w:t>
      </w:r>
      <w:r w:rsidR="00000060" w:rsidRPr="00472597">
        <w:rPr>
          <w:u w:val="single"/>
        </w:rPr>
        <w:t xml:space="preserve"> </w:t>
      </w:r>
      <w:r w:rsidR="00000060" w:rsidRPr="00472597">
        <w:rPr>
          <w:i/>
          <w:u w:val="single"/>
        </w:rPr>
        <w:t>о</w:t>
      </w:r>
      <w:r w:rsidRPr="00472597">
        <w:rPr>
          <w:i/>
          <w:u w:val="single"/>
        </w:rPr>
        <w:t>тозванные заявки отсутствуют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</w:p>
    <w:p w:rsidR="007253C2" w:rsidRPr="00472597" w:rsidRDefault="002B5AA6" w:rsidP="007253C2">
      <w:pPr>
        <w:contextualSpacing/>
        <w:jc w:val="both"/>
        <w:rPr>
          <w:rFonts w:ascii="Arial" w:hAnsi="Arial" w:cs="Arial"/>
        </w:rPr>
      </w:pPr>
      <w:proofErr w:type="gramStart"/>
      <w:r w:rsidRPr="00472597">
        <w:rPr>
          <w:rFonts w:ascii="Arial" w:hAnsi="Arial" w:cs="Arial"/>
        </w:rPr>
        <w:t>Претенденты</w:t>
      </w:r>
      <w:proofErr w:type="gramEnd"/>
      <w:r w:rsidRPr="00472597">
        <w:rPr>
          <w:rFonts w:ascii="Arial" w:hAnsi="Arial" w:cs="Arial"/>
        </w:rPr>
        <w:t xml:space="preserve"> </w:t>
      </w:r>
      <w:r w:rsidR="00C71D78" w:rsidRPr="00472597">
        <w:rPr>
          <w:rFonts w:ascii="Arial" w:hAnsi="Arial" w:cs="Arial"/>
        </w:rPr>
        <w:t xml:space="preserve">признанные </w:t>
      </w:r>
      <w:r w:rsidRPr="00472597">
        <w:rPr>
          <w:rFonts w:ascii="Arial" w:hAnsi="Arial" w:cs="Arial"/>
        </w:rPr>
        <w:t>у</w:t>
      </w:r>
      <w:r w:rsidR="00000060" w:rsidRPr="00472597">
        <w:rPr>
          <w:rFonts w:ascii="Arial" w:hAnsi="Arial" w:cs="Arial"/>
        </w:rPr>
        <w:t>частник</w:t>
      </w:r>
      <w:r w:rsidR="00C71D78" w:rsidRPr="00472597">
        <w:rPr>
          <w:rFonts w:ascii="Arial" w:hAnsi="Arial" w:cs="Arial"/>
        </w:rPr>
        <w:t xml:space="preserve">ами </w:t>
      </w:r>
      <w:r w:rsidR="00DB6C2D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>:</w:t>
      </w:r>
      <w:r w:rsidR="00BD1BD9" w:rsidRPr="00472597">
        <w:rPr>
          <w:i/>
          <w:u w:val="single"/>
        </w:rPr>
        <w:t xml:space="preserve"> </w:t>
      </w:r>
      <w:r w:rsidR="00B444B1" w:rsidRPr="00472597">
        <w:rPr>
          <w:i/>
          <w:u w:val="single"/>
        </w:rPr>
        <w:t xml:space="preserve"> </w:t>
      </w:r>
      <w:r w:rsidR="004A1655" w:rsidRPr="00472597">
        <w:rPr>
          <w:i/>
          <w:u w:val="single"/>
        </w:rPr>
        <w:t xml:space="preserve">претенденты отсутствуют </w:t>
      </w:r>
      <w:r w:rsidR="00472597" w:rsidRPr="00472597">
        <w:rPr>
          <w:i/>
          <w:u w:val="single"/>
        </w:rPr>
        <w:tab/>
      </w:r>
    </w:p>
    <w:p w:rsidR="00000060" w:rsidRPr="00472597" w:rsidRDefault="0006266C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Претенденты</w:t>
      </w:r>
      <w:r w:rsidR="000D46E4" w:rsidRPr="00472597">
        <w:rPr>
          <w:rFonts w:ascii="Arial" w:hAnsi="Arial" w:cs="Arial"/>
        </w:rPr>
        <w:t>,</w:t>
      </w:r>
      <w:r w:rsidRPr="00472597">
        <w:rPr>
          <w:rFonts w:ascii="Arial" w:hAnsi="Arial" w:cs="Arial"/>
        </w:rPr>
        <w:t xml:space="preserve"> которым отказано в допуске к участию в </w:t>
      </w:r>
      <w:r w:rsidR="00DB6C2D" w:rsidRPr="00472597">
        <w:rPr>
          <w:rFonts w:ascii="Arial" w:hAnsi="Arial" w:cs="Arial"/>
        </w:rPr>
        <w:t>продаже</w:t>
      </w:r>
      <w:r w:rsidR="00000060" w:rsidRPr="00472597">
        <w:t>: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AB07DF" w:rsidRPr="00472597">
        <w:rPr>
          <w:i/>
          <w:u w:val="single"/>
        </w:rPr>
        <w:t>отсутствуют</w:t>
      </w:r>
      <w:r w:rsidR="009366C3" w:rsidRPr="00472597">
        <w:rPr>
          <w:i/>
          <w:u w:val="single"/>
        </w:rPr>
        <w:t>.</w:t>
      </w:r>
      <w:r w:rsidR="00B444B1" w:rsidRPr="00472597">
        <w:rPr>
          <w:i/>
          <w:u w:val="single"/>
        </w:rPr>
        <w:tab/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472597">
        <w:t xml:space="preserve"> </w:t>
      </w:r>
      <w:r w:rsidRPr="00472597">
        <w:rPr>
          <w:rFonts w:ascii="Arial" w:hAnsi="Arial" w:cs="Arial"/>
        </w:rPr>
        <w:t xml:space="preserve">продажа </w:t>
      </w:r>
      <w:r w:rsidR="00B444B1" w:rsidRPr="00472597">
        <w:rPr>
          <w:rFonts w:ascii="Arial" w:hAnsi="Arial" w:cs="Arial"/>
        </w:rPr>
        <w:t xml:space="preserve">имущества </w:t>
      </w:r>
      <w:r w:rsidRPr="00472597">
        <w:rPr>
          <w:rFonts w:ascii="Arial" w:hAnsi="Arial" w:cs="Arial"/>
        </w:rPr>
        <w:t>посредством публичного предложения по лот</w:t>
      </w:r>
      <w:r w:rsidR="004A1655">
        <w:rPr>
          <w:rFonts w:ascii="Arial" w:hAnsi="Arial" w:cs="Arial"/>
        </w:rPr>
        <w:t>у</w:t>
      </w:r>
      <w:r w:rsidR="00472597">
        <w:rPr>
          <w:rFonts w:ascii="Arial" w:hAnsi="Arial" w:cs="Arial"/>
        </w:rPr>
        <w:t xml:space="preserve"> №</w:t>
      </w:r>
      <w:r w:rsidR="004A1655">
        <w:rPr>
          <w:rFonts w:ascii="Arial" w:hAnsi="Arial" w:cs="Arial"/>
        </w:rPr>
        <w:t>1</w:t>
      </w:r>
      <w:r w:rsidRPr="00472597">
        <w:rPr>
          <w:rFonts w:ascii="Arial" w:hAnsi="Arial" w:cs="Arial"/>
        </w:rPr>
        <w:t xml:space="preserve"> признается несостоявшейся по причине отсутствия заявок претендентов. </w:t>
      </w: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Дополнительные сведения по </w:t>
      </w:r>
      <w:r w:rsidR="00832C10" w:rsidRPr="00472597">
        <w:rPr>
          <w:rFonts w:ascii="Arial" w:hAnsi="Arial" w:cs="Arial"/>
        </w:rPr>
        <w:t xml:space="preserve">определению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rPr>
          <w:rFonts w:ascii="Arial" w:hAnsi="Arial" w:cs="Arial"/>
        </w:rPr>
        <w:t>:</w:t>
      </w:r>
    </w:p>
    <w:p w:rsidR="00BD1BD9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о</w:t>
      </w:r>
      <w:r w:rsidR="00832C10" w:rsidRPr="00472597">
        <w:rPr>
          <w:rFonts w:ascii="Arial" w:hAnsi="Arial" w:cs="Arial"/>
        </w:rPr>
        <w:t xml:space="preserve">пределение участников </w:t>
      </w:r>
      <w:r w:rsidR="00B444B1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 xml:space="preserve"> соответствует требованиям законодательства РФ</w:t>
      </w:r>
      <w:r w:rsidRPr="00472597">
        <w:rPr>
          <w:rFonts w:ascii="Arial" w:hAnsi="Arial" w:cs="Arial"/>
        </w:rPr>
        <w:t>.</w:t>
      </w:r>
      <w:r w:rsidR="00BD1BD9" w:rsidRPr="00472597">
        <w:rPr>
          <w:rFonts w:ascii="Arial" w:hAnsi="Arial" w:cs="Arial"/>
        </w:rPr>
        <w:t xml:space="preserve"> 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Подписи: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КУМИ </w:t>
      </w:r>
      <w:proofErr w:type="spellStart"/>
      <w:r>
        <w:rPr>
          <w:rFonts w:ascii="Arial" w:hAnsi="Arial" w:cs="Arial"/>
        </w:rPr>
        <w:t>С.А.Грубцов</w:t>
      </w:r>
      <w:proofErr w:type="spellEnd"/>
      <w:r>
        <w:rPr>
          <w:rFonts w:ascii="Arial" w:hAnsi="Arial" w:cs="Arial"/>
        </w:rPr>
        <w:t>_________________________________________</w:t>
      </w: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Зам. председателя КУМИ И.П.Жукова_____________________________________</w:t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</w:p>
    <w:p w:rsidR="0001103B" w:rsidRPr="00472597" w:rsidRDefault="009C2793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УМИ О.В.Поляруш</w:t>
      </w:r>
      <w:r w:rsidR="0001103B" w:rsidRPr="00472597">
        <w:rPr>
          <w:rFonts w:ascii="Arial" w:hAnsi="Arial" w:cs="Arial"/>
        </w:rPr>
        <w:t>_______________________________________</w:t>
      </w:r>
    </w:p>
    <w:p w:rsidR="00B444B1" w:rsidRPr="00472597" w:rsidRDefault="00B444B1" w:rsidP="008923CD">
      <w:pPr>
        <w:contextualSpacing/>
        <w:jc w:val="both"/>
        <w:rPr>
          <w:rFonts w:ascii="Arial" w:hAnsi="Arial" w:cs="Arial"/>
        </w:rPr>
      </w:pPr>
    </w:p>
    <w:p w:rsidR="00A6126D" w:rsidRPr="00472597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49B6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72597"/>
    <w:rsid w:val="004A1655"/>
    <w:rsid w:val="004A39E4"/>
    <w:rsid w:val="004B1188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6FB3"/>
    <w:rsid w:val="007C31E0"/>
    <w:rsid w:val="007D202F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B1217"/>
    <w:rsid w:val="009B1AAD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CF40DC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Жукова Ирина Петровна</cp:lastModifiedBy>
  <cp:revision>19</cp:revision>
  <cp:lastPrinted>2017-05-25T05:25:00Z</cp:lastPrinted>
  <dcterms:created xsi:type="dcterms:W3CDTF">2011-02-21T08:40:00Z</dcterms:created>
  <dcterms:modified xsi:type="dcterms:W3CDTF">2017-11-21T08:04:00Z</dcterms:modified>
</cp:coreProperties>
</file>