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B6729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825C5C" w:rsidRPr="008F0E15" w:rsidRDefault="00B67297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67297">
              <w:rPr>
                <w:szCs w:val="24"/>
              </w:rPr>
              <w:t xml:space="preserve">Аукцион в электронной форме, </w:t>
            </w:r>
            <w:r w:rsidRPr="00B67297">
              <w:rPr>
                <w:b/>
                <w:szCs w:val="24"/>
              </w:rPr>
              <w:t>ограниченный по составу участников – только для субъектов малого и среднего предпринимательства</w:t>
            </w:r>
            <w:r w:rsidRPr="00B67297">
              <w:rPr>
                <w:szCs w:val="24"/>
              </w:rPr>
              <w:t xml:space="preserve"> и открытый по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042638">
              <w:rPr>
                <w:szCs w:val="24"/>
              </w:rPr>
              <w:t>07 августа</w:t>
            </w:r>
            <w:r w:rsidR="00E8509C">
              <w:rPr>
                <w:szCs w:val="24"/>
              </w:rPr>
              <w:t xml:space="preserve"> </w:t>
            </w:r>
            <w:r w:rsidR="00372F2A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372F2A">
              <w:rPr>
                <w:szCs w:val="24"/>
              </w:rPr>
              <w:t>10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EA4364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B67297">
              <w:rPr>
                <w:szCs w:val="24"/>
              </w:rPr>
              <w:t>а от 31 мая 2024 года № 585</w:t>
            </w:r>
            <w:r w:rsidR="004B6780">
              <w:rPr>
                <w:szCs w:val="24"/>
              </w:rPr>
              <w:t xml:space="preserve"> «О проведении аукциона</w:t>
            </w:r>
            <w:r w:rsidR="006118CE">
              <w:rPr>
                <w:szCs w:val="24"/>
              </w:rPr>
              <w:t xml:space="preserve"> в электронной фор</w:t>
            </w:r>
            <w:r w:rsidR="00C6561B">
              <w:rPr>
                <w:szCs w:val="24"/>
              </w:rPr>
              <w:t>м</w:t>
            </w:r>
            <w:r w:rsidR="00B67297">
              <w:rPr>
                <w:szCs w:val="24"/>
              </w:rPr>
              <w:t>е на право заключения договора аренды земельного участка</w:t>
            </w:r>
            <w:r w:rsidRPr="00EA4364">
              <w:rPr>
                <w:szCs w:val="24"/>
              </w:rPr>
              <w:t>».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057E5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D45504" w:rsidRDefault="00D45504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D14FC" w:rsidRDefault="001D14FC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границ:</w:t>
            </w:r>
          </w:p>
          <w:p w:rsidR="001D14FC" w:rsidRDefault="001D14FC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10C57" w:rsidRPr="00710889" w:rsidRDefault="00310C57" w:rsidP="00310C57">
            <w:pPr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 w:rsidRPr="00710889">
              <w:rPr>
                <w:rFonts w:eastAsia="Calibri"/>
                <w:spacing w:val="2"/>
                <w:szCs w:val="24"/>
                <w:lang w:eastAsia="en-US"/>
              </w:rPr>
              <w:t>Характеристика земельного участка</w:t>
            </w:r>
          </w:p>
          <w:p w:rsidR="00310C57" w:rsidRPr="00D057E5" w:rsidRDefault="00310C57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D057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D057E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76688" w:rsidRDefault="00276688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242106" w:rsidRDefault="002421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D057E5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D057E5">
              <w:rPr>
                <w:b/>
                <w:spacing w:val="3"/>
                <w:szCs w:val="24"/>
              </w:rPr>
              <w:t xml:space="preserve"> </w:t>
            </w:r>
          </w:p>
          <w:p w:rsidR="00724C06" w:rsidRPr="00D057E5" w:rsidRDefault="00724C06" w:rsidP="00A51872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i/>
                <w:szCs w:val="24"/>
              </w:rPr>
            </w:pPr>
            <w:r w:rsidRPr="00D057E5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F46A11" w:rsidRDefault="00F46A11" w:rsidP="00A51872">
            <w:pPr>
              <w:shd w:val="clear" w:color="auto" w:fill="FFFFFF"/>
              <w:rPr>
                <w:szCs w:val="24"/>
              </w:rPr>
            </w:pPr>
          </w:p>
          <w:p w:rsidR="00310C57" w:rsidRDefault="00310C57" w:rsidP="00A51872">
            <w:pPr>
              <w:shd w:val="clear" w:color="auto" w:fill="FFFFFF"/>
              <w:rPr>
                <w:szCs w:val="24"/>
              </w:rPr>
            </w:pPr>
          </w:p>
          <w:p w:rsidR="00310C57" w:rsidRDefault="00310C57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F60553" w:rsidRDefault="00724C06" w:rsidP="00A51872">
            <w:pPr>
              <w:shd w:val="clear" w:color="auto" w:fill="FFFFFF"/>
              <w:rPr>
                <w:spacing w:val="3"/>
                <w:szCs w:val="24"/>
              </w:rPr>
            </w:pPr>
            <w:r w:rsidRPr="00F60553">
              <w:rPr>
                <w:b/>
                <w:spacing w:val="3"/>
                <w:szCs w:val="24"/>
              </w:rPr>
              <w:t xml:space="preserve">  </w:t>
            </w: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BB5F50" w:rsidRDefault="00BB5F50" w:rsidP="00A51872">
            <w:pPr>
              <w:shd w:val="clear" w:color="auto" w:fill="FFFFFF"/>
              <w:rPr>
                <w:szCs w:val="24"/>
              </w:rPr>
            </w:pPr>
          </w:p>
          <w:p w:rsidR="00277F05" w:rsidRDefault="00277F05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rPr>
                <w:szCs w:val="24"/>
              </w:rPr>
            </w:pPr>
            <w:r w:rsidRPr="00F60553">
              <w:rPr>
                <w:szCs w:val="24"/>
              </w:rPr>
              <w:t>Начальная цена права на заключение договора</w:t>
            </w:r>
            <w:r w:rsidR="007A5527" w:rsidRPr="00F60553">
              <w:rPr>
                <w:szCs w:val="24"/>
              </w:rPr>
              <w:t xml:space="preserve"> аренды</w:t>
            </w:r>
            <w:r w:rsidRPr="00F60553">
              <w:rPr>
                <w:szCs w:val="24"/>
              </w:rPr>
              <w:t xml:space="preserve"> (предмета аукциона) в руб.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F60553" w:rsidRDefault="00F60553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05C92" w:rsidRDefault="00F05C92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F60553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F605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60553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F60553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057E5" w:rsidRDefault="00B67297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ул. Центральная, № 8, п. Дальний</w:t>
            </w:r>
            <w:r w:rsidR="00724C06" w:rsidRPr="00D057E5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</w:t>
            </w:r>
            <w:r w:rsidR="00724C06"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</w:p>
          <w:bookmarkEnd w:id="0"/>
          <w:p w:rsidR="00D45504" w:rsidRDefault="00D45504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1D14FC" w:rsidRDefault="001D14FC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14FC">
              <w:rPr>
                <w:rFonts w:ascii="Times New Roman" w:hAnsi="Times New Roman"/>
                <w:spacing w:val="2"/>
                <w:sz w:val="24"/>
                <w:szCs w:val="24"/>
              </w:rPr>
              <w:t>Границы земельного участка установлены</w:t>
            </w:r>
          </w:p>
          <w:p w:rsidR="001D14FC" w:rsidRDefault="001D14FC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10C57" w:rsidRPr="00710889" w:rsidRDefault="00B67297" w:rsidP="00310C57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Земельный участок находится в собственности муниципального образования Кондинский район</w:t>
            </w:r>
          </w:p>
          <w:p w:rsidR="00310C57" w:rsidRDefault="00310C57" w:rsidP="00372F2A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D057E5" w:rsidRDefault="00B67297" w:rsidP="00E8509C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86:01:1303</w:t>
            </w:r>
            <w:r w:rsidR="00724C0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1:1039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46587F" w:rsidRDefault="00B67297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="00724C06" w:rsidRPr="0046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46587F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D057E5" w:rsidRDefault="00724C06" w:rsidP="00A5187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D057E5">
              <w:rPr>
                <w:szCs w:val="24"/>
              </w:rPr>
              <w:t>нет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D057E5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7297" w:rsidRPr="004A53BB" w:rsidRDefault="00B67297" w:rsidP="00B6729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Земельный участок с кадаст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ровым номером 86:01:1303001:1039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полностью расположен в зонах с особыми условиями использования территории (ЗОУИТ): Охранная зона приаэродромной территории аэродрома «Урай», реестровые номера границы: 86:00-6.385, 86:00-6.388,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86:00-6.389, 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86:00-6.390.</w:t>
            </w:r>
          </w:p>
          <w:p w:rsidR="00B67297" w:rsidRDefault="00B67297" w:rsidP="00B6729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Земельный участок с кадаст</w:t>
            </w:r>
            <w:r w:rsidR="002421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ровым номером 86:01:1303001:1039</w:t>
            </w:r>
            <w:r w:rsidRPr="004A5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 xml:space="preserve"> имеет ограничения в использовании, установленные в границах зоны с особыми условиями использования территории в соответствии с Решением об установлении приаэродромной территории аэродрома «Урай», принятым Приказом РОСАВИАЦИИ №1483-П от 10.12.2020.</w:t>
            </w:r>
          </w:p>
          <w:p w:rsidR="00724C06" w:rsidRDefault="00724C06" w:rsidP="00A51872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9E163E" w:rsidRDefault="00EF3F9F" w:rsidP="00310C5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  <w:r w:rsidR="00310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C57" w:rsidRPr="00310C57">
              <w:rPr>
                <w:rFonts w:ascii="Times New Roman" w:hAnsi="Times New Roman"/>
                <w:sz w:val="24"/>
                <w:szCs w:val="24"/>
              </w:rPr>
              <w:t>(иные виды разрешенного использования не установлены)</w:t>
            </w:r>
          </w:p>
          <w:p w:rsidR="00724C06" w:rsidRPr="00D057E5" w:rsidRDefault="00724C06" w:rsidP="00A51872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EF3F9F" w:rsidRPr="008A5066" w:rsidRDefault="00EF3F9F" w:rsidP="00EF3F9F">
            <w:pPr>
              <w:rPr>
                <w:szCs w:val="24"/>
              </w:rPr>
            </w:pPr>
            <w:r w:rsidRPr="008A5066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3.</w:t>
            </w: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EF3F9F" w:rsidRPr="008A5066" w:rsidRDefault="00EF3F9F" w:rsidP="00EF3F9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506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35%.</w:t>
            </w:r>
          </w:p>
          <w:p w:rsidR="00310C57" w:rsidRPr="00310C57" w:rsidRDefault="00310C57" w:rsidP="00310C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10C57"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 w:rsidRPr="00310C57">
              <w:rPr>
                <w:spacing w:val="-4"/>
                <w:szCs w:val="24"/>
              </w:rPr>
              <w:t>Приказом Минстроя России от 15.05.2020 №264/пр</w:t>
            </w:r>
            <w:r w:rsidRPr="00310C57">
              <w:rPr>
                <w:szCs w:val="24"/>
              </w:rPr>
              <w:t xml:space="preserve"> – объекты, площа</w:t>
            </w:r>
            <w:r w:rsidR="00287D38">
              <w:rPr>
                <w:szCs w:val="24"/>
              </w:rPr>
              <w:t xml:space="preserve">дью до </w:t>
            </w:r>
            <w:r w:rsidR="00242106">
              <w:rPr>
                <w:szCs w:val="24"/>
              </w:rPr>
              <w:t>1500</w:t>
            </w:r>
            <w:r w:rsidRPr="00310C57">
              <w:rPr>
                <w:szCs w:val="24"/>
              </w:rPr>
              <w:t xml:space="preserve"> кв.м.</w:t>
            </w:r>
          </w:p>
          <w:p w:rsidR="00724C06" w:rsidRPr="00FC67D6" w:rsidRDefault="00724C06" w:rsidP="00A5187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</w:p>
          <w:p w:rsidR="00BB5F50" w:rsidRDefault="00F46A11" w:rsidP="00BB5F5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 xml:space="preserve">   </w:t>
            </w:r>
            <w:r w:rsidR="00BB5F50" w:rsidRPr="00692F84">
              <w:rPr>
                <w:szCs w:val="24"/>
              </w:rPr>
              <w:t xml:space="preserve">Условия </w:t>
            </w:r>
            <w:r w:rsidR="00BB5F50">
              <w:rPr>
                <w:szCs w:val="24"/>
              </w:rPr>
              <w:t>подключения (</w:t>
            </w:r>
            <w:r w:rsidR="00BB5F50" w:rsidRPr="00692F84">
              <w:rPr>
                <w:szCs w:val="24"/>
              </w:rPr>
              <w:t>технологического присоединения</w:t>
            </w:r>
            <w:r w:rsidR="00BB5F50">
              <w:rPr>
                <w:szCs w:val="24"/>
              </w:rPr>
              <w:t xml:space="preserve">) к сетям АО «ЮРЭСК»: подключение возможно </w:t>
            </w:r>
            <w:r w:rsidR="00646680">
              <w:rPr>
                <w:szCs w:val="24"/>
              </w:rPr>
              <w:t>от во</w:t>
            </w:r>
            <w:r w:rsidR="00242106">
              <w:rPr>
                <w:szCs w:val="24"/>
              </w:rPr>
              <w:t>здушной линии 0,4 кВ ф. Поселок, КТП 10/0,4 кВ №12-216</w:t>
            </w:r>
            <w:r w:rsidR="00DF7692">
              <w:rPr>
                <w:szCs w:val="24"/>
              </w:rPr>
              <w:t xml:space="preserve"> с установленной мощностью 250 кВА. Резервная мощность </w:t>
            </w:r>
            <w:r w:rsidR="00242106">
              <w:rPr>
                <w:szCs w:val="24"/>
              </w:rPr>
              <w:t>1</w:t>
            </w:r>
            <w:r w:rsidR="00DF7692">
              <w:rPr>
                <w:szCs w:val="24"/>
              </w:rPr>
              <w:t>5</w:t>
            </w:r>
            <w:r w:rsidR="00646680">
              <w:rPr>
                <w:szCs w:val="24"/>
              </w:rPr>
              <w:t>0</w:t>
            </w:r>
            <w:r w:rsidR="00BB5F50">
              <w:rPr>
                <w:szCs w:val="24"/>
              </w:rPr>
              <w:t xml:space="preserve"> кВА.</w:t>
            </w:r>
          </w:p>
          <w:p w:rsidR="00BB5F50" w:rsidRPr="00692F84" w:rsidRDefault="00BB5F50" w:rsidP="00BB5F5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692F84"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</w:t>
            </w:r>
            <w:r w:rsidRPr="00692F84">
              <w:rPr>
                <w:szCs w:val="24"/>
              </w:rPr>
              <w:lastRenderedPageBreak/>
              <w:t>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BB5F50" w:rsidRPr="002C63D2" w:rsidRDefault="00BB5F50" w:rsidP="00BB5F5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Условия подключения к сетям и</w:t>
            </w:r>
            <w:r w:rsidR="002E2BB4">
              <w:rPr>
                <w:szCs w:val="24"/>
              </w:rPr>
              <w:t>н</w:t>
            </w:r>
            <w:r>
              <w:rPr>
                <w:szCs w:val="24"/>
              </w:rPr>
              <w:t>женерно-тех</w:t>
            </w:r>
            <w:r w:rsidR="00646680">
              <w:rPr>
                <w:szCs w:val="24"/>
              </w:rPr>
              <w:t xml:space="preserve">нического обеспечения: </w:t>
            </w:r>
            <w:r w:rsidR="00277F05">
              <w:rPr>
                <w:szCs w:val="24"/>
              </w:rPr>
              <w:t xml:space="preserve">подключение к сетям водоснабжения возможно, </w:t>
            </w:r>
            <w:r w:rsidR="00646680">
              <w:rPr>
                <w:szCs w:val="24"/>
              </w:rPr>
              <w:t>п</w:t>
            </w:r>
            <w:r>
              <w:rPr>
                <w:szCs w:val="24"/>
              </w:rPr>
              <w:t>одключение к сетям тепло</w:t>
            </w:r>
            <w:r w:rsidRPr="002C63D2">
              <w:rPr>
                <w:szCs w:val="24"/>
              </w:rPr>
              <w:t>снабжения</w:t>
            </w:r>
            <w:r w:rsidR="00277F05">
              <w:rPr>
                <w:szCs w:val="24"/>
              </w:rPr>
              <w:t xml:space="preserve">, </w:t>
            </w:r>
            <w:r>
              <w:rPr>
                <w:szCs w:val="24"/>
              </w:rPr>
              <w:t>водоотведения</w:t>
            </w:r>
            <w:r w:rsidR="001D14FC">
              <w:rPr>
                <w:szCs w:val="24"/>
              </w:rPr>
              <w:t xml:space="preserve"> и газоснабжения</w:t>
            </w:r>
            <w:r w:rsidRPr="002C63D2">
              <w:rPr>
                <w:szCs w:val="24"/>
              </w:rPr>
              <w:t xml:space="preserve"> </w:t>
            </w:r>
            <w:r w:rsidR="00646680">
              <w:rPr>
                <w:szCs w:val="24"/>
              </w:rPr>
              <w:t xml:space="preserve">невозможно, в связи с отсутствием </w:t>
            </w:r>
            <w:r>
              <w:rPr>
                <w:szCs w:val="24"/>
              </w:rPr>
              <w:t>цент</w:t>
            </w:r>
            <w:r w:rsidR="00646680">
              <w:rPr>
                <w:szCs w:val="24"/>
              </w:rPr>
              <w:t>рализованных сетей</w:t>
            </w:r>
            <w:r>
              <w:rPr>
                <w:szCs w:val="24"/>
              </w:rPr>
              <w:t>.</w:t>
            </w:r>
          </w:p>
          <w:p w:rsidR="00724C06" w:rsidRPr="00F60553" w:rsidRDefault="00724C06" w:rsidP="00A51872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24C06" w:rsidRPr="00F60553" w:rsidRDefault="00724C06" w:rsidP="00A51872">
            <w:pPr>
              <w:shd w:val="clear" w:color="auto" w:fill="FFFFFF"/>
              <w:jc w:val="both"/>
              <w:rPr>
                <w:szCs w:val="24"/>
              </w:rPr>
            </w:pPr>
            <w:r w:rsidRPr="00F60553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724C06" w:rsidRPr="00F60553" w:rsidRDefault="00724C06" w:rsidP="00A51872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724C06" w:rsidRPr="00F60553" w:rsidRDefault="00277F05" w:rsidP="00A51872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9 123,84</w:t>
            </w:r>
            <w:r w:rsidR="00724C06" w:rsidRPr="00F60553">
              <w:rPr>
                <w:b/>
                <w:szCs w:val="24"/>
              </w:rPr>
              <w:t xml:space="preserve"> </w:t>
            </w:r>
            <w:r w:rsidR="00724C06" w:rsidRPr="00F60553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девять</w:t>
            </w:r>
            <w:r w:rsidR="00A85000" w:rsidRPr="00F60553">
              <w:rPr>
                <w:spacing w:val="7"/>
                <w:szCs w:val="24"/>
              </w:rPr>
              <w:t xml:space="preserve"> </w:t>
            </w:r>
            <w:r w:rsidR="00BB5F50">
              <w:rPr>
                <w:spacing w:val="7"/>
                <w:szCs w:val="24"/>
              </w:rPr>
              <w:t>тыся</w:t>
            </w:r>
            <w:r>
              <w:rPr>
                <w:spacing w:val="7"/>
                <w:szCs w:val="24"/>
              </w:rPr>
              <w:t>ч сто двадцать три</w:t>
            </w:r>
            <w:r w:rsidR="00287D38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руб. 84 коп.) рубля</w:t>
            </w:r>
            <w:r w:rsidR="00724C06" w:rsidRPr="00F60553">
              <w:rPr>
                <w:spacing w:val="7"/>
                <w:szCs w:val="24"/>
              </w:rPr>
              <w:t xml:space="preserve"> </w:t>
            </w:r>
            <w:r w:rsidR="007A5527" w:rsidRPr="00F60553">
              <w:rPr>
                <w:spacing w:val="7"/>
                <w:szCs w:val="24"/>
              </w:rPr>
              <w:t>в год</w:t>
            </w:r>
            <w:r w:rsidR="00D468DD">
              <w:rPr>
                <w:spacing w:val="7"/>
                <w:szCs w:val="24"/>
              </w:rPr>
              <w:t xml:space="preserve"> (</w:t>
            </w:r>
            <w:r w:rsidR="00724C06" w:rsidRPr="00F60553">
              <w:rPr>
                <w:spacing w:val="-4"/>
                <w:szCs w:val="24"/>
              </w:rPr>
              <w:t>НДС</w:t>
            </w:r>
            <w:r w:rsidR="00D468DD">
              <w:rPr>
                <w:spacing w:val="-4"/>
                <w:szCs w:val="24"/>
              </w:rPr>
              <w:t xml:space="preserve"> не облагается)</w:t>
            </w:r>
            <w:r w:rsidR="00724C06" w:rsidRPr="00F60553">
              <w:rPr>
                <w:spacing w:val="-4"/>
                <w:szCs w:val="24"/>
              </w:rPr>
              <w:t xml:space="preserve">. Начальный размер арендной платы определен в </w:t>
            </w:r>
            <w:r w:rsidR="007D4A61">
              <w:rPr>
                <w:spacing w:val="-4"/>
                <w:szCs w:val="24"/>
              </w:rPr>
              <w:t>соответствии с пунктом 2.2</w:t>
            </w:r>
            <w:r w:rsidR="00724C06" w:rsidRPr="00F60553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</w:t>
            </w:r>
            <w:r w:rsidR="0046587F" w:rsidRPr="00F60553">
              <w:rPr>
                <w:spacing w:val="-4"/>
                <w:szCs w:val="24"/>
              </w:rPr>
              <w:t>.</w:t>
            </w:r>
          </w:p>
          <w:p w:rsidR="00724C06" w:rsidRPr="00F60553" w:rsidRDefault="00724C06" w:rsidP="00A51872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F60553" w:rsidRDefault="00277F05" w:rsidP="00A51872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24C57">
              <w:rPr>
                <w:b/>
                <w:szCs w:val="24"/>
              </w:rPr>
              <w:t xml:space="preserve"> 5</w:t>
            </w:r>
            <w:r w:rsidR="00FF3FD7">
              <w:rPr>
                <w:b/>
                <w:szCs w:val="24"/>
              </w:rPr>
              <w:t>00</w:t>
            </w:r>
            <w:r w:rsidR="00724C06" w:rsidRPr="00F60553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(одна</w:t>
            </w:r>
            <w:r w:rsidR="00A62029"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>а</w:t>
            </w:r>
            <w:r w:rsidR="00A24C57">
              <w:rPr>
                <w:spacing w:val="3"/>
                <w:szCs w:val="24"/>
              </w:rPr>
              <w:t xml:space="preserve"> пятьсот</w:t>
            </w:r>
            <w:r w:rsidR="00A51212" w:rsidRPr="00F60553">
              <w:rPr>
                <w:spacing w:val="3"/>
                <w:szCs w:val="24"/>
              </w:rPr>
              <w:t xml:space="preserve"> </w:t>
            </w:r>
            <w:r w:rsidR="00724C06" w:rsidRPr="00F60553">
              <w:rPr>
                <w:spacing w:val="3"/>
                <w:szCs w:val="24"/>
              </w:rPr>
              <w:t>руб. 00 коп.) рублей</w:t>
            </w:r>
            <w:r w:rsidR="0074207F">
              <w:rPr>
                <w:spacing w:val="3"/>
                <w:szCs w:val="24"/>
              </w:rPr>
              <w:t>.</w:t>
            </w:r>
          </w:p>
          <w:p w:rsidR="00724C06" w:rsidRPr="00F60553" w:rsidRDefault="00724C06" w:rsidP="00A51872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F60553" w:rsidRDefault="004B19AE" w:rsidP="00F60553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D057E5" w:rsidRDefault="00277F05" w:rsidP="00A51872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  <w:r w:rsidR="00724C06" w:rsidRPr="00F605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24C06" w:rsidRPr="00F605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двести семьдесят три</w:t>
            </w:r>
            <w:r w:rsidR="00724C06" w:rsidRPr="00F6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F50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74207F">
              <w:rPr>
                <w:rFonts w:ascii="Times New Roman" w:hAnsi="Times New Roman"/>
                <w:spacing w:val="3"/>
                <w:sz w:val="24"/>
                <w:szCs w:val="24"/>
              </w:rPr>
              <w:t>ей.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277F05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287D38">
              <w:rPr>
                <w:bCs/>
                <w:szCs w:val="24"/>
              </w:rPr>
              <w:t>0</w:t>
            </w:r>
            <w:r w:rsidR="00724C06">
              <w:rPr>
                <w:bCs/>
                <w:szCs w:val="24"/>
              </w:rPr>
              <w:t xml:space="preserve"> </w:t>
            </w:r>
            <w:r w:rsidR="00FF3FD7">
              <w:rPr>
                <w:bCs/>
                <w:szCs w:val="24"/>
              </w:rPr>
              <w:t>месяцев</w:t>
            </w:r>
            <w:r w:rsidR="00310C57">
              <w:rPr>
                <w:bCs/>
                <w:szCs w:val="24"/>
              </w:rPr>
              <w:t xml:space="preserve"> </w:t>
            </w:r>
            <w:r w:rsidR="00310C57" w:rsidRPr="00310C57">
              <w:rPr>
                <w:bCs/>
                <w:szCs w:val="24"/>
              </w:rPr>
              <w:t>(срок аренды определен в соответствии с п.</w:t>
            </w:r>
            <w:r w:rsidR="00310C57" w:rsidRPr="00310C57">
              <w:rPr>
                <w:szCs w:val="24"/>
              </w:rPr>
              <w:t xml:space="preserve">9 ст.39.8 Земельного кодекса Российской Федерации и </w:t>
            </w:r>
            <w:r w:rsidR="00310C57" w:rsidRPr="00310C57">
              <w:rPr>
                <w:spacing w:val="-4"/>
                <w:szCs w:val="24"/>
              </w:rPr>
              <w:t>Приказом Минстроя России от 15.05.2020 №264/пр)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042638">
              <w:rPr>
                <w:szCs w:val="24"/>
              </w:rPr>
              <w:t>ти состоится с 15 июля по 19 июля</w:t>
            </w:r>
            <w:r w:rsidR="00A24C57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 xml:space="preserve">форме. После заполнения формы подачи заявки, заявку необходимо подписать </w:t>
            </w:r>
            <w:r w:rsidRPr="00A618F7">
              <w:rPr>
                <w:color w:val="000000"/>
                <w:szCs w:val="24"/>
              </w:rPr>
              <w:lastRenderedPageBreak/>
              <w:t>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891BCE" w:rsidRP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891BCE" w:rsidRDefault="00891BCE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891BCE">
              <w:rPr>
                <w:color w:val="1F1F1F"/>
                <w:szCs w:val="24"/>
              </w:rPr>
              <w:t xml:space="preserve">4) документы подтверждающие внесение задатка; </w:t>
            </w:r>
          </w:p>
          <w:p w:rsidR="00B67297" w:rsidRPr="00891BCE" w:rsidRDefault="00B67297" w:rsidP="00891BC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5) </w:t>
            </w:r>
            <w:r w:rsidRPr="00B67297">
              <w:rPr>
                <w:color w:val="1F1F1F"/>
                <w:szCs w:val="24"/>
              </w:rPr>
              <w:t>Сведения из единого реестра субъектов малого</w:t>
            </w:r>
            <w:r>
              <w:rPr>
                <w:color w:val="1F1F1F"/>
                <w:szCs w:val="24"/>
              </w:rPr>
              <w:t xml:space="preserve"> и среднего предпринимательства.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>площадки в виде электронных документов, заверенных электронной подписью претендента либо лица, имеющего право де</w:t>
            </w:r>
            <w:r w:rsidR="001116F4">
              <w:rPr>
                <w:color w:val="000000"/>
                <w:szCs w:val="24"/>
              </w:rPr>
              <w:t>йствовать от имени претендента.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78199F">
              <w:rPr>
                <w:bCs/>
                <w:color w:val="000000"/>
                <w:szCs w:val="24"/>
              </w:rPr>
              <w:t>0</w:t>
            </w:r>
            <w:r w:rsidR="001116F4">
              <w:rPr>
                <w:bCs/>
                <w:color w:val="000000"/>
                <w:szCs w:val="24"/>
              </w:rPr>
              <w:t>6</w:t>
            </w:r>
            <w:r w:rsidR="00042638">
              <w:rPr>
                <w:color w:val="000000"/>
                <w:szCs w:val="24"/>
              </w:rPr>
              <w:t xml:space="preserve"> июля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78199F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042638">
              <w:rPr>
                <w:color w:val="000000"/>
                <w:szCs w:val="24"/>
              </w:rPr>
              <w:t>05 августа</w:t>
            </w:r>
            <w:r>
              <w:rPr>
                <w:color w:val="000000"/>
                <w:szCs w:val="24"/>
              </w:rPr>
              <w:t xml:space="preserve"> </w:t>
            </w:r>
            <w:r w:rsidR="001116F4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042638">
              <w:rPr>
                <w:color w:val="000000"/>
                <w:szCs w:val="24"/>
              </w:rPr>
              <w:t>состоится 06 августа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1116F4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 xml:space="preserve">на участие в аукционе, поступившая по истечении срока приема заявок, возвращается заявителю </w:t>
            </w:r>
            <w:r w:rsidR="009176A8" w:rsidRPr="005D7F40">
              <w:rPr>
                <w:szCs w:val="24"/>
              </w:rPr>
              <w:lastRenderedPageBreak/>
              <w:t>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042638">
              <w:rPr>
                <w:bCs/>
                <w:szCs w:val="24"/>
              </w:rPr>
              <w:t>тупить не позднее 05 августа</w:t>
            </w:r>
            <w:r w:rsidR="001F5428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1F542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Pr="0078199F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  <w:u w:val="single"/>
              </w:rPr>
            </w:pPr>
            <w:r w:rsidRPr="0078199F">
              <w:rPr>
                <w:bCs/>
                <w:szCs w:val="24"/>
                <w:u w:val="single"/>
              </w:rPr>
              <w:t>Назначение платежа: «Перечисление денежных средств в качестве задатка, ИНН плательщика. НДС не облагается».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</w:t>
            </w:r>
            <w:r w:rsidR="000D1046" w:rsidRPr="000D1046">
              <w:rPr>
                <w:bCs/>
                <w:szCs w:val="24"/>
              </w:rPr>
              <w:lastRenderedPageBreak/>
              <w:t xml:space="preserve">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</w:t>
            </w:r>
            <w:r w:rsidRPr="005D7F40">
              <w:rPr>
                <w:szCs w:val="24"/>
              </w:rPr>
              <w:lastRenderedPageBreak/>
              <w:t xml:space="preserve">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1F5428" w:rsidRDefault="001F542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1F5428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A68AD" w:rsidRDefault="003A68AD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6F007F" w:rsidRDefault="006F007F" w:rsidP="000F1F54">
      <w:pPr>
        <w:spacing w:line="216" w:lineRule="auto"/>
        <w:rPr>
          <w:color w:val="FF0000"/>
          <w:sz w:val="25"/>
          <w:szCs w:val="25"/>
        </w:rPr>
      </w:pPr>
    </w:p>
    <w:p w:rsidR="001F5428" w:rsidRDefault="001F5428" w:rsidP="000F1F54">
      <w:pPr>
        <w:spacing w:line="216" w:lineRule="auto"/>
        <w:rPr>
          <w:color w:val="FF0000"/>
          <w:sz w:val="25"/>
          <w:szCs w:val="25"/>
        </w:rPr>
      </w:pPr>
    </w:p>
    <w:p w:rsidR="0078199F" w:rsidRDefault="0078199F" w:rsidP="000F1F54">
      <w:pPr>
        <w:spacing w:line="216" w:lineRule="auto"/>
        <w:rPr>
          <w:color w:val="FF0000"/>
          <w:sz w:val="25"/>
          <w:szCs w:val="25"/>
        </w:rPr>
      </w:pPr>
    </w:p>
    <w:p w:rsidR="0078199F" w:rsidRDefault="0078199F" w:rsidP="000F1F54">
      <w:pPr>
        <w:spacing w:line="216" w:lineRule="auto"/>
        <w:rPr>
          <w:color w:val="FF0000"/>
          <w:sz w:val="25"/>
          <w:szCs w:val="25"/>
        </w:rPr>
      </w:pPr>
    </w:p>
    <w:p w:rsidR="0078199F" w:rsidRDefault="0078199F" w:rsidP="000F1F54">
      <w:pPr>
        <w:spacing w:line="216" w:lineRule="auto"/>
        <w:rPr>
          <w:color w:val="FF0000"/>
          <w:sz w:val="25"/>
          <w:szCs w:val="25"/>
        </w:rPr>
      </w:pPr>
    </w:p>
    <w:p w:rsidR="0078199F" w:rsidRDefault="0078199F" w:rsidP="000F1F54">
      <w:pPr>
        <w:spacing w:line="216" w:lineRule="auto"/>
        <w:rPr>
          <w:color w:val="FF0000"/>
          <w:sz w:val="25"/>
          <w:szCs w:val="25"/>
        </w:rPr>
      </w:pPr>
    </w:p>
    <w:p w:rsidR="00042638" w:rsidRDefault="00042638" w:rsidP="000F1F54">
      <w:pPr>
        <w:spacing w:line="216" w:lineRule="auto"/>
        <w:rPr>
          <w:color w:val="FF0000"/>
          <w:sz w:val="25"/>
          <w:szCs w:val="25"/>
        </w:rPr>
      </w:pPr>
    </w:p>
    <w:p w:rsidR="00042638" w:rsidRDefault="00042638" w:rsidP="000F1F54">
      <w:pPr>
        <w:spacing w:line="216" w:lineRule="auto"/>
        <w:rPr>
          <w:color w:val="FF0000"/>
          <w:sz w:val="25"/>
          <w:szCs w:val="25"/>
        </w:rPr>
      </w:pPr>
    </w:p>
    <w:p w:rsidR="00FD1794" w:rsidRPr="000A41F6" w:rsidRDefault="00FD1794" w:rsidP="00FD1794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FD1794" w:rsidRDefault="00FD1794" w:rsidP="00FD17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FD1794" w:rsidRPr="000A41F6" w:rsidRDefault="00FD1794" w:rsidP="00FD1794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FD1794" w:rsidRPr="001F5469" w:rsidRDefault="00FD1794" w:rsidP="00FD1794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FD1794" w:rsidRPr="00F0581F" w:rsidTr="005443EC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FD1794" w:rsidRPr="00F0581F" w:rsidTr="005443EC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FD1794" w:rsidRDefault="00FD1794" w:rsidP="00FD1794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FD1794" w:rsidRPr="00F0581F" w:rsidTr="005443EC">
        <w:tc>
          <w:tcPr>
            <w:tcW w:w="772" w:type="dxa"/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D1794" w:rsidRPr="00F0581F" w:rsidRDefault="00FD1794" w:rsidP="005443EC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FD1794" w:rsidRPr="00A92B7C" w:rsidRDefault="00FD1794" w:rsidP="00FD1794">
      <w:pPr>
        <w:spacing w:line="216" w:lineRule="auto"/>
        <w:rPr>
          <w:sz w:val="25"/>
          <w:szCs w:val="25"/>
        </w:rPr>
      </w:pP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FD1794" w:rsidRDefault="00FD1794" w:rsidP="00FD1794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FD1794" w:rsidRDefault="00FD1794" w:rsidP="00FD1794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FD1794" w:rsidRDefault="00FD1794" w:rsidP="00FD1794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С проектом договора аренды земельного участка.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FD1794" w:rsidRDefault="00FD1794" w:rsidP="00FD1794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FD1794" w:rsidRPr="0076206E" w:rsidRDefault="00FD1794" w:rsidP="00FD1794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FD1794" w:rsidRPr="001F5469" w:rsidRDefault="00FD1794" w:rsidP="00FD1794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FD1794" w:rsidRPr="00A92B7C" w:rsidRDefault="00FD1794" w:rsidP="00FD1794">
      <w:pPr>
        <w:spacing w:line="216" w:lineRule="auto"/>
        <w:rPr>
          <w:bCs/>
          <w:sz w:val="25"/>
          <w:szCs w:val="25"/>
        </w:rPr>
      </w:pP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FD1794" w:rsidRDefault="00FD1794" w:rsidP="00FD1794">
      <w:pPr>
        <w:spacing w:line="216" w:lineRule="auto"/>
        <w:rPr>
          <w:bCs/>
          <w:sz w:val="25"/>
          <w:szCs w:val="25"/>
        </w:rPr>
      </w:pPr>
    </w:p>
    <w:p w:rsidR="00FD1794" w:rsidRPr="00A92B7C" w:rsidRDefault="00FD1794" w:rsidP="00FD1794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FD1794" w:rsidRDefault="00FD1794" w:rsidP="00FD1794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FD1794" w:rsidRDefault="00FD1794" w:rsidP="00FD1794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D1794" w:rsidRDefault="00FD1794" w:rsidP="00FD1794">
      <w:pPr>
        <w:spacing w:line="216" w:lineRule="auto"/>
        <w:rPr>
          <w:sz w:val="25"/>
          <w:szCs w:val="25"/>
        </w:rPr>
      </w:pPr>
    </w:p>
    <w:p w:rsidR="00042638" w:rsidRDefault="00042638" w:rsidP="00FD1794">
      <w:pPr>
        <w:spacing w:line="216" w:lineRule="auto"/>
        <w:rPr>
          <w:sz w:val="25"/>
          <w:szCs w:val="25"/>
        </w:rPr>
      </w:pPr>
    </w:p>
    <w:p w:rsidR="00042638" w:rsidRDefault="00042638" w:rsidP="00FD1794">
      <w:pPr>
        <w:spacing w:line="216" w:lineRule="auto"/>
        <w:rPr>
          <w:sz w:val="25"/>
          <w:szCs w:val="25"/>
        </w:rPr>
      </w:pPr>
    </w:p>
    <w:p w:rsidR="00B07CB8" w:rsidRPr="00B07CB8" w:rsidRDefault="00B07CB8" w:rsidP="00B07CB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B07CB8">
        <w:rPr>
          <w:color w:val="000000"/>
          <w:szCs w:val="24"/>
        </w:rPr>
        <w:lastRenderedPageBreak/>
        <w:t>ДОГОВОР № _____</w:t>
      </w:r>
    </w:p>
    <w:p w:rsidR="00B07CB8" w:rsidRPr="00B07CB8" w:rsidRDefault="00B07CB8" w:rsidP="00B07CB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B07CB8">
        <w:rPr>
          <w:color w:val="000000"/>
          <w:szCs w:val="24"/>
        </w:rPr>
        <w:t>АРЕНДЫ ЗЕМЕЛЬНОГО УЧАСТКА</w:t>
      </w: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07CB8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B07CB8">
        <w:rPr>
          <w:szCs w:val="24"/>
        </w:rPr>
        <w:t>(полное наименование юридического лица или фамилия, имя отчество гражданина)</w:t>
      </w: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B07CB8">
        <w:rPr>
          <w:szCs w:val="24"/>
        </w:rPr>
        <w:t>именуемый(ое) в дальнейшем «Аренд</w:t>
      </w:r>
      <w:r w:rsidRPr="00B07CB8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B07CB8" w:rsidRPr="00B07CB8" w:rsidRDefault="00B07CB8" w:rsidP="00B07CB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>Предмет договора</w:t>
      </w:r>
    </w:p>
    <w:p w:rsidR="00B07CB8" w:rsidRPr="00B07CB8" w:rsidRDefault="00B07CB8" w:rsidP="00B07CB8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B07CB8">
        <w:rPr>
          <w:color w:val="000000"/>
          <w:szCs w:val="24"/>
          <w:lang w:eastAsia="x-none"/>
        </w:rPr>
        <w:t>й</w:t>
      </w:r>
      <w:r w:rsidRPr="00B07CB8">
        <w:rPr>
          <w:color w:val="000000"/>
          <w:szCs w:val="24"/>
          <w:lang w:val="x-none" w:eastAsia="x-none"/>
        </w:rPr>
        <w:t xml:space="preserve"> </w:t>
      </w:r>
      <w:r w:rsidRPr="00B07CB8">
        <w:rPr>
          <w:color w:val="000000"/>
          <w:szCs w:val="24"/>
          <w:lang w:eastAsia="x-none"/>
        </w:rPr>
        <w:t>участок</w:t>
      </w:r>
      <w:r w:rsidRPr="00B07CB8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B07CB8">
        <w:rPr>
          <w:color w:val="000000"/>
          <w:szCs w:val="24"/>
          <w:lang w:eastAsia="x-none"/>
        </w:rPr>
        <w:t>______</w:t>
      </w:r>
      <w:r w:rsidRPr="00B07CB8">
        <w:rPr>
          <w:color w:val="000000"/>
          <w:szCs w:val="24"/>
          <w:lang w:val="x-none" w:eastAsia="x-none"/>
        </w:rPr>
        <w:t xml:space="preserve"> кв. м, находящи</w:t>
      </w:r>
      <w:r w:rsidRPr="00B07CB8">
        <w:rPr>
          <w:color w:val="000000"/>
          <w:szCs w:val="24"/>
          <w:lang w:eastAsia="x-none"/>
        </w:rPr>
        <w:t>й</w:t>
      </w:r>
      <w:r w:rsidRPr="00B07CB8">
        <w:rPr>
          <w:color w:val="000000"/>
          <w:szCs w:val="24"/>
          <w:lang w:val="x-none" w:eastAsia="x-none"/>
        </w:rPr>
        <w:t xml:space="preserve">ся по адресу: </w:t>
      </w:r>
      <w:r w:rsidRPr="00B07CB8">
        <w:rPr>
          <w:color w:val="000000"/>
          <w:szCs w:val="24"/>
          <w:lang w:eastAsia="x-none"/>
        </w:rPr>
        <w:t>ул. _______________ , д.___ , п.(д., с.) _____________, Ко</w:t>
      </w:r>
      <w:r w:rsidRPr="00B07CB8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B07CB8">
        <w:rPr>
          <w:color w:val="000000"/>
          <w:szCs w:val="24"/>
          <w:lang w:eastAsia="x-none"/>
        </w:rPr>
        <w:t>ом __________________</w:t>
      </w:r>
      <w:r w:rsidRPr="00B07CB8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B07CB8">
        <w:rPr>
          <w:color w:val="000000"/>
          <w:szCs w:val="24"/>
          <w:lang w:eastAsia="x-none"/>
        </w:rPr>
        <w:t>кадастровом</w:t>
      </w:r>
      <w:r w:rsidRPr="00B07CB8">
        <w:rPr>
          <w:color w:val="000000"/>
          <w:szCs w:val="24"/>
          <w:lang w:val="x-none" w:eastAsia="x-none"/>
        </w:rPr>
        <w:t xml:space="preserve"> паспорт</w:t>
      </w:r>
      <w:r w:rsidRPr="00B07CB8">
        <w:rPr>
          <w:color w:val="000000"/>
          <w:szCs w:val="24"/>
          <w:lang w:eastAsia="x-none"/>
        </w:rPr>
        <w:t>е</w:t>
      </w:r>
      <w:r w:rsidRPr="00B07CB8">
        <w:rPr>
          <w:color w:val="000000"/>
          <w:szCs w:val="24"/>
          <w:lang w:val="x-none" w:eastAsia="x-none"/>
        </w:rPr>
        <w:t xml:space="preserve"> земельн</w:t>
      </w:r>
      <w:r w:rsidRPr="00B07CB8">
        <w:rPr>
          <w:color w:val="000000"/>
          <w:szCs w:val="24"/>
          <w:lang w:eastAsia="x-none"/>
        </w:rPr>
        <w:t>ого</w:t>
      </w:r>
      <w:r w:rsidRPr="00B07CB8">
        <w:rPr>
          <w:color w:val="000000"/>
          <w:szCs w:val="24"/>
          <w:lang w:val="x-none" w:eastAsia="x-none"/>
        </w:rPr>
        <w:t xml:space="preserve"> участк</w:t>
      </w:r>
      <w:r w:rsidRPr="00B07CB8">
        <w:rPr>
          <w:color w:val="000000"/>
          <w:szCs w:val="24"/>
          <w:lang w:eastAsia="x-none"/>
        </w:rPr>
        <w:t>а</w:t>
      </w:r>
      <w:r w:rsidRPr="00B07CB8">
        <w:rPr>
          <w:color w:val="000000"/>
          <w:szCs w:val="24"/>
          <w:lang w:val="x-none" w:eastAsia="x-none"/>
        </w:rPr>
        <w:t xml:space="preserve"> (далее – земельны</w:t>
      </w:r>
      <w:r w:rsidRPr="00B07CB8">
        <w:rPr>
          <w:color w:val="000000"/>
          <w:szCs w:val="24"/>
          <w:lang w:eastAsia="x-none"/>
        </w:rPr>
        <w:t>й участок</w:t>
      </w:r>
      <w:r w:rsidRPr="00B07CB8">
        <w:rPr>
          <w:color w:val="000000"/>
          <w:szCs w:val="24"/>
          <w:lang w:val="x-none" w:eastAsia="x-none"/>
        </w:rPr>
        <w:t>).</w:t>
      </w:r>
    </w:p>
    <w:p w:rsidR="00B07CB8" w:rsidRPr="00B07CB8" w:rsidRDefault="00B07CB8" w:rsidP="00B07CB8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>Арендатор использует земельны</w:t>
      </w:r>
      <w:r w:rsidRPr="00B07CB8">
        <w:rPr>
          <w:color w:val="000000"/>
          <w:szCs w:val="24"/>
          <w:lang w:eastAsia="x-none"/>
        </w:rPr>
        <w:t>й</w:t>
      </w:r>
      <w:r w:rsidRPr="00B07CB8">
        <w:rPr>
          <w:color w:val="000000"/>
          <w:szCs w:val="24"/>
          <w:lang w:val="x-none" w:eastAsia="x-none"/>
        </w:rPr>
        <w:t xml:space="preserve"> </w:t>
      </w:r>
      <w:r w:rsidRPr="00B07CB8">
        <w:rPr>
          <w:color w:val="000000"/>
          <w:szCs w:val="24"/>
          <w:lang w:eastAsia="x-none"/>
        </w:rPr>
        <w:t>участок</w:t>
      </w:r>
      <w:r w:rsidRPr="00B07CB8">
        <w:rPr>
          <w:color w:val="000000"/>
          <w:szCs w:val="24"/>
          <w:lang w:val="x-none" w:eastAsia="x-none"/>
        </w:rPr>
        <w:t xml:space="preserve"> под </w:t>
      </w:r>
      <w:r w:rsidRPr="00B07CB8">
        <w:rPr>
          <w:color w:val="000000"/>
          <w:szCs w:val="24"/>
          <w:lang w:eastAsia="x-none"/>
        </w:rPr>
        <w:t>___________________________</w:t>
      </w:r>
      <w:r w:rsidRPr="00B07CB8">
        <w:rPr>
          <w:color w:val="000000"/>
          <w:szCs w:val="24"/>
          <w:lang w:val="x-none" w:eastAsia="x-none"/>
        </w:rPr>
        <w:t>.</w:t>
      </w:r>
    </w:p>
    <w:p w:rsidR="00B07CB8" w:rsidRPr="00B07CB8" w:rsidRDefault="00B07CB8" w:rsidP="00B07CB8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B07CB8" w:rsidRPr="00B07CB8" w:rsidRDefault="00B07CB8" w:rsidP="00B07CB8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 xml:space="preserve">Договор заключен на </w:t>
      </w:r>
      <w:r w:rsidRPr="00B07CB8">
        <w:rPr>
          <w:color w:val="000000"/>
          <w:szCs w:val="24"/>
          <w:lang w:eastAsia="x-none"/>
        </w:rPr>
        <w:t>___________</w:t>
      </w:r>
      <w:r w:rsidRPr="00B07CB8">
        <w:rPr>
          <w:color w:val="000000"/>
          <w:szCs w:val="24"/>
          <w:lang w:val="x-none" w:eastAsia="x-none"/>
        </w:rPr>
        <w:t xml:space="preserve"> лет</w:t>
      </w:r>
      <w:r w:rsidRPr="00B07CB8">
        <w:rPr>
          <w:color w:val="000000"/>
          <w:szCs w:val="24"/>
          <w:lang w:eastAsia="x-none"/>
        </w:rPr>
        <w:t xml:space="preserve"> (года)</w:t>
      </w:r>
      <w:r w:rsidRPr="00B07CB8">
        <w:rPr>
          <w:color w:val="000000"/>
          <w:szCs w:val="24"/>
          <w:lang w:val="x-none" w:eastAsia="x-none"/>
        </w:rPr>
        <w:t xml:space="preserve"> с </w:t>
      </w:r>
      <w:r w:rsidRPr="00B07CB8">
        <w:rPr>
          <w:color w:val="000000"/>
          <w:szCs w:val="24"/>
          <w:lang w:eastAsia="x-none"/>
        </w:rPr>
        <w:t xml:space="preserve">_________________ 20__ года по _______________ </w:t>
      </w:r>
      <w:r w:rsidRPr="00B07CB8">
        <w:rPr>
          <w:color w:val="000000"/>
          <w:szCs w:val="24"/>
          <w:lang w:val="x-none" w:eastAsia="x-none"/>
        </w:rPr>
        <w:t>20</w:t>
      </w:r>
      <w:r w:rsidRPr="00B07CB8">
        <w:rPr>
          <w:color w:val="000000"/>
          <w:szCs w:val="24"/>
          <w:lang w:eastAsia="x-none"/>
        </w:rPr>
        <w:t>__</w:t>
      </w:r>
      <w:r w:rsidRPr="00B07CB8">
        <w:rPr>
          <w:color w:val="000000"/>
          <w:szCs w:val="24"/>
          <w:lang w:val="x-none" w:eastAsia="x-none"/>
        </w:rPr>
        <w:t xml:space="preserve"> года.</w:t>
      </w:r>
    </w:p>
    <w:p w:rsidR="00B07CB8" w:rsidRPr="00B07CB8" w:rsidRDefault="00B07CB8" w:rsidP="00B07CB8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>Права и обязанности Сторон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B07CB8">
        <w:rPr>
          <w:color w:val="000000"/>
          <w:szCs w:val="24"/>
        </w:rPr>
        <w:t>Арендодатель имеет право: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B07CB8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B07CB8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Требовать досрочного расторжения договора после направления Арендатору</w:t>
      </w:r>
      <w:r w:rsidRPr="00B07CB8">
        <w:rPr>
          <w:b/>
          <w:i/>
          <w:color w:val="000000"/>
          <w:szCs w:val="24"/>
        </w:rPr>
        <w:t xml:space="preserve"> </w:t>
      </w:r>
      <w:r w:rsidRPr="00B07CB8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B07CB8">
        <w:rPr>
          <w:b/>
          <w:i/>
          <w:color w:val="000000"/>
          <w:szCs w:val="24"/>
        </w:rPr>
        <w:t xml:space="preserve"> </w:t>
      </w:r>
      <w:r w:rsidRPr="00B07CB8">
        <w:rPr>
          <w:szCs w:val="24"/>
        </w:rPr>
        <w:t>использования земельного участка не по целевому назначению;</w:t>
      </w:r>
      <w:r w:rsidRPr="00B07CB8">
        <w:rPr>
          <w:b/>
          <w:i/>
          <w:color w:val="000000"/>
          <w:szCs w:val="24"/>
        </w:rPr>
        <w:t xml:space="preserve"> </w:t>
      </w:r>
      <w:r w:rsidRPr="00B07CB8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 xml:space="preserve">  Обязанности Арендодателя: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Права Арендатора: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B07CB8" w:rsidRPr="00B07CB8" w:rsidRDefault="00B07CB8" w:rsidP="00B07CB8">
      <w:pPr>
        <w:numPr>
          <w:ilvl w:val="2"/>
          <w:numId w:val="13"/>
        </w:numPr>
        <w:ind w:left="0" w:firstLine="426"/>
        <w:jc w:val="both"/>
        <w:rPr>
          <w:szCs w:val="24"/>
        </w:rPr>
      </w:pPr>
      <w:r w:rsidRPr="00B07CB8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Обязанности арендатора: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Принять от Арендодателя земельный участок по передаточному акту.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 xml:space="preserve">Использовать земельный участок по назначению в соответствии с пунктом 1.2 </w:t>
      </w:r>
      <w:r w:rsidRPr="00B07CB8">
        <w:rPr>
          <w:szCs w:val="24"/>
        </w:rPr>
        <w:lastRenderedPageBreak/>
        <w:t>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Вносить арендную плату в порядке и сроки, установленные п. 3.1 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Обеспечить Арендодателю доступ на земельный участок в любое время.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B07CB8" w:rsidRPr="00B07CB8" w:rsidRDefault="00B07CB8" w:rsidP="00B07CB8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B07CB8" w:rsidRPr="00B07CB8" w:rsidRDefault="00B07CB8" w:rsidP="00B07CB8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B07CB8" w:rsidRPr="00B07CB8" w:rsidRDefault="00B07CB8" w:rsidP="00B07CB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>Платежи и расчеты по договору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B07CB8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B07CB8">
        <w:rPr>
          <w:szCs w:val="24"/>
          <w:lang w:eastAsia="x-none"/>
        </w:rPr>
        <w:t>_________________________________________________________ руб. в год</w:t>
      </w:r>
      <w:r w:rsidRPr="00B07CB8">
        <w:rPr>
          <w:color w:val="000000"/>
          <w:szCs w:val="24"/>
          <w:lang w:val="x-none" w:eastAsia="x-none"/>
        </w:rPr>
        <w:t>.</w:t>
      </w:r>
    </w:p>
    <w:p w:rsidR="00B07CB8" w:rsidRPr="00B07CB8" w:rsidRDefault="00B07CB8" w:rsidP="00B07C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B07CB8">
        <w:rPr>
          <w:color w:val="000000"/>
          <w:szCs w:val="24"/>
          <w:lang w:eastAsia="x-none"/>
        </w:rPr>
        <w:t>ый</w:t>
      </w:r>
      <w:r w:rsidRPr="00B07CB8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B07CB8">
        <w:rPr>
          <w:color w:val="000000"/>
          <w:szCs w:val="24"/>
          <w:lang w:eastAsia="x-none"/>
        </w:rPr>
        <w:t xml:space="preserve"> </w:t>
      </w:r>
      <w:r w:rsidRPr="00B07CB8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B07CB8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B07CB8" w:rsidRPr="00B07CB8" w:rsidRDefault="00B07CB8" w:rsidP="00B07C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B07CB8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B07CB8" w:rsidRPr="00B07CB8" w:rsidRDefault="00B07CB8" w:rsidP="00B07C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B07CB8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B07CB8">
        <w:rPr>
          <w:color w:val="000000"/>
          <w:szCs w:val="24"/>
          <w:lang w:eastAsia="x-none"/>
        </w:rPr>
        <w:t>_________________20 __</w:t>
      </w:r>
      <w:r w:rsidRPr="00B07CB8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B07CB8">
        <w:rPr>
          <w:color w:val="000000"/>
          <w:szCs w:val="24"/>
          <w:lang w:eastAsia="x-none"/>
        </w:rPr>
        <w:t>2</w:t>
      </w:r>
      <w:r w:rsidRPr="00B07CB8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B07CB8" w:rsidRPr="00B07CB8" w:rsidRDefault="00B07CB8" w:rsidP="00B07CB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B07CB8">
        <w:rPr>
          <w:szCs w:val="24"/>
        </w:rPr>
        <w:t>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B07CB8">
        <w:rPr>
          <w:color w:val="000000"/>
          <w:szCs w:val="24"/>
        </w:rPr>
        <w:t>.</w:t>
      </w:r>
    </w:p>
    <w:p w:rsidR="00B07CB8" w:rsidRPr="00B07CB8" w:rsidRDefault="00B07CB8" w:rsidP="00B07CB8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B07CB8">
        <w:rPr>
          <w:szCs w:val="24"/>
        </w:rPr>
        <w:lastRenderedPageBreak/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B07CB8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B07CB8">
        <w:rPr>
          <w:color w:val="000000"/>
          <w:szCs w:val="24"/>
        </w:rPr>
        <w:t>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B07CB8">
        <w:rPr>
          <w:color w:val="000000"/>
          <w:szCs w:val="24"/>
        </w:rPr>
        <w:t>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B07CB8" w:rsidRPr="00B07CB8" w:rsidRDefault="00B07CB8" w:rsidP="00B07CB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>Порядок изменения и расторжения Договора</w:t>
      </w:r>
    </w:p>
    <w:p w:rsidR="00B07CB8" w:rsidRPr="00B07CB8" w:rsidRDefault="00B07CB8" w:rsidP="00B07CB8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B07CB8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B07CB8" w:rsidRPr="00B07CB8" w:rsidRDefault="00B07CB8" w:rsidP="00B07CB8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B07CB8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дней.</w:t>
      </w:r>
    </w:p>
    <w:p w:rsidR="00B07CB8" w:rsidRPr="00B07CB8" w:rsidRDefault="00B07CB8" w:rsidP="00B07CB8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B07CB8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B07CB8" w:rsidRPr="00B07CB8" w:rsidRDefault="00B07CB8" w:rsidP="00B07CB8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B07CB8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B07CB8" w:rsidRPr="00B07CB8" w:rsidRDefault="00B07CB8" w:rsidP="00B07CB8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B07CB8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B07CB8" w:rsidRPr="00B07CB8" w:rsidRDefault="00B07CB8" w:rsidP="00B07CB8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B07CB8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B07CB8" w:rsidRPr="00B07CB8" w:rsidRDefault="00B07CB8" w:rsidP="00B07CB8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B07CB8" w:rsidRPr="00B07CB8" w:rsidRDefault="00B07CB8" w:rsidP="00B07CB8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B07CB8" w:rsidRPr="00B07CB8" w:rsidRDefault="00B07CB8" w:rsidP="00B07CB8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B07CB8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B07CB8" w:rsidRPr="00B07CB8" w:rsidRDefault="00B07CB8" w:rsidP="00B07CB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 xml:space="preserve">Прочие условия 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t>А</w:t>
      </w:r>
      <w:r w:rsidRPr="00B07CB8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B07CB8" w:rsidRPr="00B07CB8" w:rsidRDefault="00B07CB8" w:rsidP="00B07C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B07CB8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B07CB8" w:rsidRPr="00B07CB8" w:rsidRDefault="00B07CB8" w:rsidP="00B07CB8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B07CB8">
        <w:rPr>
          <w:color w:val="000000"/>
          <w:szCs w:val="24"/>
        </w:rPr>
        <w:lastRenderedPageBreak/>
        <w:t xml:space="preserve">Настоящий договор составлен </w:t>
      </w:r>
      <w:r w:rsidRPr="00B07CB8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B07CB8">
        <w:rPr>
          <w:i/>
          <w:szCs w:val="24"/>
          <w:lang w:val="x-none" w:eastAsia="x-none"/>
        </w:rPr>
        <w:t>Приложения к договору:</w:t>
      </w:r>
    </w:p>
    <w:p w:rsidR="00B07CB8" w:rsidRPr="00B07CB8" w:rsidRDefault="00B07CB8" w:rsidP="00B07CB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B07CB8">
        <w:rPr>
          <w:szCs w:val="24"/>
          <w:lang w:val="x-none" w:eastAsia="x-none"/>
        </w:rPr>
        <w:t>Схема расположения земельн</w:t>
      </w:r>
      <w:r w:rsidRPr="00B07CB8">
        <w:rPr>
          <w:szCs w:val="24"/>
          <w:lang w:eastAsia="x-none"/>
        </w:rPr>
        <w:t>ого</w:t>
      </w:r>
      <w:r w:rsidRPr="00B07CB8">
        <w:rPr>
          <w:szCs w:val="24"/>
          <w:lang w:val="x-none" w:eastAsia="x-none"/>
        </w:rPr>
        <w:t xml:space="preserve"> участк</w:t>
      </w:r>
      <w:r w:rsidRPr="00B07CB8">
        <w:rPr>
          <w:szCs w:val="24"/>
          <w:lang w:eastAsia="x-none"/>
        </w:rPr>
        <w:t>а.</w:t>
      </w:r>
    </w:p>
    <w:p w:rsidR="00B07CB8" w:rsidRPr="00B07CB8" w:rsidRDefault="00B07CB8" w:rsidP="00B07CB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>Расчет арендной платы.</w:t>
      </w:r>
    </w:p>
    <w:p w:rsidR="00B07CB8" w:rsidRPr="00B07CB8" w:rsidRDefault="00B07CB8" w:rsidP="00B07CB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B07CB8">
        <w:rPr>
          <w:color w:val="000000"/>
          <w:szCs w:val="24"/>
          <w:lang w:val="x-none" w:eastAsia="x-none"/>
        </w:rPr>
        <w:t>Акт приема-передачи.</w:t>
      </w:r>
    </w:p>
    <w:p w:rsidR="00B07CB8" w:rsidRPr="00B07CB8" w:rsidRDefault="00B07CB8" w:rsidP="00B07CB8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B07CB8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B07CB8" w:rsidRPr="00B07CB8" w:rsidTr="00E616EB">
        <w:tc>
          <w:tcPr>
            <w:tcW w:w="5103" w:type="dxa"/>
            <w:shd w:val="clear" w:color="auto" w:fill="auto"/>
          </w:tcPr>
          <w:p w:rsidR="00B07CB8" w:rsidRPr="00B07CB8" w:rsidRDefault="00B07CB8" w:rsidP="00B07C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07CB8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B07CB8" w:rsidRPr="00B07CB8" w:rsidRDefault="00B07CB8" w:rsidP="00B07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B07CB8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042638" w:rsidRDefault="00042638" w:rsidP="00FD1794">
      <w:pPr>
        <w:spacing w:line="216" w:lineRule="auto"/>
        <w:rPr>
          <w:sz w:val="25"/>
          <w:szCs w:val="25"/>
        </w:rPr>
      </w:pPr>
    </w:p>
    <w:p w:rsidR="005C3240" w:rsidRPr="00BA363E" w:rsidRDefault="005C3240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C6" w:rsidRDefault="00634CC6" w:rsidP="00B033CA">
      <w:r>
        <w:separator/>
      </w:r>
    </w:p>
  </w:endnote>
  <w:endnote w:type="continuationSeparator" w:id="0">
    <w:p w:rsidR="00634CC6" w:rsidRDefault="00634CC6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4F8">
      <w:rPr>
        <w:noProof/>
      </w:rPr>
      <w:t>2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C6" w:rsidRDefault="00634CC6" w:rsidP="00B033CA">
      <w:r>
        <w:separator/>
      </w:r>
    </w:p>
  </w:footnote>
  <w:footnote w:type="continuationSeparator" w:id="0">
    <w:p w:rsidR="00634CC6" w:rsidRDefault="00634CC6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13B6"/>
    <w:rsid w:val="000423BB"/>
    <w:rsid w:val="00042638"/>
    <w:rsid w:val="00042E96"/>
    <w:rsid w:val="00046A72"/>
    <w:rsid w:val="00047E3A"/>
    <w:rsid w:val="0005269E"/>
    <w:rsid w:val="00053A77"/>
    <w:rsid w:val="00054FD1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20C"/>
    <w:rsid w:val="000F57E7"/>
    <w:rsid w:val="000F7598"/>
    <w:rsid w:val="000F7F16"/>
    <w:rsid w:val="000F7FCA"/>
    <w:rsid w:val="00102612"/>
    <w:rsid w:val="00106ED0"/>
    <w:rsid w:val="001116F4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4682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14FC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28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106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F05"/>
    <w:rsid w:val="00283C7A"/>
    <w:rsid w:val="00286035"/>
    <w:rsid w:val="00287511"/>
    <w:rsid w:val="00287D38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2BB4"/>
    <w:rsid w:val="002E3F5B"/>
    <w:rsid w:val="002F0020"/>
    <w:rsid w:val="002F2DF3"/>
    <w:rsid w:val="002F31C1"/>
    <w:rsid w:val="002F32E8"/>
    <w:rsid w:val="00300AE4"/>
    <w:rsid w:val="00301690"/>
    <w:rsid w:val="00303184"/>
    <w:rsid w:val="00310C57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7C3"/>
    <w:rsid w:val="00372F2A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97CA0"/>
    <w:rsid w:val="003A0278"/>
    <w:rsid w:val="003A1D1C"/>
    <w:rsid w:val="003A3952"/>
    <w:rsid w:val="003A3E16"/>
    <w:rsid w:val="003A6853"/>
    <w:rsid w:val="003A68AD"/>
    <w:rsid w:val="003B1AF8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97C66"/>
    <w:rsid w:val="004A56AB"/>
    <w:rsid w:val="004A57C5"/>
    <w:rsid w:val="004A60C2"/>
    <w:rsid w:val="004A6F6C"/>
    <w:rsid w:val="004A7848"/>
    <w:rsid w:val="004B19AE"/>
    <w:rsid w:val="004B6175"/>
    <w:rsid w:val="004B6780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43EC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5BDF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E6EEE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18CE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4CC6"/>
    <w:rsid w:val="00636D82"/>
    <w:rsid w:val="00637706"/>
    <w:rsid w:val="00641307"/>
    <w:rsid w:val="00646680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007F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8BE"/>
    <w:rsid w:val="00730E73"/>
    <w:rsid w:val="00731100"/>
    <w:rsid w:val="00731340"/>
    <w:rsid w:val="00731730"/>
    <w:rsid w:val="007326C9"/>
    <w:rsid w:val="00734165"/>
    <w:rsid w:val="007347EF"/>
    <w:rsid w:val="007348E8"/>
    <w:rsid w:val="007348F5"/>
    <w:rsid w:val="00740E6D"/>
    <w:rsid w:val="0074103B"/>
    <w:rsid w:val="0074207F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46BD"/>
    <w:rsid w:val="00776804"/>
    <w:rsid w:val="0078041B"/>
    <w:rsid w:val="0078199F"/>
    <w:rsid w:val="0078296A"/>
    <w:rsid w:val="00783246"/>
    <w:rsid w:val="007837A3"/>
    <w:rsid w:val="00784F4A"/>
    <w:rsid w:val="00786241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77180"/>
    <w:rsid w:val="00881176"/>
    <w:rsid w:val="00881A45"/>
    <w:rsid w:val="00881DD3"/>
    <w:rsid w:val="00883295"/>
    <w:rsid w:val="00884560"/>
    <w:rsid w:val="00884D8A"/>
    <w:rsid w:val="00890A7A"/>
    <w:rsid w:val="00891BCE"/>
    <w:rsid w:val="008928CB"/>
    <w:rsid w:val="0089379C"/>
    <w:rsid w:val="008A3678"/>
    <w:rsid w:val="008A43A3"/>
    <w:rsid w:val="008B79FF"/>
    <w:rsid w:val="008C0277"/>
    <w:rsid w:val="008C1D43"/>
    <w:rsid w:val="008C2D78"/>
    <w:rsid w:val="008C6339"/>
    <w:rsid w:val="008D1CF7"/>
    <w:rsid w:val="008D2CC6"/>
    <w:rsid w:val="008D3DB8"/>
    <w:rsid w:val="008D6328"/>
    <w:rsid w:val="008E30CE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D66"/>
    <w:rsid w:val="00945A62"/>
    <w:rsid w:val="00952688"/>
    <w:rsid w:val="009573CC"/>
    <w:rsid w:val="009617BC"/>
    <w:rsid w:val="009638A7"/>
    <w:rsid w:val="00964017"/>
    <w:rsid w:val="009647EE"/>
    <w:rsid w:val="0097021E"/>
    <w:rsid w:val="009758B6"/>
    <w:rsid w:val="00981B85"/>
    <w:rsid w:val="009844E2"/>
    <w:rsid w:val="00987849"/>
    <w:rsid w:val="009905F6"/>
    <w:rsid w:val="009907DB"/>
    <w:rsid w:val="009A34BB"/>
    <w:rsid w:val="009A77AD"/>
    <w:rsid w:val="009A7FB5"/>
    <w:rsid w:val="009B1054"/>
    <w:rsid w:val="009B165D"/>
    <w:rsid w:val="009B1FC5"/>
    <w:rsid w:val="009B477B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1A2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4C57"/>
    <w:rsid w:val="00A264E8"/>
    <w:rsid w:val="00A26B44"/>
    <w:rsid w:val="00A3076F"/>
    <w:rsid w:val="00A30ACE"/>
    <w:rsid w:val="00A30D92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0F70"/>
    <w:rsid w:val="00A611D1"/>
    <w:rsid w:val="00A618F7"/>
    <w:rsid w:val="00A62029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07CB8"/>
    <w:rsid w:val="00B112B4"/>
    <w:rsid w:val="00B11757"/>
    <w:rsid w:val="00B16633"/>
    <w:rsid w:val="00B20B78"/>
    <w:rsid w:val="00B21788"/>
    <w:rsid w:val="00B22536"/>
    <w:rsid w:val="00B226A4"/>
    <w:rsid w:val="00B240C5"/>
    <w:rsid w:val="00B34D4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3519"/>
    <w:rsid w:val="00B64790"/>
    <w:rsid w:val="00B67297"/>
    <w:rsid w:val="00B67A4C"/>
    <w:rsid w:val="00B73FA0"/>
    <w:rsid w:val="00B75CD4"/>
    <w:rsid w:val="00B76FDD"/>
    <w:rsid w:val="00B77D11"/>
    <w:rsid w:val="00B77F20"/>
    <w:rsid w:val="00B91C09"/>
    <w:rsid w:val="00B948A8"/>
    <w:rsid w:val="00BA1F8B"/>
    <w:rsid w:val="00BA363E"/>
    <w:rsid w:val="00BA4F85"/>
    <w:rsid w:val="00BA69EE"/>
    <w:rsid w:val="00BB4C0E"/>
    <w:rsid w:val="00BB4EAC"/>
    <w:rsid w:val="00BB5EE8"/>
    <w:rsid w:val="00BB5F50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570CD"/>
    <w:rsid w:val="00C63645"/>
    <w:rsid w:val="00C636C2"/>
    <w:rsid w:val="00C64146"/>
    <w:rsid w:val="00C6561B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54F8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40A96"/>
    <w:rsid w:val="00D4470A"/>
    <w:rsid w:val="00D4497C"/>
    <w:rsid w:val="00D45048"/>
    <w:rsid w:val="00D45504"/>
    <w:rsid w:val="00D4560E"/>
    <w:rsid w:val="00D468DD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52DE"/>
    <w:rsid w:val="00DC6017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DF7692"/>
    <w:rsid w:val="00E01F2F"/>
    <w:rsid w:val="00E02E19"/>
    <w:rsid w:val="00E04F58"/>
    <w:rsid w:val="00E053CD"/>
    <w:rsid w:val="00E05C9F"/>
    <w:rsid w:val="00E14B5B"/>
    <w:rsid w:val="00E16EED"/>
    <w:rsid w:val="00E16FAB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0E2"/>
    <w:rsid w:val="00E475E0"/>
    <w:rsid w:val="00E52503"/>
    <w:rsid w:val="00E53527"/>
    <w:rsid w:val="00E560FB"/>
    <w:rsid w:val="00E57E54"/>
    <w:rsid w:val="00E61667"/>
    <w:rsid w:val="00E616EB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3AA0"/>
    <w:rsid w:val="00F04129"/>
    <w:rsid w:val="00F04627"/>
    <w:rsid w:val="00F04AE8"/>
    <w:rsid w:val="00F05C92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56CB"/>
    <w:rsid w:val="00F75EB3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1794"/>
    <w:rsid w:val="00FD2F9B"/>
    <w:rsid w:val="00FD5119"/>
    <w:rsid w:val="00FD54E8"/>
    <w:rsid w:val="00FD64BB"/>
    <w:rsid w:val="00FD69F0"/>
    <w:rsid w:val="00FD7232"/>
    <w:rsid w:val="00FE4A2D"/>
    <w:rsid w:val="00FE6ECE"/>
    <w:rsid w:val="00FF26A5"/>
    <w:rsid w:val="00FF3FD7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FD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3393-20C9-41F7-8B19-55BE7D95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2023-03-20T06:45:00Z</cp:lastPrinted>
  <dcterms:created xsi:type="dcterms:W3CDTF">2024-07-05T04:36:00Z</dcterms:created>
  <dcterms:modified xsi:type="dcterms:W3CDTF">2024-07-05T04:36:00Z</dcterms:modified>
</cp:coreProperties>
</file>