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21" w:rsidRPr="00613722" w:rsidRDefault="007E2661" w:rsidP="00CC7D79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613722">
        <w:rPr>
          <w:b/>
          <w:sz w:val="26"/>
          <w:szCs w:val="26"/>
        </w:rPr>
        <w:t>Доклад</w:t>
      </w:r>
      <w:r w:rsidR="00161421" w:rsidRPr="00613722">
        <w:rPr>
          <w:b/>
          <w:sz w:val="26"/>
          <w:szCs w:val="26"/>
        </w:rPr>
        <w:t xml:space="preserve"> о результатах мониторинга качества финансового менеджмента, осуществляемого главными администраторами бюджетных средств  муниципального образования </w:t>
      </w:r>
      <w:proofErr w:type="spellStart"/>
      <w:r w:rsidR="00161421" w:rsidRPr="00613722">
        <w:rPr>
          <w:b/>
          <w:sz w:val="26"/>
          <w:szCs w:val="26"/>
        </w:rPr>
        <w:t>Кондинский</w:t>
      </w:r>
      <w:proofErr w:type="spellEnd"/>
      <w:r w:rsidR="00161421" w:rsidRPr="00613722">
        <w:rPr>
          <w:b/>
          <w:sz w:val="26"/>
          <w:szCs w:val="26"/>
        </w:rPr>
        <w:t xml:space="preserve"> район </w:t>
      </w:r>
      <w:proofErr w:type="gramStart"/>
      <w:r w:rsidR="00161421" w:rsidRPr="00613722">
        <w:rPr>
          <w:b/>
          <w:sz w:val="26"/>
          <w:szCs w:val="26"/>
        </w:rPr>
        <w:t>за</w:t>
      </w:r>
      <w:proofErr w:type="gramEnd"/>
      <w:r w:rsidR="00161421" w:rsidRPr="00613722">
        <w:rPr>
          <w:b/>
          <w:sz w:val="26"/>
          <w:szCs w:val="26"/>
        </w:rPr>
        <w:t xml:space="preserve"> </w:t>
      </w:r>
    </w:p>
    <w:p w:rsidR="00161421" w:rsidRPr="00613722" w:rsidRDefault="00161421" w:rsidP="00161421">
      <w:pPr>
        <w:contextualSpacing/>
        <w:jc w:val="center"/>
        <w:rPr>
          <w:b/>
          <w:sz w:val="26"/>
          <w:szCs w:val="26"/>
        </w:rPr>
      </w:pPr>
      <w:r w:rsidRPr="00613722">
        <w:rPr>
          <w:b/>
          <w:sz w:val="26"/>
          <w:szCs w:val="26"/>
        </w:rPr>
        <w:t>2013 год</w:t>
      </w:r>
    </w:p>
    <w:p w:rsidR="00161421" w:rsidRPr="00613722" w:rsidRDefault="00161421" w:rsidP="00161421">
      <w:pPr>
        <w:ind w:firstLine="708"/>
        <w:contextualSpacing/>
        <w:jc w:val="both"/>
        <w:rPr>
          <w:sz w:val="26"/>
          <w:szCs w:val="26"/>
        </w:rPr>
      </w:pPr>
    </w:p>
    <w:p w:rsidR="007E2661" w:rsidRPr="00613722" w:rsidRDefault="007E2661" w:rsidP="00161421">
      <w:pPr>
        <w:ind w:firstLine="708"/>
        <w:contextualSpacing/>
        <w:jc w:val="both"/>
        <w:rPr>
          <w:sz w:val="26"/>
          <w:szCs w:val="26"/>
        </w:rPr>
      </w:pPr>
      <w:r w:rsidRPr="00613722">
        <w:rPr>
          <w:sz w:val="26"/>
          <w:szCs w:val="26"/>
        </w:rPr>
        <w:t>По главным администраторам бюджетных сре</w:t>
      </w:r>
      <w:proofErr w:type="gramStart"/>
      <w:r w:rsidRPr="00613722">
        <w:rPr>
          <w:sz w:val="26"/>
          <w:szCs w:val="26"/>
        </w:rPr>
        <w:t>дств пр</w:t>
      </w:r>
      <w:proofErr w:type="gramEnd"/>
      <w:r w:rsidRPr="00613722">
        <w:rPr>
          <w:sz w:val="26"/>
          <w:szCs w:val="26"/>
        </w:rPr>
        <w:t>оводится анализ финансового менеджмента с целью</w:t>
      </w:r>
      <w:r w:rsidR="006F6060" w:rsidRPr="00613722">
        <w:rPr>
          <w:sz w:val="26"/>
          <w:szCs w:val="26"/>
        </w:rPr>
        <w:t xml:space="preserve"> повышения эффективности расходов и</w:t>
      </w:r>
      <w:r w:rsidR="00B11BD6" w:rsidRPr="00613722">
        <w:rPr>
          <w:sz w:val="26"/>
          <w:szCs w:val="26"/>
        </w:rPr>
        <w:t xml:space="preserve"> направлен на повышение результативности и эффективности использования средств</w:t>
      </w:r>
      <w:r w:rsidR="006F6060" w:rsidRPr="00613722">
        <w:rPr>
          <w:sz w:val="26"/>
          <w:szCs w:val="26"/>
        </w:rPr>
        <w:t xml:space="preserve"> бюджета МО Кондинского района.</w:t>
      </w:r>
      <w:r w:rsidR="00B11BD6" w:rsidRPr="00613722">
        <w:rPr>
          <w:sz w:val="26"/>
          <w:szCs w:val="26"/>
        </w:rPr>
        <w:t xml:space="preserve"> Порядок проведения утверждён постановлением администрации Кондинского района от 31.12.2013 № 2906 «Об организации проведения мониторинга качества финансового менеджмента, осуществляемого главными администраторами бюджетных средств».</w:t>
      </w:r>
    </w:p>
    <w:p w:rsidR="002A4E91" w:rsidRPr="00613722" w:rsidRDefault="002A4E91" w:rsidP="002A4E91">
      <w:pPr>
        <w:ind w:firstLine="708"/>
        <w:jc w:val="both"/>
        <w:rPr>
          <w:sz w:val="26"/>
          <w:szCs w:val="26"/>
        </w:rPr>
      </w:pPr>
      <w:r w:rsidRPr="00613722">
        <w:rPr>
          <w:sz w:val="26"/>
          <w:szCs w:val="26"/>
        </w:rPr>
        <w:t>Под мониторингом качества финансового менеджмента понимается анализ и оценка совокупности предоставляемых документов, осуществляемых процедур, способствующих эффективности и результативности использования бюджетных средств и охватывающих все элементы бюджетного процесса.</w:t>
      </w:r>
    </w:p>
    <w:p w:rsidR="002A4E91" w:rsidRPr="00613722" w:rsidRDefault="002A4E91" w:rsidP="002A4E91">
      <w:pPr>
        <w:ind w:firstLine="708"/>
        <w:jc w:val="both"/>
        <w:rPr>
          <w:sz w:val="26"/>
          <w:szCs w:val="26"/>
        </w:rPr>
      </w:pPr>
      <w:r w:rsidRPr="00613722">
        <w:rPr>
          <w:sz w:val="26"/>
          <w:szCs w:val="26"/>
        </w:rPr>
        <w:t>Анализ так же проводился за 2012 год, по результатам которого порядок был усовершенствован, по которому подведены итоги 2013 года</w:t>
      </w:r>
    </w:p>
    <w:p w:rsidR="00161421" w:rsidRPr="00613722" w:rsidRDefault="00161421" w:rsidP="00161421">
      <w:pPr>
        <w:ind w:firstLine="708"/>
        <w:contextualSpacing/>
        <w:jc w:val="both"/>
        <w:rPr>
          <w:sz w:val="26"/>
          <w:szCs w:val="26"/>
        </w:rPr>
      </w:pPr>
      <w:r w:rsidRPr="00613722">
        <w:rPr>
          <w:sz w:val="26"/>
          <w:szCs w:val="26"/>
        </w:rPr>
        <w:t>Мониторинг качества финансового менеджмента за 2013 год проводился по следующим группам показателей:</w:t>
      </w:r>
    </w:p>
    <w:p w:rsidR="00161421" w:rsidRPr="00613722" w:rsidRDefault="00161421" w:rsidP="00161421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 w:rsidRPr="00613722">
        <w:rPr>
          <w:sz w:val="26"/>
          <w:szCs w:val="26"/>
        </w:rPr>
        <w:t xml:space="preserve">оценка качества планирования расходов бюджета; </w:t>
      </w:r>
    </w:p>
    <w:p w:rsidR="00161421" w:rsidRPr="00613722" w:rsidRDefault="00161421" w:rsidP="00161421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 w:rsidRPr="00613722">
        <w:rPr>
          <w:sz w:val="26"/>
          <w:szCs w:val="26"/>
        </w:rPr>
        <w:t>оценка результатов исполнения бюджета;</w:t>
      </w:r>
    </w:p>
    <w:p w:rsidR="00161421" w:rsidRPr="00613722" w:rsidRDefault="00161421" w:rsidP="00161421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 w:rsidRPr="00613722">
        <w:rPr>
          <w:sz w:val="26"/>
          <w:szCs w:val="26"/>
        </w:rPr>
        <w:t>оценка состояния учета и отчетности;</w:t>
      </w:r>
    </w:p>
    <w:p w:rsidR="00161421" w:rsidRPr="00613722" w:rsidRDefault="00161421" w:rsidP="00161421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 w:rsidRPr="00613722">
        <w:rPr>
          <w:sz w:val="26"/>
          <w:szCs w:val="26"/>
        </w:rPr>
        <w:t>оценка исполнения судебных актов;</w:t>
      </w:r>
    </w:p>
    <w:p w:rsidR="00161421" w:rsidRPr="00613722" w:rsidRDefault="00161421" w:rsidP="00161421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 w:rsidRPr="00613722">
        <w:rPr>
          <w:sz w:val="26"/>
          <w:szCs w:val="26"/>
        </w:rPr>
        <w:t>оценка управления активами;</w:t>
      </w:r>
    </w:p>
    <w:p w:rsidR="00161421" w:rsidRPr="00613722" w:rsidRDefault="00161421" w:rsidP="00161421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 w:rsidRPr="00613722">
        <w:rPr>
          <w:sz w:val="26"/>
          <w:szCs w:val="26"/>
        </w:rPr>
        <w:t>оценка кадрового потенциала экономических и бухгалтерских служб.</w:t>
      </w:r>
    </w:p>
    <w:p w:rsidR="002A4E91" w:rsidRPr="00613722" w:rsidRDefault="00161421" w:rsidP="00161421">
      <w:pPr>
        <w:jc w:val="both"/>
        <w:rPr>
          <w:sz w:val="26"/>
          <w:szCs w:val="26"/>
        </w:rPr>
      </w:pPr>
      <w:r w:rsidRPr="00613722">
        <w:rPr>
          <w:sz w:val="26"/>
          <w:szCs w:val="26"/>
        </w:rPr>
        <w:t>Рейтинг ГАБС сформирован раздельно по ГАБС</w:t>
      </w:r>
      <w:r w:rsidR="002A4E91" w:rsidRPr="00613722">
        <w:rPr>
          <w:sz w:val="26"/>
          <w:szCs w:val="26"/>
        </w:rPr>
        <w:t xml:space="preserve"> по двум группам: </w:t>
      </w:r>
    </w:p>
    <w:p w:rsidR="00277278" w:rsidRDefault="00277278" w:rsidP="00277278">
      <w:pPr>
        <w:ind w:firstLine="708"/>
        <w:jc w:val="both"/>
        <w:rPr>
          <w:sz w:val="28"/>
          <w:szCs w:val="28"/>
        </w:rPr>
      </w:pPr>
      <w:proofErr w:type="gramStart"/>
      <w:r w:rsidRPr="00277278">
        <w:rPr>
          <w:sz w:val="28"/>
          <w:szCs w:val="28"/>
        </w:rPr>
        <w:t>Одна из групп – это ГАБС не имеющие подведомственную сеть учреждений, либо имеющие подведомственную сеть в количестве 3-х или менее муниципальных учреждений</w:t>
      </w:r>
      <w:r w:rsidR="007647A9">
        <w:rPr>
          <w:sz w:val="28"/>
          <w:szCs w:val="28"/>
        </w:rPr>
        <w:t>.</w:t>
      </w:r>
      <w:r w:rsidRPr="00277278">
        <w:rPr>
          <w:sz w:val="28"/>
          <w:szCs w:val="28"/>
        </w:rPr>
        <w:t xml:space="preserve"> </w:t>
      </w:r>
      <w:proofErr w:type="gramEnd"/>
    </w:p>
    <w:p w:rsidR="007647A9" w:rsidRPr="00277278" w:rsidRDefault="007647A9" w:rsidP="007647A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Диаграмма 1</w:t>
      </w:r>
    </w:p>
    <w:p w:rsidR="00161421" w:rsidRDefault="0019478B" w:rsidP="00161421">
      <w:pPr>
        <w:jc w:val="both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3181350"/>
            <wp:effectExtent l="19050" t="0" r="1905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7278" w:rsidRPr="00277278" w:rsidRDefault="007647A9" w:rsidP="00277278">
      <w:pPr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>Как в</w:t>
      </w:r>
      <w:r w:rsidR="00277278" w:rsidRPr="00277278">
        <w:rPr>
          <w:sz w:val="28"/>
          <w:szCs w:val="28"/>
        </w:rPr>
        <w:t xml:space="preserve">идно, </w:t>
      </w:r>
      <w:r>
        <w:rPr>
          <w:sz w:val="28"/>
          <w:szCs w:val="28"/>
        </w:rPr>
        <w:t xml:space="preserve">из диаграммы 1 </w:t>
      </w:r>
      <w:r w:rsidR="00277278" w:rsidRPr="00277278">
        <w:rPr>
          <w:sz w:val="28"/>
          <w:szCs w:val="28"/>
        </w:rPr>
        <w:t xml:space="preserve">наилучший результат показывают Дума Кондинского района и комитет по финансам. Самый низкий показатель показывают ГАБС </w:t>
      </w:r>
      <w:proofErr w:type="gramStart"/>
      <w:r w:rsidR="00277278" w:rsidRPr="00277278">
        <w:rPr>
          <w:sz w:val="28"/>
          <w:szCs w:val="28"/>
        </w:rPr>
        <w:t>такие</w:t>
      </w:r>
      <w:proofErr w:type="gramEnd"/>
      <w:r w:rsidR="00277278" w:rsidRPr="00277278">
        <w:rPr>
          <w:sz w:val="28"/>
          <w:szCs w:val="28"/>
        </w:rPr>
        <w:t xml:space="preserve"> как: УЖКХ, КУМИ, и УФСК</w:t>
      </w:r>
      <w:r w:rsidR="00DD0D73" w:rsidRPr="00DD0D73">
        <w:rPr>
          <w:sz w:val="28"/>
          <w:szCs w:val="28"/>
        </w:rPr>
        <w:t>,</w:t>
      </w:r>
      <w:r w:rsidR="00691A35" w:rsidRPr="00DD0D73">
        <w:rPr>
          <w:sz w:val="28"/>
          <w:szCs w:val="28"/>
        </w:rPr>
        <w:t xml:space="preserve"> </w:t>
      </w:r>
      <w:r w:rsidR="00DD0D73" w:rsidRPr="00DD0D73">
        <w:rPr>
          <w:sz w:val="28"/>
          <w:szCs w:val="28"/>
        </w:rPr>
        <w:t>в</w:t>
      </w:r>
      <w:r w:rsidR="00691A35" w:rsidRPr="00DD0D73">
        <w:rPr>
          <w:sz w:val="28"/>
          <w:szCs w:val="28"/>
        </w:rPr>
        <w:t xml:space="preserve"> виду несвоевременного предоставления </w:t>
      </w:r>
      <w:r w:rsidR="00691A35" w:rsidRPr="00DD0D73">
        <w:rPr>
          <w:sz w:val="28"/>
          <w:szCs w:val="28"/>
        </w:rPr>
        <w:lastRenderedPageBreak/>
        <w:t xml:space="preserve">запрашиваемой информации, </w:t>
      </w:r>
      <w:r w:rsidR="00DD0D73" w:rsidRPr="00DD0D73">
        <w:rPr>
          <w:sz w:val="28"/>
          <w:szCs w:val="28"/>
        </w:rPr>
        <w:t>так же необходимо снижать долю</w:t>
      </w:r>
      <w:r w:rsidR="00691A35" w:rsidRPr="00DD0D73">
        <w:rPr>
          <w:sz w:val="28"/>
          <w:szCs w:val="28"/>
        </w:rPr>
        <w:t xml:space="preserve"> дебиторской задолженности по доходам</w:t>
      </w:r>
      <w:r w:rsidR="006E3150" w:rsidRPr="00DD0D73">
        <w:rPr>
          <w:sz w:val="28"/>
          <w:szCs w:val="28"/>
        </w:rPr>
        <w:t xml:space="preserve"> в общем объеме доходов</w:t>
      </w:r>
      <w:r w:rsidR="00DD0D73" w:rsidRPr="00DD0D73">
        <w:rPr>
          <w:sz w:val="28"/>
          <w:szCs w:val="28"/>
        </w:rPr>
        <w:t>.</w:t>
      </w:r>
    </w:p>
    <w:p w:rsidR="00277278" w:rsidRDefault="00277278" w:rsidP="00161421">
      <w:pPr>
        <w:jc w:val="both"/>
        <w:rPr>
          <w:sz w:val="26"/>
          <w:szCs w:val="26"/>
        </w:rPr>
      </w:pPr>
    </w:p>
    <w:p w:rsidR="00277278" w:rsidRPr="00277278" w:rsidRDefault="00277278" w:rsidP="00DD0D73">
      <w:pPr>
        <w:ind w:firstLine="708"/>
        <w:rPr>
          <w:sz w:val="28"/>
          <w:szCs w:val="28"/>
        </w:rPr>
      </w:pPr>
      <w:r w:rsidRPr="00277278">
        <w:rPr>
          <w:sz w:val="28"/>
          <w:szCs w:val="28"/>
        </w:rPr>
        <w:t>Вторая группа – это ГАБС</w:t>
      </w:r>
      <w:r w:rsidR="00EB327E">
        <w:rPr>
          <w:sz w:val="28"/>
          <w:szCs w:val="28"/>
        </w:rPr>
        <w:t>,</w:t>
      </w:r>
      <w:r w:rsidRPr="00277278">
        <w:rPr>
          <w:sz w:val="28"/>
          <w:szCs w:val="28"/>
        </w:rPr>
        <w:t xml:space="preserve"> </w:t>
      </w:r>
      <w:proofErr w:type="gramStart"/>
      <w:r w:rsidRPr="00277278">
        <w:rPr>
          <w:sz w:val="28"/>
          <w:szCs w:val="28"/>
        </w:rPr>
        <w:t>имеющие</w:t>
      </w:r>
      <w:proofErr w:type="gramEnd"/>
      <w:r w:rsidRPr="00277278">
        <w:rPr>
          <w:sz w:val="28"/>
          <w:szCs w:val="28"/>
        </w:rPr>
        <w:t xml:space="preserve"> подведомственную сеть в количестве 4-х и более муниципальных учреждений (в данную катег</w:t>
      </w:r>
      <w:r w:rsidR="007647A9">
        <w:rPr>
          <w:sz w:val="28"/>
          <w:szCs w:val="28"/>
        </w:rPr>
        <w:t>орию попадает социальная сфера)</w:t>
      </w:r>
    </w:p>
    <w:p w:rsidR="0019478B" w:rsidRPr="007647A9" w:rsidRDefault="007647A9" w:rsidP="007647A9">
      <w:pPr>
        <w:ind w:firstLine="708"/>
        <w:jc w:val="right"/>
        <w:rPr>
          <w:sz w:val="26"/>
          <w:szCs w:val="26"/>
        </w:rPr>
      </w:pPr>
      <w:r w:rsidRPr="007647A9">
        <w:rPr>
          <w:sz w:val="26"/>
          <w:szCs w:val="26"/>
        </w:rPr>
        <w:t>Диаграмма 2</w:t>
      </w:r>
    </w:p>
    <w:p w:rsidR="003065A1" w:rsidRDefault="0019478B" w:rsidP="009078BF">
      <w:pPr>
        <w:ind w:firstLine="708"/>
        <w:jc w:val="center"/>
        <w:rPr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5455285" cy="3968750"/>
            <wp:effectExtent l="19050" t="0" r="12065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65A1" w:rsidRPr="00277278" w:rsidRDefault="003065A1" w:rsidP="009078BF">
      <w:pPr>
        <w:ind w:firstLine="708"/>
        <w:jc w:val="center"/>
        <w:rPr>
          <w:b/>
          <w:sz w:val="28"/>
          <w:szCs w:val="28"/>
        </w:rPr>
      </w:pPr>
    </w:p>
    <w:p w:rsidR="00277278" w:rsidRPr="00691A35" w:rsidRDefault="001162BC" w:rsidP="00996003">
      <w:pPr>
        <w:jc w:val="both"/>
        <w:rPr>
          <w:sz w:val="28"/>
          <w:szCs w:val="28"/>
        </w:rPr>
      </w:pPr>
      <w:r w:rsidRPr="00277278">
        <w:rPr>
          <w:b/>
          <w:sz w:val="28"/>
          <w:szCs w:val="28"/>
        </w:rPr>
        <w:tab/>
      </w:r>
      <w:r w:rsidR="00277278" w:rsidRPr="00277278">
        <w:rPr>
          <w:sz w:val="28"/>
          <w:szCs w:val="28"/>
        </w:rPr>
        <w:t>Как видно на диаграмме</w:t>
      </w:r>
      <w:r w:rsidR="007647A9">
        <w:rPr>
          <w:sz w:val="28"/>
          <w:szCs w:val="28"/>
        </w:rPr>
        <w:t xml:space="preserve"> -</w:t>
      </w:r>
      <w:r w:rsidR="00277278" w:rsidRPr="00277278">
        <w:rPr>
          <w:sz w:val="28"/>
          <w:szCs w:val="28"/>
        </w:rPr>
        <w:t xml:space="preserve"> самый низкий результат у Управления образования. </w:t>
      </w:r>
      <w:r w:rsidR="00277278" w:rsidRPr="00996003">
        <w:rPr>
          <w:sz w:val="28"/>
          <w:szCs w:val="28"/>
        </w:rPr>
        <w:t>Наименьшее количество баллов по группам показателей «Оценка организации контроля», «Оценка исполнения судебных актов»</w:t>
      </w:r>
      <w:r w:rsidR="00996003" w:rsidRPr="00996003">
        <w:rPr>
          <w:sz w:val="28"/>
          <w:szCs w:val="28"/>
        </w:rPr>
        <w:t xml:space="preserve"> обуслов</w:t>
      </w:r>
      <w:r w:rsidR="003F01F6">
        <w:rPr>
          <w:sz w:val="28"/>
          <w:szCs w:val="28"/>
        </w:rPr>
        <w:t>ле</w:t>
      </w:r>
      <w:r w:rsidR="00996003" w:rsidRPr="00996003">
        <w:rPr>
          <w:sz w:val="28"/>
          <w:szCs w:val="28"/>
        </w:rPr>
        <w:t>н</w:t>
      </w:r>
      <w:r w:rsidR="00277278" w:rsidRPr="00996003">
        <w:rPr>
          <w:sz w:val="28"/>
          <w:szCs w:val="28"/>
        </w:rPr>
        <w:t xml:space="preserve">о самой большой сетью учреждений в количестве </w:t>
      </w:r>
      <w:r w:rsidR="00F33C5D">
        <w:rPr>
          <w:sz w:val="28"/>
          <w:szCs w:val="28"/>
        </w:rPr>
        <w:t>37 единиц</w:t>
      </w:r>
      <w:r w:rsidR="00996003" w:rsidRPr="00691A35">
        <w:rPr>
          <w:sz w:val="28"/>
          <w:szCs w:val="28"/>
        </w:rPr>
        <w:t>.</w:t>
      </w:r>
      <w:r w:rsidR="00277278" w:rsidRPr="00691A35">
        <w:rPr>
          <w:sz w:val="28"/>
          <w:szCs w:val="28"/>
        </w:rPr>
        <w:t xml:space="preserve"> </w:t>
      </w:r>
      <w:r w:rsidR="00181C6C">
        <w:rPr>
          <w:sz w:val="28"/>
          <w:szCs w:val="28"/>
        </w:rPr>
        <w:t>Кроме того, б</w:t>
      </w:r>
      <w:r w:rsidR="00F33C5D" w:rsidRPr="00691A35">
        <w:rPr>
          <w:sz w:val="28"/>
          <w:szCs w:val="28"/>
        </w:rPr>
        <w:t>ольшая доля учреждений образования была охвачена проверками контрольных органов, что влечет предписания, а в дальнейш</w:t>
      </w:r>
      <w:r w:rsidR="00691A35" w:rsidRPr="00691A35">
        <w:rPr>
          <w:sz w:val="28"/>
          <w:szCs w:val="28"/>
        </w:rPr>
        <w:t xml:space="preserve">ем </w:t>
      </w:r>
      <w:r w:rsidR="00181C6C">
        <w:rPr>
          <w:sz w:val="28"/>
          <w:szCs w:val="28"/>
        </w:rPr>
        <w:t>трудность</w:t>
      </w:r>
      <w:r w:rsidR="00691A35" w:rsidRPr="00691A35">
        <w:rPr>
          <w:sz w:val="28"/>
          <w:szCs w:val="28"/>
        </w:rPr>
        <w:t xml:space="preserve"> их устранения,</w:t>
      </w:r>
      <w:r w:rsidR="00181C6C">
        <w:rPr>
          <w:sz w:val="28"/>
          <w:szCs w:val="28"/>
        </w:rPr>
        <w:t xml:space="preserve"> так же это влечет</w:t>
      </w:r>
      <w:r w:rsidR="00691A35" w:rsidRPr="00691A35">
        <w:rPr>
          <w:sz w:val="28"/>
          <w:szCs w:val="28"/>
        </w:rPr>
        <w:t xml:space="preserve"> большое количество обращений УО по внесению изменений в сводную бюджетную роспись, высокий объем кредиторской задолженности на конец года.</w:t>
      </w:r>
    </w:p>
    <w:p w:rsidR="00F33C5D" w:rsidRPr="00691A35" w:rsidRDefault="00F33C5D" w:rsidP="00996003">
      <w:pPr>
        <w:jc w:val="both"/>
        <w:rPr>
          <w:sz w:val="28"/>
          <w:szCs w:val="28"/>
        </w:rPr>
      </w:pPr>
      <w:r w:rsidRPr="00691A35">
        <w:rPr>
          <w:sz w:val="28"/>
          <w:szCs w:val="28"/>
        </w:rPr>
        <w:t>Основной причиной низкого результата УО является необеспеченность бюджета на покрытие первоочередных и прочих статей расходов</w:t>
      </w:r>
      <w:r w:rsidR="00691A35" w:rsidRPr="00691A35">
        <w:rPr>
          <w:sz w:val="28"/>
          <w:szCs w:val="28"/>
        </w:rPr>
        <w:t>.</w:t>
      </w:r>
    </w:p>
    <w:p w:rsidR="00277278" w:rsidRPr="00996003" w:rsidRDefault="00277278" w:rsidP="00996003">
      <w:pPr>
        <w:tabs>
          <w:tab w:val="left" w:pos="1080"/>
          <w:tab w:val="center" w:pos="5456"/>
        </w:tabs>
        <w:ind w:firstLine="708"/>
        <w:jc w:val="both"/>
        <w:rPr>
          <w:b/>
          <w:sz w:val="28"/>
          <w:szCs w:val="28"/>
        </w:rPr>
      </w:pPr>
    </w:p>
    <w:p w:rsidR="00996003" w:rsidRPr="00996003" w:rsidRDefault="001162BC" w:rsidP="00996003">
      <w:pPr>
        <w:jc w:val="both"/>
        <w:rPr>
          <w:b/>
          <w:sz w:val="28"/>
          <w:szCs w:val="28"/>
        </w:rPr>
      </w:pPr>
      <w:r w:rsidRPr="00996003">
        <w:rPr>
          <w:b/>
          <w:sz w:val="28"/>
          <w:szCs w:val="28"/>
        </w:rPr>
        <w:t xml:space="preserve"> </w:t>
      </w:r>
      <w:r w:rsidR="00F33C5D">
        <w:rPr>
          <w:b/>
          <w:sz w:val="28"/>
          <w:szCs w:val="28"/>
        </w:rPr>
        <w:t>Общие р</w:t>
      </w:r>
      <w:r w:rsidR="00996003" w:rsidRPr="00996003">
        <w:rPr>
          <w:b/>
          <w:sz w:val="28"/>
          <w:szCs w:val="28"/>
        </w:rPr>
        <w:t xml:space="preserve">екомендации </w:t>
      </w:r>
      <w:r w:rsidR="00CC306B">
        <w:rPr>
          <w:b/>
          <w:sz w:val="28"/>
          <w:szCs w:val="28"/>
        </w:rPr>
        <w:t xml:space="preserve">ГАБС </w:t>
      </w:r>
      <w:r w:rsidR="00996003" w:rsidRPr="00996003">
        <w:rPr>
          <w:b/>
          <w:sz w:val="28"/>
          <w:szCs w:val="28"/>
        </w:rPr>
        <w:t>по повышению рейтинга по итогам проведенного мониторинга.</w:t>
      </w:r>
    </w:p>
    <w:p w:rsidR="00996003" w:rsidRPr="00996003" w:rsidRDefault="00996003" w:rsidP="00996003">
      <w:pPr>
        <w:jc w:val="both"/>
        <w:rPr>
          <w:sz w:val="28"/>
          <w:szCs w:val="28"/>
        </w:rPr>
      </w:pPr>
    </w:p>
    <w:p w:rsidR="00996003" w:rsidRPr="00996003" w:rsidRDefault="00996003" w:rsidP="00996003">
      <w:pPr>
        <w:jc w:val="both"/>
        <w:rPr>
          <w:sz w:val="28"/>
          <w:szCs w:val="28"/>
        </w:rPr>
      </w:pPr>
      <w:r w:rsidRPr="0099600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996003">
        <w:rPr>
          <w:sz w:val="28"/>
          <w:szCs w:val="28"/>
        </w:rPr>
        <w:t xml:space="preserve">В первую очередь необходимо усилить </w:t>
      </w:r>
      <w:proofErr w:type="gramStart"/>
      <w:r w:rsidRPr="00996003">
        <w:rPr>
          <w:sz w:val="28"/>
          <w:szCs w:val="28"/>
        </w:rPr>
        <w:t>контроль за</w:t>
      </w:r>
      <w:proofErr w:type="gramEnd"/>
      <w:r w:rsidRPr="00996003">
        <w:rPr>
          <w:sz w:val="28"/>
          <w:szCs w:val="28"/>
        </w:rPr>
        <w:t xml:space="preserve"> сроками предоставления запрашиваемой информации. Особенное внимание обратить на это УФСК, УКС, УЖКХ.</w:t>
      </w:r>
    </w:p>
    <w:p w:rsidR="00996003" w:rsidRPr="00996003" w:rsidRDefault="00996003" w:rsidP="00996003">
      <w:pPr>
        <w:jc w:val="both"/>
        <w:rPr>
          <w:sz w:val="28"/>
          <w:szCs w:val="28"/>
        </w:rPr>
      </w:pPr>
    </w:p>
    <w:p w:rsidR="00996003" w:rsidRPr="00996003" w:rsidRDefault="00996003" w:rsidP="00996003">
      <w:pPr>
        <w:jc w:val="both"/>
        <w:rPr>
          <w:sz w:val="28"/>
          <w:szCs w:val="28"/>
        </w:rPr>
      </w:pPr>
      <w:r w:rsidRPr="0099600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EB327E">
        <w:rPr>
          <w:sz w:val="28"/>
          <w:szCs w:val="28"/>
        </w:rPr>
        <w:t>При направлении платежных поручений с подтверждающими документами н</w:t>
      </w:r>
      <w:r w:rsidRPr="00996003">
        <w:rPr>
          <w:sz w:val="28"/>
          <w:szCs w:val="28"/>
        </w:rPr>
        <w:t xml:space="preserve">е допускать отправку договоров без прикрепленного файла, прикрепленные файлы должны быть подписаны электронной цифровой подписью, до подписания договора </w:t>
      </w:r>
      <w:r w:rsidRPr="00996003">
        <w:rPr>
          <w:sz w:val="28"/>
          <w:szCs w:val="28"/>
        </w:rPr>
        <w:lastRenderedPageBreak/>
        <w:t>следует сверять свои банковские реквизиты. Указанные в Сведениях об обязательстве коды классификации расходов бюджета, по которым принято бюджетное обязательство, должны соответствовать Указаниям о порядке применения бюджетной классификации</w:t>
      </w:r>
      <w:proofErr w:type="gramStart"/>
      <w:r w:rsidRPr="00996003">
        <w:rPr>
          <w:sz w:val="28"/>
          <w:szCs w:val="28"/>
        </w:rPr>
        <w:t xml:space="preserve">. !!!! </w:t>
      </w:r>
      <w:proofErr w:type="gramEnd"/>
      <w:r w:rsidRPr="00996003">
        <w:rPr>
          <w:sz w:val="28"/>
          <w:szCs w:val="28"/>
        </w:rPr>
        <w:t>Это касается всех ГАБС и подведомственных учреждений.</w:t>
      </w:r>
    </w:p>
    <w:p w:rsidR="00996003" w:rsidRPr="00996003" w:rsidRDefault="00996003" w:rsidP="00996003">
      <w:pPr>
        <w:jc w:val="both"/>
        <w:rPr>
          <w:sz w:val="28"/>
          <w:szCs w:val="28"/>
        </w:rPr>
      </w:pPr>
    </w:p>
    <w:p w:rsidR="00996003" w:rsidRPr="00996003" w:rsidRDefault="00996003" w:rsidP="00996003">
      <w:pPr>
        <w:jc w:val="both"/>
        <w:rPr>
          <w:sz w:val="28"/>
          <w:szCs w:val="28"/>
        </w:rPr>
      </w:pPr>
      <w:r w:rsidRPr="0099600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996003">
        <w:rPr>
          <w:sz w:val="28"/>
          <w:szCs w:val="28"/>
        </w:rPr>
        <w:t xml:space="preserve">Так как в 2014 году </w:t>
      </w:r>
      <w:r w:rsidR="00CC306B">
        <w:rPr>
          <w:sz w:val="28"/>
          <w:szCs w:val="28"/>
        </w:rPr>
        <w:t>осуществлен переход на программно целевой принцип формирования бюджета</w:t>
      </w:r>
      <w:r w:rsidRPr="00996003">
        <w:rPr>
          <w:sz w:val="28"/>
          <w:szCs w:val="28"/>
        </w:rPr>
        <w:t xml:space="preserve">, необходимо усилить </w:t>
      </w:r>
      <w:proofErr w:type="gramStart"/>
      <w:r w:rsidRPr="00996003">
        <w:rPr>
          <w:sz w:val="28"/>
          <w:szCs w:val="28"/>
        </w:rPr>
        <w:t>контроль за</w:t>
      </w:r>
      <w:proofErr w:type="gramEnd"/>
      <w:r w:rsidRPr="00996003">
        <w:rPr>
          <w:sz w:val="28"/>
          <w:szCs w:val="28"/>
        </w:rPr>
        <w:t xml:space="preserve"> качеством планирования и уровнем исполнения утвержденных показателей муниципальных программ. По итогам  года </w:t>
      </w:r>
      <w:r w:rsidR="00CC306B">
        <w:rPr>
          <w:sz w:val="28"/>
          <w:szCs w:val="28"/>
        </w:rPr>
        <w:t>наименьшее количество баллов по достижению целевых показателей сложилось</w:t>
      </w:r>
      <w:r w:rsidRPr="00996003">
        <w:rPr>
          <w:sz w:val="28"/>
          <w:szCs w:val="28"/>
        </w:rPr>
        <w:t xml:space="preserve"> у УЖКХ.</w:t>
      </w:r>
    </w:p>
    <w:p w:rsidR="00996003" w:rsidRPr="00996003" w:rsidRDefault="00996003" w:rsidP="00996003">
      <w:pPr>
        <w:jc w:val="both"/>
        <w:rPr>
          <w:sz w:val="28"/>
          <w:szCs w:val="28"/>
        </w:rPr>
      </w:pPr>
    </w:p>
    <w:p w:rsidR="00996003" w:rsidRPr="00996003" w:rsidRDefault="00996003" w:rsidP="00996003">
      <w:pPr>
        <w:jc w:val="both"/>
        <w:rPr>
          <w:sz w:val="28"/>
          <w:szCs w:val="28"/>
        </w:rPr>
      </w:pPr>
      <w:r w:rsidRPr="0099600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996003">
        <w:rPr>
          <w:sz w:val="28"/>
          <w:szCs w:val="28"/>
        </w:rPr>
        <w:t>Требуется усилить работу по снижению дебиторской задолженности по доходам. Особое внимание обратить на данный показатель Администрации Кондинского района, КУМИ, УЖКХ.</w:t>
      </w:r>
    </w:p>
    <w:p w:rsidR="00996003" w:rsidRPr="00996003" w:rsidRDefault="00996003" w:rsidP="00996003">
      <w:pPr>
        <w:jc w:val="both"/>
        <w:rPr>
          <w:sz w:val="28"/>
          <w:szCs w:val="28"/>
        </w:rPr>
      </w:pPr>
    </w:p>
    <w:p w:rsidR="00996003" w:rsidRPr="00996003" w:rsidRDefault="00996003" w:rsidP="00996003">
      <w:pPr>
        <w:jc w:val="both"/>
        <w:rPr>
          <w:sz w:val="28"/>
          <w:szCs w:val="28"/>
        </w:rPr>
      </w:pPr>
      <w:r w:rsidRPr="0099600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996003">
        <w:rPr>
          <w:sz w:val="28"/>
          <w:szCs w:val="28"/>
        </w:rPr>
        <w:t>В свою очередь УКС рекомендуется усилить работу по снижению дебиторской задолженности по расходам и недопущения ее в значительных объемах, но и остальным не забывать про данный показатель.</w:t>
      </w:r>
    </w:p>
    <w:p w:rsidR="00996003" w:rsidRPr="00996003" w:rsidRDefault="00996003" w:rsidP="00996003">
      <w:pPr>
        <w:jc w:val="both"/>
        <w:rPr>
          <w:sz w:val="28"/>
          <w:szCs w:val="28"/>
        </w:rPr>
      </w:pPr>
    </w:p>
    <w:p w:rsidR="00996003" w:rsidRPr="00996003" w:rsidRDefault="00996003" w:rsidP="00996003">
      <w:pPr>
        <w:jc w:val="both"/>
        <w:rPr>
          <w:sz w:val="28"/>
          <w:szCs w:val="28"/>
        </w:rPr>
      </w:pPr>
      <w:r w:rsidRPr="0099600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996003">
        <w:rPr>
          <w:sz w:val="28"/>
          <w:szCs w:val="28"/>
        </w:rPr>
        <w:t>Так же обращаю Ваше внимание на усиление контроля за использованием межбюджетных трансфертов (целевых средств поступивших из бюджета автономного округа</w:t>
      </w:r>
      <w:r w:rsidR="00181C6C">
        <w:rPr>
          <w:sz w:val="28"/>
          <w:szCs w:val="28"/>
        </w:rPr>
        <w:t xml:space="preserve"> и межбюджетные трансферты на исполнение передаваемых поселениями полномочий</w:t>
      </w:r>
      <w:r w:rsidRPr="00996003">
        <w:rPr>
          <w:sz w:val="28"/>
          <w:szCs w:val="28"/>
        </w:rPr>
        <w:t xml:space="preserve">), максимально снизить остатки на конец текущего года, стараться использовать в полном объеме или своевременно ходатайствовать о возврате </w:t>
      </w:r>
      <w:r w:rsidR="00790EBE">
        <w:rPr>
          <w:sz w:val="28"/>
          <w:szCs w:val="28"/>
        </w:rPr>
        <w:t xml:space="preserve">невостребованных </w:t>
      </w:r>
      <w:r w:rsidRPr="00996003">
        <w:rPr>
          <w:sz w:val="28"/>
          <w:szCs w:val="28"/>
        </w:rPr>
        <w:t>сред</w:t>
      </w:r>
      <w:r w:rsidR="00181C6C">
        <w:rPr>
          <w:sz w:val="28"/>
          <w:szCs w:val="28"/>
        </w:rPr>
        <w:t>ств в бюджет автономного округа, осуществлять контроль по целевому расходованию средств автономного округа и местного</w:t>
      </w:r>
      <w:proofErr w:type="gramEnd"/>
      <w:r w:rsidR="00181C6C">
        <w:rPr>
          <w:sz w:val="28"/>
          <w:szCs w:val="28"/>
        </w:rPr>
        <w:t xml:space="preserve"> бюджета координаторами программ.</w:t>
      </w:r>
      <w:r w:rsidRPr="00996003">
        <w:rPr>
          <w:sz w:val="28"/>
          <w:szCs w:val="28"/>
        </w:rPr>
        <w:t xml:space="preserve"> Лидер по остаткам целевых средств Администрация Кондинского района.</w:t>
      </w:r>
    </w:p>
    <w:p w:rsidR="00996003" w:rsidRPr="00996003" w:rsidRDefault="00996003" w:rsidP="00996003">
      <w:pPr>
        <w:jc w:val="both"/>
        <w:rPr>
          <w:sz w:val="28"/>
          <w:szCs w:val="28"/>
        </w:rPr>
      </w:pPr>
    </w:p>
    <w:p w:rsidR="00996003" w:rsidRPr="00996003" w:rsidRDefault="00996003" w:rsidP="00996003">
      <w:pPr>
        <w:jc w:val="both"/>
        <w:rPr>
          <w:sz w:val="28"/>
          <w:szCs w:val="28"/>
        </w:rPr>
      </w:pPr>
      <w:r w:rsidRPr="0099600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996003">
        <w:rPr>
          <w:sz w:val="28"/>
          <w:szCs w:val="28"/>
        </w:rPr>
        <w:t xml:space="preserve">В части наличия </w:t>
      </w:r>
      <w:proofErr w:type="gramStart"/>
      <w:r w:rsidRPr="00996003">
        <w:rPr>
          <w:sz w:val="28"/>
          <w:szCs w:val="28"/>
        </w:rPr>
        <w:t>нарушений, выявленных Контрольно-счетной палатой Кондинского района получают</w:t>
      </w:r>
      <w:proofErr w:type="gramEnd"/>
      <w:r w:rsidRPr="00996003">
        <w:rPr>
          <w:sz w:val="28"/>
          <w:szCs w:val="28"/>
        </w:rPr>
        <w:t xml:space="preserve"> наивысший бал те ГАБС, у которых проверки КСП не проводились (на заметку ГАБС). </w:t>
      </w:r>
      <w:proofErr w:type="gramStart"/>
      <w:r w:rsidRPr="00996003">
        <w:rPr>
          <w:sz w:val="28"/>
          <w:szCs w:val="28"/>
        </w:rPr>
        <w:t xml:space="preserve">В ходе контрольных проверок выявлены нарушения законодательной и нормативно-правовой базы, нецелевое использование бюджетных средств, необоснованное избыточное использование денежных средств, неэффективное использование средств, </w:t>
      </w:r>
      <w:proofErr w:type="spellStart"/>
      <w:r w:rsidRPr="00996003">
        <w:rPr>
          <w:sz w:val="28"/>
          <w:szCs w:val="28"/>
        </w:rPr>
        <w:t>недополучение</w:t>
      </w:r>
      <w:proofErr w:type="spellEnd"/>
      <w:r w:rsidRPr="00996003">
        <w:rPr>
          <w:sz w:val="28"/>
          <w:szCs w:val="28"/>
        </w:rPr>
        <w:t xml:space="preserve"> доходов бюджета у таких ГРБС как, Управление образования, УКС, Администрации района, УЖКХ, Управления культуры и молодежной политики, Отдела по здравоохранению.</w:t>
      </w:r>
      <w:proofErr w:type="gramEnd"/>
    </w:p>
    <w:p w:rsidR="00996003" w:rsidRPr="00996003" w:rsidRDefault="00996003" w:rsidP="00996003">
      <w:pPr>
        <w:jc w:val="both"/>
        <w:rPr>
          <w:sz w:val="28"/>
          <w:szCs w:val="28"/>
        </w:rPr>
      </w:pPr>
      <w:r w:rsidRPr="00996003">
        <w:rPr>
          <w:sz w:val="28"/>
          <w:szCs w:val="28"/>
        </w:rPr>
        <w:tab/>
      </w:r>
    </w:p>
    <w:p w:rsidR="00753099" w:rsidRPr="00996003" w:rsidRDefault="00753099" w:rsidP="00996003">
      <w:pPr>
        <w:tabs>
          <w:tab w:val="left" w:pos="1080"/>
          <w:tab w:val="center" w:pos="5456"/>
        </w:tabs>
        <w:ind w:firstLine="708"/>
        <w:jc w:val="both"/>
        <w:rPr>
          <w:sz w:val="28"/>
          <w:szCs w:val="28"/>
        </w:rPr>
      </w:pPr>
    </w:p>
    <w:sectPr w:rsidR="00753099" w:rsidRPr="00996003" w:rsidSect="00CC7D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73" w:rsidRDefault="00DD0D73" w:rsidP="00CC7D79">
      <w:r>
        <w:separator/>
      </w:r>
    </w:p>
  </w:endnote>
  <w:endnote w:type="continuationSeparator" w:id="1">
    <w:p w:rsidR="00DD0D73" w:rsidRDefault="00DD0D73" w:rsidP="00CC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73" w:rsidRDefault="00DD0D73" w:rsidP="00CC7D79">
      <w:r>
        <w:separator/>
      </w:r>
    </w:p>
  </w:footnote>
  <w:footnote w:type="continuationSeparator" w:id="1">
    <w:p w:rsidR="00DD0D73" w:rsidRDefault="00DD0D73" w:rsidP="00CC7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488"/>
    <w:multiLevelType w:val="hybridMultilevel"/>
    <w:tmpl w:val="38EC2972"/>
    <w:lvl w:ilvl="0" w:tplc="7B7CA9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1F6CB9"/>
    <w:multiLevelType w:val="hybridMultilevel"/>
    <w:tmpl w:val="8794B3BC"/>
    <w:lvl w:ilvl="0" w:tplc="21B43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2350E9"/>
    <w:multiLevelType w:val="hybridMultilevel"/>
    <w:tmpl w:val="A976AB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ECB2A17"/>
    <w:multiLevelType w:val="hybridMultilevel"/>
    <w:tmpl w:val="283AA090"/>
    <w:lvl w:ilvl="0" w:tplc="DB4A69CC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77C61"/>
    <w:multiLevelType w:val="hybridMultilevel"/>
    <w:tmpl w:val="2B5479DC"/>
    <w:lvl w:ilvl="0" w:tplc="7396ABE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670B68"/>
    <w:multiLevelType w:val="hybridMultilevel"/>
    <w:tmpl w:val="74322F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602453"/>
    <w:multiLevelType w:val="hybridMultilevel"/>
    <w:tmpl w:val="B65E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11E5A"/>
    <w:multiLevelType w:val="hybridMultilevel"/>
    <w:tmpl w:val="D9AE9216"/>
    <w:lvl w:ilvl="0" w:tplc="738E78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611D10"/>
    <w:multiLevelType w:val="multilevel"/>
    <w:tmpl w:val="234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831B7"/>
    <w:multiLevelType w:val="hybridMultilevel"/>
    <w:tmpl w:val="5C1E6760"/>
    <w:lvl w:ilvl="0" w:tplc="76180D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161421"/>
    <w:rsid w:val="00050713"/>
    <w:rsid w:val="0005169F"/>
    <w:rsid w:val="000E1491"/>
    <w:rsid w:val="001162BC"/>
    <w:rsid w:val="00130597"/>
    <w:rsid w:val="00161421"/>
    <w:rsid w:val="00181C6C"/>
    <w:rsid w:val="00187C34"/>
    <w:rsid w:val="0019478B"/>
    <w:rsid w:val="0019507D"/>
    <w:rsid w:val="001D0F1A"/>
    <w:rsid w:val="00277278"/>
    <w:rsid w:val="002A4E91"/>
    <w:rsid w:val="002E2E5A"/>
    <w:rsid w:val="002E5EBD"/>
    <w:rsid w:val="002E5F80"/>
    <w:rsid w:val="003065A1"/>
    <w:rsid w:val="003547B7"/>
    <w:rsid w:val="003C1B91"/>
    <w:rsid w:val="003F01F6"/>
    <w:rsid w:val="005100E4"/>
    <w:rsid w:val="005145F5"/>
    <w:rsid w:val="00533024"/>
    <w:rsid w:val="00534967"/>
    <w:rsid w:val="00540388"/>
    <w:rsid w:val="00572F52"/>
    <w:rsid w:val="005C42E3"/>
    <w:rsid w:val="00613722"/>
    <w:rsid w:val="00691A35"/>
    <w:rsid w:val="006E3150"/>
    <w:rsid w:val="006F6060"/>
    <w:rsid w:val="007041FA"/>
    <w:rsid w:val="00734E00"/>
    <w:rsid w:val="00753099"/>
    <w:rsid w:val="007647A9"/>
    <w:rsid w:val="00790EBE"/>
    <w:rsid w:val="007917F4"/>
    <w:rsid w:val="007C726C"/>
    <w:rsid w:val="007E2661"/>
    <w:rsid w:val="007F6DD1"/>
    <w:rsid w:val="00865E3B"/>
    <w:rsid w:val="0087635F"/>
    <w:rsid w:val="008B2FAE"/>
    <w:rsid w:val="009078BF"/>
    <w:rsid w:val="00996003"/>
    <w:rsid w:val="009E7F24"/>
    <w:rsid w:val="00A5572C"/>
    <w:rsid w:val="00AD7AAC"/>
    <w:rsid w:val="00B11BD6"/>
    <w:rsid w:val="00B87B08"/>
    <w:rsid w:val="00BA385E"/>
    <w:rsid w:val="00C03028"/>
    <w:rsid w:val="00C849B8"/>
    <w:rsid w:val="00CB53A1"/>
    <w:rsid w:val="00CC306B"/>
    <w:rsid w:val="00CC7D79"/>
    <w:rsid w:val="00CE46BF"/>
    <w:rsid w:val="00DB76C6"/>
    <w:rsid w:val="00DD0D73"/>
    <w:rsid w:val="00E022E6"/>
    <w:rsid w:val="00E03FCF"/>
    <w:rsid w:val="00E14E69"/>
    <w:rsid w:val="00EB327E"/>
    <w:rsid w:val="00EE3640"/>
    <w:rsid w:val="00F21207"/>
    <w:rsid w:val="00F33C5D"/>
    <w:rsid w:val="00F9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21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5169F"/>
    <w:rPr>
      <w:color w:val="008000"/>
    </w:rPr>
  </w:style>
  <w:style w:type="paragraph" w:styleId="a5">
    <w:name w:val="header"/>
    <w:basedOn w:val="a"/>
    <w:link w:val="a6"/>
    <w:uiPriority w:val="99"/>
    <w:semiHidden/>
    <w:unhideWhenUsed/>
    <w:rsid w:val="00CC7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7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7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78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04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7635F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76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edsedatel\&#1054;&#1041;&#1065;&#1048;&#1049;\&#1054;&#1058;&#1044;&#1045;&#1051;%20&#1041;&#1070;&#1044;&#1046;&#1045;&#1058;&#1053;&#1054;&#1043;&#1054;%20&#1055;&#1051;&#1040;&#1053;&#1048;&#1056;&#1054;&#1042;&#1040;&#1053;&#1048;&#1071;\&#1060;&#1080;&#1085;&#1072;&#1085;&#1089;&#1086;&#1074;&#1099;&#1081;%20&#1084;&#1077;&#1085;&#1077;&#1076;&#1078;&#1084;&#1077;&#1085;&#1090;\&#1052;&#1054;%20&#1050;&#1086;&#1085;&#1076;&#1080;&#1085;&#1089;&#1082;&#1080;&#1081;\2014\&#1052;&#1086;&#1085;&#1080;&#1090;&#1086;&#1088;&#1080;&#1085;&#1075;%20&#1079;&#1072;%202013%20&#1075;&#1086;&#1076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edsedatel\&#1054;&#1041;&#1065;&#1048;&#1049;\&#1054;&#1058;&#1044;&#1045;&#1051;%20&#1041;&#1070;&#1044;&#1046;&#1045;&#1058;&#1053;&#1054;&#1043;&#1054;%20&#1055;&#1051;&#1040;&#1053;&#1048;&#1056;&#1054;&#1042;&#1040;&#1053;&#1048;&#1071;\&#1060;&#1080;&#1085;&#1072;&#1085;&#1089;&#1086;&#1074;&#1099;&#1081;%20&#1084;&#1077;&#1085;&#1077;&#1076;&#1078;&#1084;&#1077;&#1085;&#1090;\&#1052;&#1054;%20&#1050;&#1086;&#1085;&#1076;&#1080;&#1085;&#1089;&#1082;&#1080;&#1081;\2014\&#1052;&#1086;&#1085;&#1080;&#1090;&#1086;&#1088;&#1080;&#1085;&#1075;%20&#1079;&#1072;%202013%20&#1075;&#1086;&#107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4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Рейтинг ГАБС, не имеющих подведомственной сети учреждений, либо имеющих подведомственную сеть в количестве 3 или менее муниципальных учреждений </a:t>
            </a:r>
          </a:p>
        </c:rich>
      </c:tx>
      <c:layout>
        <c:manualLayout>
          <c:xMode val="edge"/>
          <c:yMode val="edge"/>
          <c:x val="0.12231953100998665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35062120976192784"/>
          <c:y val="0.1398720908006417"/>
          <c:w val="0.69245602125377304"/>
          <c:h val="0.39190867206988295"/>
        </c:manualLayout>
      </c:layout>
      <c:bar3DChart>
        <c:barDir val="col"/>
        <c:grouping val="stacked"/>
        <c:ser>
          <c:idx val="0"/>
          <c:order val="0"/>
          <c:dPt>
            <c:idx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5"/>
            <c:spPr>
              <a:solidFill>
                <a:srgbClr val="0070C0"/>
              </a:solidFill>
            </c:spPr>
          </c:dPt>
          <c:dPt>
            <c:idx val="6"/>
            <c:spPr>
              <a:solidFill>
                <a:srgbClr val="7030A0"/>
              </a:solidFill>
            </c:spPr>
          </c:dPt>
          <c:dPt>
            <c:idx val="7"/>
            <c:spPr>
              <a:solidFill>
                <a:schemeClr val="bg1">
                  <a:lumMod val="75000"/>
                </a:schemeClr>
              </a:solidFill>
            </c:spPr>
          </c:dPt>
          <c:dPt>
            <c:idx val="8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3.5841934628268171E-3"/>
                  <c:y val="-0.22208100807686507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9</a:t>
                    </a:r>
                    <a:r>
                      <a:rPr lang="ru-RU" sz="1200" b="1"/>
                      <a:t>8</a:t>
                    </a:r>
                    <a:endParaRPr lang="en-US" sz="1200" b="1"/>
                  </a:p>
                </c:rich>
              </c:tx>
              <c:showVal val="1"/>
            </c:dLbl>
            <c:dLbl>
              <c:idx val="1"/>
              <c:layout>
                <c:manualLayout>
                  <c:x val="3.3500833102410609E-3"/>
                  <c:y val="-0.22221940708850024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sz="1200" b="1"/>
                      <a:t>9</a:t>
                    </a:r>
                    <a:r>
                      <a:rPr lang="ru-RU" sz="1200" b="1"/>
                      <a:t>8</a:t>
                    </a:r>
                    <a:endParaRPr lang="en-US" sz="1200" b="1"/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1.6750416551205307E-3"/>
                  <c:y val="-0.21618622362936679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9</a:t>
                    </a:r>
                    <a:r>
                      <a:rPr lang="ru-RU" sz="1200" b="1"/>
                      <a:t>7</a:t>
                    </a:r>
                    <a:endParaRPr lang="en-US" sz="1200" b="1"/>
                  </a:p>
                </c:rich>
              </c:tx>
              <c:showVal val="1"/>
            </c:dLbl>
            <c:dLbl>
              <c:idx val="3"/>
              <c:layout>
                <c:manualLayout>
                  <c:x val="0"/>
                  <c:y val="-0.20682291292231889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9</a:t>
                    </a:r>
                    <a:r>
                      <a:rPr lang="ru-RU" sz="1200" b="1"/>
                      <a:t>2</a:t>
                    </a:r>
                    <a:endParaRPr lang="en-US" sz="1200" b="1"/>
                  </a:p>
                </c:rich>
              </c:tx>
              <c:showVal val="1"/>
            </c:dLbl>
            <c:dLbl>
              <c:idx val="4"/>
              <c:layout>
                <c:manualLayout>
                  <c:x val="1.7921626779352612E-3"/>
                  <c:y val="-0.20536544781581381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92</a:t>
                    </a:r>
                    <a:endParaRPr lang="en-US" sz="1200" b="1"/>
                  </a:p>
                </c:rich>
              </c:tx>
              <c:showVal val="1"/>
            </c:dLbl>
            <c:dLbl>
              <c:idx val="5"/>
              <c:layout>
                <c:manualLayout>
                  <c:x val="-1.6750416551205307E-3"/>
                  <c:y val="-0.19010735266126749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85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3.3500833102410609E-3"/>
                  <c:y val="-0.19066094870780625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82</a:t>
                    </a:r>
                    <a:endParaRPr lang="en-US" sz="1200" b="1"/>
                  </a:p>
                </c:rich>
              </c:tx>
              <c:showVal val="1"/>
            </c:dLbl>
            <c:dLbl>
              <c:idx val="7"/>
              <c:layout>
                <c:manualLayout>
                  <c:x val="1.6750416551205307E-3"/>
                  <c:y val="-0.1828935021188984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82</a:t>
                    </a:r>
                    <a:endParaRPr lang="en-US" sz="1200" b="1"/>
                  </a:p>
                </c:rich>
              </c:tx>
              <c:showVal val="1"/>
            </c:dLbl>
            <c:dLbl>
              <c:idx val="8"/>
              <c:layout>
                <c:manualLayout>
                  <c:x val="0"/>
                  <c:y val="-0.16201757889139595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7</a:t>
                    </a:r>
                    <a:r>
                      <a:rPr lang="ru-RU" sz="1200" b="1"/>
                      <a:t>5</a:t>
                    </a:r>
                    <a:endParaRPr lang="en-US" sz="1200" b="1"/>
                  </a:p>
                </c:rich>
              </c:tx>
              <c:showVal val="1"/>
            </c:dLbl>
            <c:showVal val="1"/>
          </c:dLbls>
          <c:cat>
            <c:strRef>
              <c:f>Лист2!$B$3:$B$11</c:f>
              <c:strCache>
                <c:ptCount val="9"/>
                <c:pt idx="0">
                  <c:v>Комитет по финансам и налоговой политике администрации Кондинского района</c:v>
                </c:pt>
                <c:pt idx="1">
                  <c:v>Дума Кондинского района</c:v>
                </c:pt>
                <c:pt idx="2">
                  <c:v>Отдел жилищной политике администрации Кондинского района</c:v>
                </c:pt>
                <c:pt idx="3">
                  <c:v>Администрация Кондинского </c:v>
                </c:pt>
                <c:pt idx="4">
                  <c:v>Муниципальное учреждение Управление капитального строительства Кондинского района</c:v>
                </c:pt>
                <c:pt idx="5">
                  <c:v>Отдел по опеке и попечительству администрации Кондинского района</c:v>
                </c:pt>
                <c:pt idx="6">
                  <c:v>Управление по физической культуре и спорту администрации Кондинского района</c:v>
                </c:pt>
                <c:pt idx="7">
                  <c:v>Комитет по управлению муниципальным имуществом администрации Кондинского района</c:v>
                </c:pt>
                <c:pt idx="8">
                  <c:v>Управление жилищно-коммунального хозяйства администрации Кондинского района</c:v>
                </c:pt>
              </c:strCache>
            </c:strRef>
          </c:cat>
          <c:val>
            <c:numRef>
              <c:f>Лист2!$C$3:$C$11</c:f>
              <c:numCache>
                <c:formatCode>General</c:formatCode>
                <c:ptCount val="9"/>
                <c:pt idx="0">
                  <c:v>98</c:v>
                </c:pt>
                <c:pt idx="1">
                  <c:v>98</c:v>
                </c:pt>
                <c:pt idx="2">
                  <c:v>97</c:v>
                </c:pt>
                <c:pt idx="3">
                  <c:v>92</c:v>
                </c:pt>
                <c:pt idx="4">
                  <c:v>92</c:v>
                </c:pt>
                <c:pt idx="5">
                  <c:v>85</c:v>
                </c:pt>
                <c:pt idx="6">
                  <c:v>82</c:v>
                </c:pt>
                <c:pt idx="7">
                  <c:v>82</c:v>
                </c:pt>
                <c:pt idx="8">
                  <c:v>75</c:v>
                </c:pt>
              </c:numCache>
            </c:numRef>
          </c:val>
        </c:ser>
        <c:shape val="box"/>
        <c:axId val="91203072"/>
        <c:axId val="91204608"/>
        <c:axId val="0"/>
      </c:bar3DChart>
      <c:catAx>
        <c:axId val="912030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1204608"/>
        <c:crosses val="autoZero"/>
        <c:auto val="1"/>
        <c:lblAlgn val="ctr"/>
        <c:lblOffset val="100"/>
      </c:catAx>
      <c:valAx>
        <c:axId val="91204608"/>
        <c:scaling>
          <c:orientation val="minMax"/>
        </c:scaling>
        <c:axPos val="l"/>
        <c:majorGridlines/>
        <c:numFmt formatCode="General" sourceLinked="1"/>
        <c:tickLblPos val="nextTo"/>
        <c:crossAx val="912030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Рейтинг ГАБС, имеющих подведомственную</a:t>
            </a:r>
            <a:r>
              <a:rPr lang="ru-RU" sz="900" baseline="0"/>
              <a:t> сеть учреждений, либо имеющих подведомственную сеть в количестве 4 или более муниципальных учреждений за 2013 год </a:t>
            </a:r>
            <a:endParaRPr lang="ru-RU" sz="900"/>
          </a:p>
        </c:rich>
      </c:tx>
      <c:layout>
        <c:manualLayout>
          <c:xMode val="edge"/>
          <c:yMode val="edge"/>
          <c:x val="0.13626912693147095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9.2204682681755412E-2"/>
          <c:y val="0.20423959013856893"/>
          <c:w val="0.84402438566403371"/>
          <c:h val="0.31782622150397166"/>
        </c:manualLayout>
      </c:layout>
      <c:bar3DChart>
        <c:barDir val="col"/>
        <c:grouping val="stacked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2.5437167810664376E-2"/>
                  <c:y val="-0.2891303307086614"/>
                </c:manualLayout>
              </c:layout>
              <c:showVal val="1"/>
            </c:dLbl>
            <c:dLbl>
              <c:idx val="1"/>
              <c:layout>
                <c:manualLayout>
                  <c:x val="3.2837697755479359E-2"/>
                  <c:y val="-0.27873285039370077"/>
                </c:manualLayout>
              </c:layout>
              <c:showVal val="1"/>
            </c:dLbl>
            <c:dLbl>
              <c:idx val="2"/>
              <c:layout>
                <c:manualLayout>
                  <c:x val="2.5437167810664376E-2"/>
                  <c:y val="-0.25174198425196853"/>
                </c:manualLayout>
              </c:layout>
              <c:showVal val="1"/>
            </c:dLbl>
            <c:showVal val="1"/>
          </c:dLbls>
          <c:cat>
            <c:strRef>
              <c:f>Лист1!$B$3:$B$5</c:f>
              <c:strCache>
                <c:ptCount val="3"/>
                <c:pt idx="0">
                  <c:v>Управление культуры и молодежной политике администрации Кондинского района</c:v>
                </c:pt>
                <c:pt idx="1">
                  <c:v>Отдел по здравоохранению администрации Кондинского района</c:v>
                </c:pt>
                <c:pt idx="2">
                  <c:v>Управление образования Администрации Кондинского района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80</c:v>
                </c:pt>
                <c:pt idx="1">
                  <c:v>78</c:v>
                </c:pt>
                <c:pt idx="2">
                  <c:v>58</c:v>
                </c:pt>
              </c:numCache>
            </c:numRef>
          </c:val>
        </c:ser>
        <c:shape val="box"/>
        <c:axId val="91640192"/>
        <c:axId val="91641728"/>
        <c:axId val="0"/>
      </c:bar3DChart>
      <c:catAx>
        <c:axId val="91640192"/>
        <c:scaling>
          <c:orientation val="minMax"/>
        </c:scaling>
        <c:axPos val="b"/>
        <c:tickLblPos val="nextTo"/>
        <c:crossAx val="91641728"/>
        <c:crosses val="autoZero"/>
        <c:auto val="1"/>
        <c:lblAlgn val="ctr"/>
        <c:lblOffset val="100"/>
      </c:catAx>
      <c:valAx>
        <c:axId val="91641728"/>
        <c:scaling>
          <c:orientation val="minMax"/>
        </c:scaling>
        <c:axPos val="l"/>
        <c:majorGridlines/>
        <c:numFmt formatCode="General" sourceLinked="1"/>
        <c:tickLblPos val="nextTo"/>
        <c:crossAx val="91640192"/>
        <c:crosses val="autoZero"/>
        <c:crossBetween val="between"/>
      </c:valAx>
      <c:spPr>
        <a:noFill/>
        <a:effectLst>
          <a:outerShdw blurRad="50800" dist="50800" dir="5400000" algn="ctr" rotWithShape="0">
            <a:srgbClr val="FF0000"/>
          </a:outerShdw>
        </a:effectLst>
      </c:spPr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5145-169F-437C-91F3-792BB339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02-2223</dc:creator>
  <cp:keywords/>
  <dc:description/>
  <cp:lastModifiedBy>02-2211</cp:lastModifiedBy>
  <cp:revision>28</cp:revision>
  <cp:lastPrinted>2014-06-27T11:37:00Z</cp:lastPrinted>
  <dcterms:created xsi:type="dcterms:W3CDTF">2014-06-25T09:05:00Z</dcterms:created>
  <dcterms:modified xsi:type="dcterms:W3CDTF">2014-06-27T12:11:00Z</dcterms:modified>
</cp:coreProperties>
</file>