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049D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2749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2749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2749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2749D">
        <w:rPr>
          <w:b/>
        </w:rPr>
        <w:t xml:space="preserve"> </w:t>
      </w:r>
      <w:r w:rsidRPr="00C22549">
        <w:rPr>
          <w:b/>
        </w:rPr>
        <w:t>автономного</w:t>
      </w:r>
      <w:r w:rsidR="0012749D">
        <w:rPr>
          <w:b/>
        </w:rPr>
        <w:t xml:space="preserve"> </w:t>
      </w:r>
      <w:r w:rsidRPr="00C22549">
        <w:rPr>
          <w:b/>
        </w:rPr>
        <w:t>округа</w:t>
      </w:r>
      <w:r w:rsidR="0012749D">
        <w:rPr>
          <w:b/>
        </w:rPr>
        <w:t xml:space="preserve"> </w:t>
      </w:r>
      <w:r w:rsidRPr="00C22549">
        <w:rPr>
          <w:b/>
        </w:rPr>
        <w:t>–</w:t>
      </w:r>
      <w:r w:rsidR="0012749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2749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2749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A60E28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A60E28" w:rsidRDefault="00EC75C7" w:rsidP="000C6D50">
            <w:pPr>
              <w:rPr>
                <w:color w:val="000000"/>
                <w:sz w:val="26"/>
                <w:szCs w:val="26"/>
              </w:rPr>
            </w:pPr>
            <w:r w:rsidRPr="00A60E28">
              <w:rPr>
                <w:color w:val="000000"/>
                <w:sz w:val="26"/>
                <w:szCs w:val="26"/>
              </w:rPr>
              <w:t>от</w:t>
            </w:r>
            <w:r w:rsidR="0012749D" w:rsidRPr="00A60E28">
              <w:rPr>
                <w:color w:val="000000"/>
                <w:sz w:val="26"/>
                <w:szCs w:val="26"/>
              </w:rPr>
              <w:t xml:space="preserve"> </w:t>
            </w:r>
            <w:r w:rsidR="000C6D50" w:rsidRPr="00A60E28">
              <w:rPr>
                <w:color w:val="000000"/>
                <w:sz w:val="26"/>
                <w:szCs w:val="26"/>
              </w:rPr>
              <w:t>05</w:t>
            </w:r>
            <w:r w:rsidR="0012749D" w:rsidRPr="00A60E28">
              <w:rPr>
                <w:color w:val="000000"/>
                <w:sz w:val="26"/>
                <w:szCs w:val="26"/>
              </w:rPr>
              <w:t xml:space="preserve"> </w:t>
            </w:r>
            <w:r w:rsidR="000C6D50" w:rsidRPr="00A60E28">
              <w:rPr>
                <w:color w:val="000000"/>
                <w:sz w:val="26"/>
                <w:szCs w:val="26"/>
              </w:rPr>
              <w:t>июля</w:t>
            </w:r>
            <w:r w:rsidR="0012749D" w:rsidRPr="00A60E28">
              <w:rPr>
                <w:sz w:val="26"/>
                <w:szCs w:val="26"/>
              </w:rPr>
              <w:t xml:space="preserve"> </w:t>
            </w:r>
            <w:r w:rsidR="00E50C75" w:rsidRPr="00A60E28">
              <w:rPr>
                <w:color w:val="000000"/>
                <w:sz w:val="26"/>
                <w:szCs w:val="26"/>
              </w:rPr>
              <w:t>202</w:t>
            </w:r>
            <w:r w:rsidR="00842AFF" w:rsidRPr="00A60E28">
              <w:rPr>
                <w:color w:val="000000"/>
                <w:sz w:val="26"/>
                <w:szCs w:val="26"/>
              </w:rPr>
              <w:t>3</w:t>
            </w:r>
            <w:r w:rsidR="0012749D" w:rsidRPr="00A60E28">
              <w:rPr>
                <w:color w:val="000000"/>
                <w:sz w:val="26"/>
                <w:szCs w:val="26"/>
              </w:rPr>
              <w:t xml:space="preserve"> </w:t>
            </w:r>
            <w:r w:rsidR="00A91A75" w:rsidRPr="00A60E28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A60E28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A60E28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A60E28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A60E28">
              <w:rPr>
                <w:color w:val="000000"/>
                <w:sz w:val="26"/>
                <w:szCs w:val="26"/>
              </w:rPr>
              <w:t>№</w:t>
            </w:r>
            <w:r w:rsidR="0012749D" w:rsidRPr="00A60E28">
              <w:rPr>
                <w:color w:val="000000"/>
                <w:sz w:val="26"/>
                <w:szCs w:val="26"/>
              </w:rPr>
              <w:t xml:space="preserve"> 723</w:t>
            </w:r>
          </w:p>
        </w:tc>
      </w:tr>
      <w:tr w:rsidR="001A685C" w:rsidRPr="00A60E28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0E28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0E28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A60E28">
              <w:rPr>
                <w:color w:val="000000"/>
                <w:sz w:val="26"/>
                <w:szCs w:val="26"/>
              </w:rPr>
              <w:t>пгт.</w:t>
            </w:r>
            <w:r w:rsidR="0012749D" w:rsidRPr="00A60E28">
              <w:rPr>
                <w:color w:val="000000"/>
                <w:sz w:val="26"/>
                <w:szCs w:val="26"/>
              </w:rPr>
              <w:t xml:space="preserve"> </w:t>
            </w:r>
            <w:r w:rsidRPr="00A60E28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60E28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A60E28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A60E28" w:rsidTr="00CF111A">
        <w:tc>
          <w:tcPr>
            <w:tcW w:w="6345" w:type="dxa"/>
          </w:tcPr>
          <w:p w:rsidR="0012749D" w:rsidRPr="00A60E28" w:rsidRDefault="0012749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0E28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12749D" w:rsidRPr="00A60E28" w:rsidRDefault="0012749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0E28">
              <w:rPr>
                <w:sz w:val="26"/>
                <w:szCs w:val="26"/>
              </w:rPr>
              <w:t xml:space="preserve">от 03 июня 2019 года № 1053 «Об обеспечении питанием обучающихся муниципальных общеобразовательных организаций </w:t>
            </w:r>
          </w:p>
          <w:p w:rsidR="002A397D" w:rsidRPr="00A60E28" w:rsidRDefault="0012749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0E28">
              <w:rPr>
                <w:sz w:val="26"/>
                <w:szCs w:val="26"/>
              </w:rPr>
              <w:t>Кондинского района»</w:t>
            </w:r>
          </w:p>
          <w:p w:rsidR="0012749D" w:rsidRPr="00A60E28" w:rsidRDefault="0012749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54156" w:rsidRPr="00A60E28" w:rsidRDefault="00A54156" w:rsidP="00020FFD">
      <w:pPr>
        <w:pStyle w:val="1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60E28">
        <w:rPr>
          <w:rFonts w:ascii="Times New Roman" w:hAnsi="Times New Roman"/>
          <w:sz w:val="26"/>
          <w:szCs w:val="26"/>
        </w:rPr>
        <w:t>В</w:t>
      </w:r>
      <w:r w:rsidR="0012749D" w:rsidRPr="00A60E28">
        <w:rPr>
          <w:rFonts w:ascii="Times New Roman" w:hAnsi="Times New Roman"/>
          <w:sz w:val="26"/>
          <w:szCs w:val="26"/>
        </w:rPr>
        <w:t xml:space="preserve"> </w:t>
      </w:r>
      <w:r w:rsidRPr="00A60E28">
        <w:rPr>
          <w:rFonts w:ascii="Times New Roman" w:hAnsi="Times New Roman"/>
          <w:sz w:val="26"/>
          <w:szCs w:val="26"/>
        </w:rPr>
        <w:t>соответствии</w:t>
      </w:r>
      <w:r w:rsidR="0012749D" w:rsidRPr="00A60E28">
        <w:rPr>
          <w:rFonts w:ascii="Times New Roman" w:hAnsi="Times New Roman"/>
          <w:sz w:val="26"/>
          <w:szCs w:val="26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Федеральным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законом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29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декабря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2012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года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273-ФЗ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«Об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образовании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Российской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Федерации»,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Законом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Ханты-Мансийского автономного округа – Югры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24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ноября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2022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года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143-оз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«О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внесении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изменений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отдельные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законы</w:t>
      </w:r>
      <w:r w:rsidR="0012749D"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9049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Ханты-Мансийского автономного округа – Югры</w:t>
      </w:r>
      <w:r w:rsidRPr="00A60E2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Pr="00A60E28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12749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20FFD" w:rsidRPr="00A60E28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Pr="00A60E28">
        <w:rPr>
          <w:rFonts w:ascii="Times New Roman" w:hAnsi="Times New Roman"/>
          <w:sz w:val="26"/>
          <w:szCs w:val="26"/>
          <w:shd w:val="clear" w:color="auto" w:fill="FFFFFF"/>
        </w:rPr>
        <w:t>остановлением</w:t>
      </w:r>
      <w:r w:rsidR="0012749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sz w:val="26"/>
          <w:szCs w:val="26"/>
          <w:shd w:val="clear" w:color="auto" w:fill="FFFFFF"/>
        </w:rPr>
        <w:t>Правительства</w:t>
      </w:r>
      <w:r w:rsidR="0012749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20FF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Ханты-Мансийского автономного округа – Югры               </w:t>
      </w:r>
      <w:r w:rsidRPr="00A60E28">
        <w:rPr>
          <w:rFonts w:ascii="Times New Roman" w:hAnsi="Times New Roman"/>
          <w:sz w:val="26"/>
          <w:szCs w:val="26"/>
          <w:shd w:val="clear" w:color="auto" w:fill="FFFFFF"/>
        </w:rPr>
        <w:t>от</w:t>
      </w:r>
      <w:r w:rsidR="0012749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sz w:val="26"/>
          <w:szCs w:val="26"/>
          <w:shd w:val="clear" w:color="auto" w:fill="FFFFFF"/>
        </w:rPr>
        <w:t>10</w:t>
      </w:r>
      <w:r w:rsidR="0012749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sz w:val="26"/>
          <w:szCs w:val="26"/>
          <w:shd w:val="clear" w:color="auto" w:fill="FFFFFF"/>
        </w:rPr>
        <w:t>февраля</w:t>
      </w:r>
      <w:r w:rsidR="0012749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sz w:val="26"/>
          <w:szCs w:val="26"/>
          <w:shd w:val="clear" w:color="auto" w:fill="FFFFFF"/>
        </w:rPr>
        <w:t>2023</w:t>
      </w:r>
      <w:r w:rsidR="0012749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sz w:val="26"/>
          <w:szCs w:val="26"/>
          <w:shd w:val="clear" w:color="auto" w:fill="FFFFFF"/>
        </w:rPr>
        <w:t>года</w:t>
      </w:r>
      <w:r w:rsidR="0012749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sz w:val="26"/>
          <w:szCs w:val="26"/>
          <w:shd w:val="clear" w:color="auto" w:fill="FFFFFF"/>
        </w:rPr>
        <w:t>№</w:t>
      </w:r>
      <w:r w:rsidR="0012749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60E28">
        <w:rPr>
          <w:rFonts w:ascii="Times New Roman" w:hAnsi="Times New Roman"/>
          <w:sz w:val="26"/>
          <w:szCs w:val="26"/>
          <w:shd w:val="clear" w:color="auto" w:fill="FFFFFF"/>
        </w:rPr>
        <w:t>51-п</w:t>
      </w:r>
      <w:r w:rsidR="0012749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020FFD" w:rsidRPr="00A60E28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87F7F" w:rsidRPr="00A60E28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="00020FFD" w:rsidRPr="00A60E28">
        <w:rPr>
          <w:rFonts w:ascii="Times New Roman" w:hAnsi="Times New Roman"/>
          <w:sz w:val="26"/>
          <w:szCs w:val="26"/>
          <w:shd w:val="clear" w:color="auto" w:fill="FFFFFF"/>
        </w:rPr>
        <w:t xml:space="preserve"> едином перечне прав, льгот, социальных гарантий и компенсаций в Ханты-Мансийском автономном округе – Югре гражданам, принимающим участие в специальной военной операции, и членам их семей», </w:t>
      </w:r>
      <w:r w:rsidRPr="00A60E28">
        <w:rPr>
          <w:rFonts w:ascii="Times New Roman" w:hAnsi="Times New Roman"/>
          <w:b/>
          <w:bCs/>
          <w:sz w:val="26"/>
          <w:szCs w:val="26"/>
        </w:rPr>
        <w:t>администрация</w:t>
      </w:r>
      <w:r w:rsidR="0012749D" w:rsidRPr="00A60E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0E28">
        <w:rPr>
          <w:rFonts w:ascii="Times New Roman" w:hAnsi="Times New Roman"/>
          <w:b/>
          <w:bCs/>
          <w:sz w:val="26"/>
          <w:szCs w:val="26"/>
        </w:rPr>
        <w:t>Кондинского</w:t>
      </w:r>
      <w:r w:rsidR="0012749D" w:rsidRPr="00A60E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0E28">
        <w:rPr>
          <w:rFonts w:ascii="Times New Roman" w:hAnsi="Times New Roman"/>
          <w:b/>
          <w:bCs/>
          <w:sz w:val="26"/>
          <w:szCs w:val="26"/>
        </w:rPr>
        <w:t>района</w:t>
      </w:r>
      <w:r w:rsidR="0012749D" w:rsidRPr="00A60E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60E28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A54156" w:rsidRPr="00A60E28" w:rsidRDefault="0012749D" w:rsidP="00020FFD">
      <w:pPr>
        <w:pStyle w:val="af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 xml:space="preserve">1. </w:t>
      </w:r>
      <w:r w:rsidR="00A54156" w:rsidRPr="00A60E28">
        <w:rPr>
          <w:sz w:val="26"/>
          <w:szCs w:val="26"/>
          <w:shd w:val="clear" w:color="auto" w:fill="FFFFFF"/>
        </w:rPr>
        <w:t>Внести</w:t>
      </w:r>
      <w:r w:rsidRPr="00A60E28">
        <w:rPr>
          <w:sz w:val="26"/>
          <w:szCs w:val="26"/>
          <w:shd w:val="clear" w:color="auto" w:fill="FFFFFF"/>
        </w:rPr>
        <w:t xml:space="preserve"> </w:t>
      </w:r>
      <w:r w:rsidR="00020FFD" w:rsidRPr="00A60E28">
        <w:rPr>
          <w:sz w:val="26"/>
          <w:szCs w:val="26"/>
          <w:shd w:val="clear" w:color="auto" w:fill="FFFFFF"/>
        </w:rPr>
        <w:t xml:space="preserve">в постановление администрации Кондинского района от 03 июня 2019 года № 1053 «Об обеспечении питанием обучающихся муниципальных общеобразовательных организаций Кондинского района» </w:t>
      </w:r>
      <w:r w:rsidR="00A54156" w:rsidRPr="00A60E28">
        <w:rPr>
          <w:sz w:val="26"/>
          <w:szCs w:val="26"/>
          <w:shd w:val="clear" w:color="auto" w:fill="FFFFFF"/>
        </w:rPr>
        <w:t>следующие</w:t>
      </w:r>
      <w:r w:rsidRPr="00A60E28">
        <w:rPr>
          <w:sz w:val="26"/>
          <w:szCs w:val="26"/>
          <w:shd w:val="clear" w:color="auto" w:fill="FFFFFF"/>
        </w:rPr>
        <w:t xml:space="preserve"> </w:t>
      </w:r>
      <w:r w:rsidR="00A54156" w:rsidRPr="00A60E28">
        <w:rPr>
          <w:sz w:val="26"/>
          <w:szCs w:val="26"/>
          <w:shd w:val="clear" w:color="auto" w:fill="FFFFFF"/>
        </w:rPr>
        <w:t>изменения:</w:t>
      </w:r>
    </w:p>
    <w:p w:rsidR="00E87F7F" w:rsidRPr="00A60E28" w:rsidRDefault="00E87F7F" w:rsidP="00020FFD">
      <w:pPr>
        <w:pStyle w:val="af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В приложении 1 к постановлению:</w:t>
      </w:r>
    </w:p>
    <w:p w:rsidR="0012749D" w:rsidRPr="00A60E28" w:rsidRDefault="00A54156" w:rsidP="00020F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1.1.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Подпункт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2.1.1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пункта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2.1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2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изложить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следующей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редакции: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</w:p>
    <w:p w:rsidR="00A54156" w:rsidRPr="00A60E28" w:rsidRDefault="00A54156" w:rsidP="00020FF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«2.1.1.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социальной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поддержке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детей-сирот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детей,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оставшихся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без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попечения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родителей,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лиц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из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числа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детей-сирот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детей,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оставшихся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без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попечения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родителей,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детей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из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многодетных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семей,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детей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из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малоимущих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семей,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обучающихся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ограниченными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возможностями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здоровья,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детей-инвалидов,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относящихся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обучающимся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ограниченными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возможностями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здоровья,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членов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семей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участников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специальной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операции,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Вооруженные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Силы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r w:rsidR="00E87F7F" w:rsidRPr="00A60E28">
        <w:rPr>
          <w:sz w:val="26"/>
          <w:szCs w:val="26"/>
          <w:shd w:val="clear" w:color="auto" w:fill="FFFFFF"/>
        </w:rPr>
        <w:t xml:space="preserve">          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(далее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-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члены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семей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участников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спецоперации,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(за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исключением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лиц,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отношении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которых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установленном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законодательством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порядке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компетентные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проводят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процессуальные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действия,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направленные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установление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признаков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состава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преступления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337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(или)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338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Уголовного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кодекса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или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отношении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которых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имеются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lastRenderedPageBreak/>
        <w:t>вступившие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законную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силу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решения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суда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одной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из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указанных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Уголовного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кодекса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Федерации),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получающих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муниципальных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общеобразовательных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организациях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Кондинского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района,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виде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предоставления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двухразового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учебное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время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месту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нахождения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муниципальной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общеобразовательной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Кондинского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района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денежной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компенсации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двухразовое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обучающихся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ограниченными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возможностями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здоровья,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детей-инвалидов,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осваивающих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основные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общеобразовательные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программы,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обучение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которых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организовано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общеобразовательными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организациями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дому.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К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членам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семей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участников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спецоперации,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которым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оказывается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социальная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поддержка,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относятся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дети,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пасынки,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падчерицы,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братья,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сестры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являющихся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(являвшихся)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военнослужащими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или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сотрудниками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исполнительной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власти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государственных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органов,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которых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федеральным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законом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предусмотрена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военная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служба,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сотрудниками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внутренних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дел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принимающими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(принимавшими)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специальной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операции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территориях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Украины,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Донецкой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Народной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Республики,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Луганской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Народной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Республики,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Запорожской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Херсонской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областей,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сотрудниками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уголовно-исполнительной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системы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выполняющими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(выполнявшими)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возложенные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них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задачи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указанных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территориях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период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проведения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специальной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операции,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Вооруженные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Силы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том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числе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погибших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(умерших)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исполнении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обязанностей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(службы).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Братьям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сестрам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участников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спецоперации,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социальная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поддержка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предоставляется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условии,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что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участник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спецоперации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либо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гражданин,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состоит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браке.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Социальная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поддержка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членам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семей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участников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спецоперации,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предоставляется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окончания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специальной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операции.</w:t>
      </w:r>
      <w:r w:rsidR="00681799" w:rsidRPr="00A60E28">
        <w:rPr>
          <w:sz w:val="26"/>
          <w:szCs w:val="26"/>
          <w:shd w:val="clear" w:color="auto" w:fill="FFFFFF"/>
        </w:rPr>
        <w:t>».</w:t>
      </w:r>
    </w:p>
    <w:p w:rsidR="00681799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1.2.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4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дополнить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пунктом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4.12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следующего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содержания: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«</w:t>
      </w:r>
      <w:r w:rsidR="00A60E28" w:rsidRPr="00A60E28">
        <w:rPr>
          <w:sz w:val="26"/>
          <w:szCs w:val="26"/>
          <w:shd w:val="clear" w:color="auto" w:fill="FFFFFF"/>
        </w:rPr>
        <w:t>4.12 Обучающимся предоставляется в период провед</w:t>
      </w:r>
      <w:bookmarkStart w:id="0" w:name="_GoBack"/>
      <w:bookmarkEnd w:id="0"/>
      <w:r w:rsidR="00A60E28" w:rsidRPr="00A60E28">
        <w:rPr>
          <w:sz w:val="26"/>
          <w:szCs w:val="26"/>
          <w:shd w:val="clear" w:color="auto" w:fill="FFFFFF"/>
        </w:rPr>
        <w:t xml:space="preserve">ения государственной итоговой аттестации организация питания </w:t>
      </w:r>
      <w:r w:rsidR="009049D1">
        <w:rPr>
          <w:sz w:val="26"/>
          <w:szCs w:val="26"/>
          <w:shd w:val="clear" w:color="auto" w:fill="FFFFFF"/>
        </w:rPr>
        <w:t>в сумме</w:t>
      </w:r>
      <w:r w:rsidR="00A60E28" w:rsidRPr="00A60E28">
        <w:rPr>
          <w:sz w:val="26"/>
          <w:szCs w:val="26"/>
          <w:shd w:val="clear" w:color="auto" w:fill="FFFFFF"/>
        </w:rPr>
        <w:t xml:space="preserve"> 48 рублей в день.».</w:t>
      </w:r>
    </w:p>
    <w:p w:rsidR="00B7301D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1.3.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Пункт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приложения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постановлению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изложить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следующей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редакции: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«3.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Предоставление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двухразового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заменяется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денежной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выплатой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(далее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-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выплата)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период: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перевода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обучающихся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исключительно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обучение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применением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дистанционных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технологий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период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действия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="00B7301D" w:rsidRPr="00A60E28">
        <w:rPr>
          <w:sz w:val="26"/>
          <w:szCs w:val="26"/>
          <w:shd w:val="clear" w:color="auto" w:fill="FFFFFF"/>
        </w:rPr>
        <w:t xml:space="preserve">Ханты-Мансийском автономном округе – Югре </w:t>
      </w:r>
      <w:r w:rsidRPr="00A60E28">
        <w:rPr>
          <w:sz w:val="26"/>
          <w:szCs w:val="26"/>
          <w:shd w:val="clear" w:color="auto" w:fill="FFFFFF"/>
        </w:rPr>
        <w:t>режима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повышенной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готовности,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ограничительных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мероприятий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(карантина);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приостановления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обеспечения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bookmarkStart w:id="1" w:name="_Hlk135125583"/>
      <w:r w:rsidRPr="00A60E28">
        <w:rPr>
          <w:sz w:val="26"/>
          <w:szCs w:val="26"/>
          <w:shd w:val="clear" w:color="auto" w:fill="FFFFFF"/>
        </w:rPr>
        <w:t>обучающегося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случае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поступления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сведений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проведении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отношении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(законного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представителя),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являющегося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участником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специальной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операции,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гражданином,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Вооруженные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Силы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установленном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законодательством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порядке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компетентными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органами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процессуальных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действий,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направленных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установление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признаков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состава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преступления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337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(или)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338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Уголовного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кодекса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bookmarkEnd w:id="1"/>
      <w:r w:rsidRPr="00A60E28">
        <w:rPr>
          <w:sz w:val="26"/>
          <w:szCs w:val="26"/>
          <w:shd w:val="clear" w:color="auto" w:fill="FFFFFF"/>
        </w:rPr>
        <w:t>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дня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поступления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сведений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прекращении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проведения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процессуальных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действий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или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решения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суда.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lastRenderedPageBreak/>
        <w:t>Размер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выплаты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определяется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следующей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формуле:</w:t>
      </w:r>
    </w:p>
    <w:p w:rsidR="00B7301D" w:rsidRPr="00A60E28" w:rsidRDefault="00B7301D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</w:p>
    <w:p w:rsidR="00A54156" w:rsidRPr="00A60E28" w:rsidRDefault="00A54156" w:rsidP="00B7301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Р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=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S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x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где:</w:t>
      </w:r>
    </w:p>
    <w:p w:rsidR="00B7301D" w:rsidRPr="00A60E28" w:rsidRDefault="00B7301D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Р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-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размер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денежной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выплаты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обучающимся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из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числа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льготных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категорий;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S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-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размер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расходов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оплату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стоимости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продуктов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двухразового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питания,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равный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189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рублям;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К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-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количество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дней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применением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дистанционных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технологий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период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действия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="00B7301D" w:rsidRPr="00A60E28">
        <w:rPr>
          <w:sz w:val="26"/>
          <w:szCs w:val="26"/>
          <w:shd w:val="clear" w:color="auto" w:fill="FFFFFF"/>
        </w:rPr>
        <w:t xml:space="preserve">Ханты-Мансийском автономном округе – Югре </w:t>
      </w:r>
      <w:r w:rsidRPr="00A60E28">
        <w:rPr>
          <w:sz w:val="26"/>
          <w:szCs w:val="26"/>
          <w:shd w:val="clear" w:color="auto" w:fill="FFFFFF"/>
        </w:rPr>
        <w:t>режима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повышенной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готовности,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ограничительных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мероприятий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(карантина)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или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количество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дней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период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приостановления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обеспечения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случае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поступления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сведений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проведении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отношении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(законного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представителя),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являющегося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участником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специальной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операции,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гражданином,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Вооруженные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Силы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установленном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законодательством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порядке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компетентными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органами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процессуальных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действий,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направленных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установление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признаков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состава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преступления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337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(или)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338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Уголовного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кодекса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исключением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дней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каникулярного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периода,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выходных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праздничных.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Выплата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перечисляется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отношении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обучающихся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основным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общеобразовательным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программам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начального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общего,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основного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общего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среднего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общего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лицевой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счет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одного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из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родителей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(законных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представителей),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исключением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случаев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круглосуточного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нахождения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обучающихся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интернатах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организациях.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случае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поступления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сведений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проведении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отношении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(законного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представителя),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являющегося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участником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специальной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операции,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гражданином,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Вооруженные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Силы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установленном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законодательством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порядке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компетентными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органами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процессуальных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действий,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направленных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установление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признаков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состава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преступления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337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(или)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338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Уголовного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кодекса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обеспечение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приостанавливается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месяца,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следующего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месяцем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поступления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таких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сведений,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чем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образовательная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уведомляет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(законного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представителя)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заказным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письмом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уведомлением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вручении.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Обеспечение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возобновляется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месяца,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котором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поступили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сведения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о: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прекращении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проведения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процессуальных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действий,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указанных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абзаце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первом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="00C852C2" w:rsidRPr="00A60E28">
        <w:rPr>
          <w:sz w:val="26"/>
          <w:szCs w:val="26"/>
          <w:shd w:val="clear" w:color="auto" w:fill="FFFFFF"/>
        </w:rPr>
        <w:t>данного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пункта;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вступлении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законную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силу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решения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суда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прекращении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уголовного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дела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или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уголовного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преследования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337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(или)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338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Уголовного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кодекса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отношении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(законного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представителя),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являющегося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участником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специальной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операции,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гражданином,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Вооруженные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Силы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Федерации.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случае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возобновления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обеспечения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образовательная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осуществляет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выплату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денежных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средств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(законному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представителю)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размере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средств,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которую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образовательная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потратила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бы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период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приостановления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обеспечения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обучающегося,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чем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lastRenderedPageBreak/>
        <w:t>образовательная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уведомляет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(законного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представителя)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заказным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письмом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уведомлением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вручении.</w:t>
      </w:r>
    </w:p>
    <w:p w:rsidR="00A54156" w:rsidRPr="00A60E28" w:rsidRDefault="00A54156" w:rsidP="00A541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случае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поступления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сведений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вступившем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законную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силу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решении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суда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337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(или)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статье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338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Уголовного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кодекса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отношении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(законного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представителя),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являющегося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участником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специальной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операции,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гражданином,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призванным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на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военную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службу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мобилизации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Вооруженные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Силы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Российской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Федерации,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обеспечение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питанием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обучающегося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прекращается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месяца,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следующего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месяцем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поступления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таких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сведений,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чем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образовательная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организация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уведомляет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родителя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(законного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представителя)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заказным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письмом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с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уведомлением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о</w:t>
      </w:r>
      <w:r w:rsidR="0012749D" w:rsidRPr="00A60E28">
        <w:rPr>
          <w:sz w:val="26"/>
          <w:szCs w:val="26"/>
          <w:shd w:val="clear" w:color="auto" w:fill="FFFFFF"/>
        </w:rPr>
        <w:t xml:space="preserve"> </w:t>
      </w:r>
      <w:r w:rsidRPr="00A60E28">
        <w:rPr>
          <w:sz w:val="26"/>
          <w:szCs w:val="26"/>
          <w:shd w:val="clear" w:color="auto" w:fill="FFFFFF"/>
        </w:rPr>
        <w:t>вручении.».</w:t>
      </w:r>
    </w:p>
    <w:p w:rsidR="0012749D" w:rsidRPr="00A60E28" w:rsidRDefault="0012749D" w:rsidP="0012749D">
      <w:pPr>
        <w:ind w:firstLine="709"/>
        <w:jc w:val="both"/>
        <w:rPr>
          <w:sz w:val="26"/>
          <w:szCs w:val="26"/>
        </w:rPr>
      </w:pPr>
      <w:r w:rsidRPr="00A60E28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DB476E" w:rsidRPr="00A60E28" w:rsidRDefault="0012749D" w:rsidP="0012749D">
      <w:pPr>
        <w:ind w:firstLine="709"/>
        <w:jc w:val="both"/>
        <w:rPr>
          <w:color w:val="000000"/>
          <w:sz w:val="26"/>
          <w:szCs w:val="26"/>
        </w:rPr>
      </w:pPr>
      <w:r w:rsidRPr="00A60E28">
        <w:rPr>
          <w:sz w:val="26"/>
          <w:szCs w:val="26"/>
        </w:rPr>
        <w:t>3. Постановление вступает в силу после его обнародования.</w:t>
      </w:r>
    </w:p>
    <w:p w:rsidR="00237C47" w:rsidRPr="00A60E28" w:rsidRDefault="00237C47" w:rsidP="00237C47">
      <w:pPr>
        <w:jc w:val="both"/>
        <w:rPr>
          <w:color w:val="000000"/>
          <w:sz w:val="26"/>
          <w:szCs w:val="26"/>
        </w:rPr>
      </w:pPr>
    </w:p>
    <w:p w:rsidR="00B7301D" w:rsidRPr="00A60E28" w:rsidRDefault="00B7301D" w:rsidP="00237C47">
      <w:pPr>
        <w:jc w:val="both"/>
        <w:rPr>
          <w:color w:val="000000"/>
          <w:sz w:val="26"/>
          <w:szCs w:val="26"/>
        </w:rPr>
      </w:pPr>
    </w:p>
    <w:p w:rsidR="0012749D" w:rsidRPr="00A60E28" w:rsidRDefault="0012749D" w:rsidP="00237C4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50"/>
        <w:gridCol w:w="3341"/>
      </w:tblGrid>
      <w:tr w:rsidR="001A685C" w:rsidRPr="00A60E28">
        <w:tc>
          <w:tcPr>
            <w:tcW w:w="4785" w:type="dxa"/>
          </w:tcPr>
          <w:p w:rsidR="001C7B60" w:rsidRPr="00A60E28" w:rsidRDefault="001C7B60" w:rsidP="00237C47">
            <w:pPr>
              <w:jc w:val="both"/>
              <w:rPr>
                <w:sz w:val="26"/>
                <w:szCs w:val="26"/>
              </w:rPr>
            </w:pPr>
            <w:r w:rsidRPr="00A60E28">
              <w:rPr>
                <w:sz w:val="26"/>
                <w:szCs w:val="26"/>
              </w:rPr>
              <w:t>Исполняющий</w:t>
            </w:r>
            <w:r w:rsidR="0012749D" w:rsidRPr="00A60E28">
              <w:rPr>
                <w:sz w:val="26"/>
                <w:szCs w:val="26"/>
              </w:rPr>
              <w:t xml:space="preserve"> </w:t>
            </w:r>
            <w:r w:rsidRPr="00A60E28">
              <w:rPr>
                <w:sz w:val="26"/>
                <w:szCs w:val="26"/>
              </w:rPr>
              <w:t>обязанности</w:t>
            </w:r>
            <w:r w:rsidR="0012749D" w:rsidRPr="00A60E28">
              <w:rPr>
                <w:sz w:val="26"/>
                <w:szCs w:val="26"/>
              </w:rPr>
              <w:t xml:space="preserve"> </w:t>
            </w:r>
          </w:p>
          <w:p w:rsidR="001A685C" w:rsidRPr="00A60E28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A60E28">
              <w:rPr>
                <w:sz w:val="26"/>
                <w:szCs w:val="26"/>
              </w:rPr>
              <w:t>г</w:t>
            </w:r>
            <w:r w:rsidR="001A685C" w:rsidRPr="00A60E28">
              <w:rPr>
                <w:sz w:val="26"/>
                <w:szCs w:val="26"/>
              </w:rPr>
              <w:t>лав</w:t>
            </w:r>
            <w:r w:rsidRPr="00A60E28">
              <w:rPr>
                <w:sz w:val="26"/>
                <w:szCs w:val="26"/>
              </w:rPr>
              <w:t>ы</w:t>
            </w:r>
            <w:r w:rsidR="0012749D" w:rsidRPr="00A60E28">
              <w:rPr>
                <w:sz w:val="26"/>
                <w:szCs w:val="26"/>
              </w:rPr>
              <w:t xml:space="preserve"> </w:t>
            </w:r>
            <w:r w:rsidR="0090551B" w:rsidRPr="00A60E28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A60E28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A60E28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A60E28" w:rsidRDefault="006109FB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A60E28">
              <w:rPr>
                <w:sz w:val="26"/>
                <w:szCs w:val="26"/>
              </w:rPr>
              <w:t>С.А.Боенко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E3D7D" w:rsidRDefault="006E3D7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</w:t>
      </w:r>
      <w:r w:rsidR="0012749D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12749D">
        <w:rPr>
          <w:color w:val="000000"/>
          <w:sz w:val="16"/>
          <w:szCs w:val="16"/>
        </w:rPr>
        <w:t xml:space="preserve"> </w:t>
      </w:r>
      <w:r w:rsidR="00842AFF">
        <w:rPr>
          <w:color w:val="000000"/>
          <w:sz w:val="16"/>
          <w:szCs w:val="16"/>
        </w:rPr>
        <w:t>2023</w:t>
      </w:r>
    </w:p>
    <w:sectPr w:rsidR="00340CA8" w:rsidSect="009300D5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1D" w:rsidRDefault="00B7301D">
      <w:r>
        <w:separator/>
      </w:r>
    </w:p>
  </w:endnote>
  <w:endnote w:type="continuationSeparator" w:id="0">
    <w:p w:rsidR="00B7301D" w:rsidRDefault="00B7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1D" w:rsidRDefault="00B7301D">
      <w:r>
        <w:separator/>
      </w:r>
    </w:p>
  </w:footnote>
  <w:footnote w:type="continuationSeparator" w:id="0">
    <w:p w:rsidR="00B7301D" w:rsidRDefault="00B7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1D" w:rsidRDefault="00B7301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301D" w:rsidRDefault="00B7301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1D" w:rsidRDefault="00B7301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49D1">
      <w:rPr>
        <w:rStyle w:val="a8"/>
        <w:noProof/>
      </w:rPr>
      <w:t>2</w:t>
    </w:r>
    <w:r>
      <w:rPr>
        <w:rStyle w:val="a8"/>
      </w:rPr>
      <w:fldChar w:fldCharType="end"/>
    </w:r>
  </w:p>
  <w:p w:rsidR="00B7301D" w:rsidRDefault="00B7301D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0FF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2749D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1799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D7D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49D1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443"/>
    <w:rsid w:val="009D75D3"/>
    <w:rsid w:val="009E02DF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156"/>
    <w:rsid w:val="00A54B15"/>
    <w:rsid w:val="00A553AC"/>
    <w:rsid w:val="00A55FF2"/>
    <w:rsid w:val="00A56C7F"/>
    <w:rsid w:val="00A60E28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01D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2C2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31F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5F39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87F7F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customStyle="1" w:styleId="Title">
    <w:name w:val="Title!Название НПА"/>
    <w:basedOn w:val="a"/>
    <w:rsid w:val="00A5415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A54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КОНДИНСКОГО РАЙОНА</vt:lpstr>
      <vt:lpstr>        ПОСТАНОВЛЕНИЕ</vt:lpstr>
      <vt:lpstr>В соответствии с Федеральным законом от 29 декабря 2012 года № 273-ФЗ           </vt:lpstr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2023-07-06T10:29:00Z</cp:lastPrinted>
  <dcterms:created xsi:type="dcterms:W3CDTF">2023-07-06T05:25:00Z</dcterms:created>
  <dcterms:modified xsi:type="dcterms:W3CDTF">2023-07-06T10:29:00Z</dcterms:modified>
</cp:coreProperties>
</file>