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BE17FF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8"/>
        <w:gridCol w:w="3025"/>
        <w:gridCol w:w="1568"/>
        <w:gridCol w:w="1671"/>
      </w:tblGrid>
      <w:tr w:rsidR="007E4858" w:rsidRPr="001F396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F396D" w:rsidRDefault="007E4858" w:rsidP="00965776">
            <w:pPr>
              <w:rPr>
                <w:color w:val="000000"/>
                <w:sz w:val="28"/>
                <w:szCs w:val="28"/>
              </w:rPr>
            </w:pPr>
            <w:r w:rsidRPr="001F396D">
              <w:rPr>
                <w:color w:val="000000"/>
                <w:sz w:val="28"/>
                <w:szCs w:val="28"/>
              </w:rPr>
              <w:t xml:space="preserve">от </w:t>
            </w:r>
            <w:r w:rsidR="00093508" w:rsidRPr="001F396D">
              <w:rPr>
                <w:color w:val="000000"/>
                <w:sz w:val="28"/>
                <w:szCs w:val="28"/>
              </w:rPr>
              <w:t>29</w:t>
            </w:r>
            <w:r w:rsidR="007B7592" w:rsidRPr="001F396D">
              <w:rPr>
                <w:color w:val="000000"/>
                <w:sz w:val="28"/>
                <w:szCs w:val="28"/>
              </w:rPr>
              <w:t xml:space="preserve"> сентября</w:t>
            </w:r>
            <w:r w:rsidR="005673CD" w:rsidRPr="001F396D">
              <w:rPr>
                <w:color w:val="000000"/>
                <w:sz w:val="28"/>
                <w:szCs w:val="28"/>
              </w:rPr>
              <w:t xml:space="preserve"> </w:t>
            </w:r>
            <w:r w:rsidR="00EC3CA2" w:rsidRPr="001F396D">
              <w:rPr>
                <w:color w:val="000000"/>
                <w:sz w:val="28"/>
                <w:szCs w:val="28"/>
              </w:rPr>
              <w:t>202</w:t>
            </w:r>
            <w:r w:rsidR="00EB2F1B" w:rsidRPr="001F396D">
              <w:rPr>
                <w:color w:val="000000"/>
                <w:sz w:val="28"/>
                <w:szCs w:val="28"/>
              </w:rPr>
              <w:t>5</w:t>
            </w:r>
            <w:r w:rsidRPr="001F396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F396D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F396D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F396D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1F396D">
              <w:rPr>
                <w:color w:val="000000"/>
                <w:sz w:val="28"/>
                <w:szCs w:val="28"/>
              </w:rPr>
              <w:t>№</w:t>
            </w:r>
            <w:r w:rsidR="00894E25" w:rsidRPr="001F396D">
              <w:rPr>
                <w:color w:val="000000"/>
                <w:sz w:val="28"/>
                <w:szCs w:val="28"/>
              </w:rPr>
              <w:t xml:space="preserve"> </w:t>
            </w:r>
            <w:r w:rsidR="001F396D" w:rsidRPr="001F396D">
              <w:rPr>
                <w:color w:val="000000"/>
                <w:sz w:val="28"/>
                <w:szCs w:val="28"/>
              </w:rPr>
              <w:t>1018</w:t>
            </w:r>
          </w:p>
        </w:tc>
      </w:tr>
      <w:tr w:rsidR="001A685C" w:rsidRPr="001F396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F396D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F396D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1F396D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F396D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1F396D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1F396D" w:rsidTr="00B557FC">
        <w:tc>
          <w:tcPr>
            <w:tcW w:w="6062" w:type="dxa"/>
          </w:tcPr>
          <w:p w:rsidR="001F396D" w:rsidRPr="001F396D" w:rsidRDefault="001F396D" w:rsidP="001F396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F396D">
              <w:rPr>
                <w:rFonts w:eastAsia="Calibri"/>
                <w:bCs/>
                <w:sz w:val="28"/>
                <w:szCs w:val="28"/>
              </w:rPr>
              <w:t xml:space="preserve">Об утверждении проекта планировки </w:t>
            </w:r>
          </w:p>
          <w:p w:rsidR="007E4858" w:rsidRPr="001F396D" w:rsidRDefault="001F396D" w:rsidP="001F396D">
            <w:pPr>
              <w:ind w:right="34"/>
              <w:rPr>
                <w:color w:val="000000"/>
                <w:sz w:val="28"/>
                <w:szCs w:val="28"/>
              </w:rPr>
            </w:pPr>
            <w:r w:rsidRPr="001F396D">
              <w:rPr>
                <w:rFonts w:eastAsia="Calibri"/>
                <w:bCs/>
                <w:sz w:val="28"/>
                <w:szCs w:val="28"/>
              </w:rPr>
              <w:t>и проекта межевания территории</w:t>
            </w:r>
          </w:p>
        </w:tc>
      </w:tr>
    </w:tbl>
    <w:p w:rsidR="001F396D" w:rsidRPr="001F396D" w:rsidRDefault="001F396D" w:rsidP="001F396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</w:rPr>
      </w:pPr>
    </w:p>
    <w:p w:rsidR="001F396D" w:rsidRPr="001F396D" w:rsidRDefault="001F396D" w:rsidP="001F396D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1F396D">
        <w:rPr>
          <w:rFonts w:eastAsia="Calibri"/>
          <w:sz w:val="28"/>
          <w:szCs w:val="28"/>
        </w:rPr>
        <w:t xml:space="preserve">В соответствии со статьей 45 Градостроительного кодекса Российской Федерации, Федеральным законом от </w:t>
      </w:r>
      <w:r>
        <w:rPr>
          <w:rFonts w:eastAsia="Calibri"/>
          <w:sz w:val="28"/>
          <w:szCs w:val="28"/>
        </w:rPr>
        <w:t>0</w:t>
      </w:r>
      <w:r w:rsidRPr="001F396D">
        <w:rPr>
          <w:rFonts w:eastAsia="Calibri"/>
          <w:sz w:val="28"/>
          <w:szCs w:val="28"/>
        </w:rPr>
        <w:t>6 октября 2003 года №</w:t>
      </w:r>
      <w:r>
        <w:rPr>
          <w:rFonts w:eastAsia="Calibri"/>
          <w:sz w:val="28"/>
          <w:szCs w:val="28"/>
        </w:rPr>
        <w:t xml:space="preserve"> </w:t>
      </w:r>
      <w:r w:rsidRPr="001F396D">
        <w:rPr>
          <w:rFonts w:eastAsia="Calibri"/>
          <w:sz w:val="28"/>
          <w:szCs w:val="28"/>
        </w:rPr>
        <w:t xml:space="preserve">131-ФЗ </w:t>
      </w:r>
      <w:r>
        <w:rPr>
          <w:rFonts w:eastAsia="Calibri"/>
          <w:sz w:val="28"/>
          <w:szCs w:val="28"/>
        </w:rPr>
        <w:t xml:space="preserve">                      </w:t>
      </w:r>
      <w:r w:rsidRPr="001F396D">
        <w:rPr>
          <w:rFonts w:eastAsia="Calibri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1F396D">
        <w:rPr>
          <w:rFonts w:eastAsia="Calibri"/>
          <w:b/>
          <w:sz w:val="28"/>
          <w:szCs w:val="28"/>
        </w:rPr>
        <w:t>администрация Кондинского района постановляет:</w:t>
      </w:r>
    </w:p>
    <w:p w:rsidR="001F396D" w:rsidRPr="001F396D" w:rsidRDefault="001F396D" w:rsidP="001F396D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1F396D">
        <w:rPr>
          <w:rFonts w:eastAsia="Calibri"/>
          <w:sz w:val="28"/>
          <w:szCs w:val="28"/>
        </w:rPr>
        <w:t>Утвердить проект планировки и проект межевания территории для размещения линейного объекта: «Трубопроводы Потанай-Картопьинского месторождения»</w:t>
      </w:r>
      <w:r>
        <w:rPr>
          <w:rFonts w:eastAsia="Calibri"/>
          <w:sz w:val="28"/>
          <w:szCs w:val="28"/>
        </w:rPr>
        <w:t>,</w:t>
      </w:r>
      <w:r w:rsidRPr="001F396D">
        <w:rPr>
          <w:rFonts w:eastAsia="Calibri"/>
          <w:sz w:val="28"/>
          <w:szCs w:val="28"/>
        </w:rPr>
        <w:t xml:space="preserve"> расположенного на территории муниципального образования Кондинский район Ханты-Мансийского автономного </w:t>
      </w:r>
      <w:r w:rsidR="000E5511">
        <w:rPr>
          <w:rFonts w:eastAsia="Calibri"/>
          <w:sz w:val="28"/>
          <w:szCs w:val="28"/>
        </w:rPr>
        <w:t xml:space="preserve">                   </w:t>
      </w:r>
      <w:bookmarkStart w:id="0" w:name="_GoBack"/>
      <w:bookmarkEnd w:id="0"/>
      <w:r w:rsidRPr="001F396D">
        <w:rPr>
          <w:rFonts w:eastAsia="Calibri"/>
          <w:sz w:val="28"/>
          <w:szCs w:val="28"/>
        </w:rPr>
        <w:t>округа – Югры Тюменской области (приложение).</w:t>
      </w:r>
    </w:p>
    <w:p w:rsidR="001F396D" w:rsidRPr="001F396D" w:rsidRDefault="001F396D" w:rsidP="001F396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Pr="001F396D">
        <w:rPr>
          <w:rFonts w:eastAsia="Calibri"/>
          <w:sz w:val="28"/>
          <w:szCs w:val="28"/>
        </w:rPr>
        <w:t xml:space="preserve">Постановление </w:t>
      </w:r>
      <w:r>
        <w:rPr>
          <w:rFonts w:eastAsia="Calibri"/>
          <w:sz w:val="28"/>
          <w:szCs w:val="28"/>
        </w:rPr>
        <w:t xml:space="preserve">разместить на официальном </w:t>
      </w:r>
      <w:r w:rsidRPr="00796710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1F396D" w:rsidRPr="001F396D" w:rsidRDefault="001F396D" w:rsidP="001F396D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gramStart"/>
      <w:r w:rsidRPr="001F396D">
        <w:rPr>
          <w:rFonts w:eastAsia="Calibri"/>
          <w:sz w:val="28"/>
          <w:szCs w:val="28"/>
        </w:rPr>
        <w:t>Контроль за</w:t>
      </w:r>
      <w:proofErr w:type="gramEnd"/>
      <w:r w:rsidRPr="001F396D">
        <w:rPr>
          <w:rFonts w:eastAsia="Calibri"/>
          <w:sz w:val="28"/>
          <w:szCs w:val="28"/>
        </w:rPr>
        <w:t xml:space="preserve"> выполнением постановления возложить на заместителя главы района А.И. Уланова.</w:t>
      </w:r>
    </w:p>
    <w:p w:rsidR="001B5B4E" w:rsidRPr="001F396D" w:rsidRDefault="001B5B4E" w:rsidP="001F396D">
      <w:pPr>
        <w:ind w:firstLine="709"/>
        <w:jc w:val="both"/>
        <w:rPr>
          <w:color w:val="000000"/>
          <w:sz w:val="28"/>
          <w:szCs w:val="28"/>
        </w:rPr>
      </w:pPr>
    </w:p>
    <w:p w:rsidR="001F396D" w:rsidRPr="001F396D" w:rsidRDefault="001F396D" w:rsidP="001F396D">
      <w:pPr>
        <w:ind w:firstLine="709"/>
        <w:jc w:val="both"/>
        <w:rPr>
          <w:color w:val="000000"/>
          <w:sz w:val="28"/>
          <w:szCs w:val="28"/>
        </w:rPr>
      </w:pPr>
    </w:p>
    <w:p w:rsidR="001B5B4E" w:rsidRPr="001F396D" w:rsidRDefault="001B5B4E" w:rsidP="001F396D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3"/>
        <w:gridCol w:w="1796"/>
        <w:gridCol w:w="3243"/>
      </w:tblGrid>
      <w:tr w:rsidR="001A685C" w:rsidRPr="001F396D" w:rsidTr="005E60E3">
        <w:tc>
          <w:tcPr>
            <w:tcW w:w="2368" w:type="pct"/>
          </w:tcPr>
          <w:p w:rsidR="001C7B60" w:rsidRPr="001F396D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1F396D">
              <w:rPr>
                <w:sz w:val="28"/>
                <w:szCs w:val="28"/>
              </w:rPr>
              <w:t>Исполняющий</w:t>
            </w:r>
            <w:proofErr w:type="gramEnd"/>
            <w:r w:rsidRPr="001F396D">
              <w:rPr>
                <w:sz w:val="28"/>
                <w:szCs w:val="28"/>
              </w:rPr>
              <w:t xml:space="preserve"> обязанности </w:t>
            </w:r>
          </w:p>
          <w:p w:rsidR="001A685C" w:rsidRPr="001F396D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г</w:t>
            </w:r>
            <w:r w:rsidR="001A685C" w:rsidRPr="001F396D">
              <w:rPr>
                <w:sz w:val="28"/>
                <w:szCs w:val="28"/>
              </w:rPr>
              <w:t>лав</w:t>
            </w:r>
            <w:r w:rsidRPr="001F396D">
              <w:rPr>
                <w:sz w:val="28"/>
                <w:szCs w:val="28"/>
              </w:rPr>
              <w:t>ы</w:t>
            </w:r>
            <w:r w:rsidR="001A685C" w:rsidRPr="001F396D">
              <w:rPr>
                <w:sz w:val="28"/>
                <w:szCs w:val="28"/>
              </w:rPr>
              <w:t xml:space="preserve"> </w:t>
            </w:r>
            <w:r w:rsidR="001B5B4E" w:rsidRPr="001F396D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1F396D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1F396D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1F396D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1F396D">
              <w:rPr>
                <w:sz w:val="28"/>
                <w:szCs w:val="28"/>
              </w:rPr>
              <w:t>А</w:t>
            </w:r>
            <w:r w:rsidR="006924A0" w:rsidRPr="001F396D">
              <w:rPr>
                <w:sz w:val="28"/>
                <w:szCs w:val="28"/>
              </w:rPr>
              <w:t>.В.</w:t>
            </w:r>
            <w:r w:rsidRPr="001F396D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1F396D" w:rsidRDefault="001F396D">
      <w:pPr>
        <w:rPr>
          <w:color w:val="000000"/>
          <w:sz w:val="16"/>
        </w:rPr>
      </w:pPr>
    </w:p>
    <w:p w:rsidR="001F396D" w:rsidRDefault="001F396D">
      <w:pPr>
        <w:rPr>
          <w:color w:val="000000"/>
          <w:sz w:val="16"/>
        </w:rPr>
      </w:pPr>
    </w:p>
    <w:p w:rsidR="001F396D" w:rsidRDefault="001F396D">
      <w:pPr>
        <w:rPr>
          <w:color w:val="000000"/>
          <w:sz w:val="16"/>
        </w:rPr>
      </w:pPr>
    </w:p>
    <w:p w:rsidR="001F396D" w:rsidRDefault="001F396D">
      <w:pPr>
        <w:rPr>
          <w:color w:val="000000"/>
          <w:sz w:val="16"/>
        </w:rPr>
      </w:pPr>
    </w:p>
    <w:p w:rsidR="001F396D" w:rsidRDefault="001F396D">
      <w:pPr>
        <w:rPr>
          <w:color w:val="000000"/>
          <w:sz w:val="16"/>
        </w:rPr>
      </w:pPr>
    </w:p>
    <w:p w:rsidR="000E5511" w:rsidRDefault="000E5511">
      <w:pPr>
        <w:rPr>
          <w:color w:val="000000"/>
          <w:sz w:val="16"/>
        </w:rPr>
      </w:pPr>
    </w:p>
    <w:p w:rsidR="001F396D" w:rsidRDefault="001F396D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093508">
        <w:t>29</w:t>
      </w:r>
      <w:r w:rsidR="007B7592">
        <w:t>.09</w:t>
      </w:r>
      <w:r w:rsidR="00262B35">
        <w:t>.</w:t>
      </w:r>
      <w:r w:rsidR="00DD2E95">
        <w:t>202</w:t>
      </w:r>
      <w:r w:rsidR="00EB2F1B">
        <w:t>5</w:t>
      </w:r>
      <w:r w:rsidR="00116FCD">
        <w:t xml:space="preserve"> № </w:t>
      </w:r>
      <w:r w:rsidR="001F396D">
        <w:t>1018</w:t>
      </w:r>
    </w:p>
    <w:p w:rsidR="001F396D" w:rsidRPr="001F396D" w:rsidRDefault="001F396D" w:rsidP="001F396D">
      <w:pPr>
        <w:jc w:val="center"/>
      </w:pPr>
    </w:p>
    <w:p w:rsidR="001F396D" w:rsidRPr="001F396D" w:rsidRDefault="001F396D" w:rsidP="001F396D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1F396D">
        <w:rPr>
          <w:rFonts w:ascii="Times New Roman" w:hAnsi="Times New Roman"/>
          <w:sz w:val="24"/>
          <w:szCs w:val="24"/>
        </w:rPr>
        <w:t xml:space="preserve">1. </w:t>
      </w:r>
      <w:r w:rsidRPr="001F396D">
        <w:rPr>
          <w:rFonts w:ascii="Times New Roman" w:hAnsi="Times New Roman"/>
          <w:sz w:val="24"/>
          <w:szCs w:val="24"/>
        </w:rPr>
        <w:t>Проект планировки территории. Графическая часть</w:t>
      </w:r>
    </w:p>
    <w:p w:rsidR="001F396D" w:rsidRPr="00A66ADE" w:rsidRDefault="00BE17FF" w:rsidP="001F396D">
      <w:pPr>
        <w:spacing w:before="100" w:beforeAutospacing="1" w:after="100" w:afterAutospacing="1"/>
        <w:jc w:val="center"/>
      </w:pPr>
      <w:r>
        <w:rPr>
          <w:noProof/>
          <w:sz w:val="20"/>
        </w:rPr>
        <w:drawing>
          <wp:inline distT="0" distB="0" distL="0" distR="0">
            <wp:extent cx="5934710" cy="7228840"/>
            <wp:effectExtent l="0" t="0" r="889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22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96D" w:rsidRPr="00A66ADE" w:rsidRDefault="001F396D" w:rsidP="001F396D">
      <w:pPr>
        <w:spacing w:before="100" w:beforeAutospacing="1" w:after="100" w:afterAutospacing="1"/>
        <w:jc w:val="center"/>
      </w:pPr>
    </w:p>
    <w:p w:rsidR="001F396D" w:rsidRPr="00A66ADE" w:rsidRDefault="001F396D" w:rsidP="001F396D">
      <w:pPr>
        <w:spacing w:before="100" w:beforeAutospacing="1" w:after="100" w:afterAutospacing="1"/>
        <w:jc w:val="center"/>
      </w:pPr>
      <w:r w:rsidRPr="00A66ADE">
        <w:t xml:space="preserve"> </w:t>
      </w:r>
    </w:p>
    <w:p w:rsidR="001F396D" w:rsidRPr="007A3CC7" w:rsidRDefault="001F396D" w:rsidP="007A3CC7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7A3CC7">
        <w:rPr>
          <w:rFonts w:eastAsia="Calibri"/>
          <w:bCs/>
          <w:iCs/>
        </w:rPr>
        <w:lastRenderedPageBreak/>
        <w:t>2. Положение о размещении линейных объектов</w:t>
      </w:r>
    </w:p>
    <w:p w:rsidR="001F396D" w:rsidRPr="007A3CC7" w:rsidRDefault="001F396D" w:rsidP="007A3CC7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</w:p>
    <w:p w:rsidR="001F396D" w:rsidRPr="007A3CC7" w:rsidRDefault="001F396D" w:rsidP="007A3CC7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7A3CC7">
        <w:rPr>
          <w:rFonts w:eastAsia="Calibri"/>
          <w:bCs/>
          <w:iCs/>
        </w:rPr>
        <w:t>2.1</w:t>
      </w:r>
      <w:r w:rsidR="007A3CC7" w:rsidRPr="007A3CC7">
        <w:rPr>
          <w:rFonts w:eastAsia="Calibri"/>
          <w:bCs/>
          <w:iCs/>
        </w:rPr>
        <w:t>.</w:t>
      </w:r>
      <w:r w:rsidRPr="007A3CC7">
        <w:rPr>
          <w:rFonts w:eastAsia="Calibri"/>
          <w:bCs/>
          <w:iCs/>
        </w:rPr>
        <w:t xml:space="preserve"> </w:t>
      </w:r>
      <w:bookmarkStart w:id="1" w:name="_Hlk125628817"/>
      <w:r w:rsidRPr="007A3CC7">
        <w:rPr>
          <w:rFonts w:eastAsia="Calibri"/>
          <w:bCs/>
          <w:iCs/>
        </w:rPr>
        <w:t>Общие положения</w:t>
      </w:r>
      <w:bookmarkEnd w:id="1"/>
    </w:p>
    <w:p w:rsidR="003D2EEB" w:rsidRDefault="003D2EEB" w:rsidP="007A3CC7">
      <w:pPr>
        <w:tabs>
          <w:tab w:val="left" w:pos="567"/>
          <w:tab w:val="left" w:pos="1134"/>
        </w:tabs>
        <w:ind w:firstLine="709"/>
        <w:contextualSpacing/>
        <w:jc w:val="both"/>
      </w:pPr>
      <w:bookmarkStart w:id="2" w:name="_Toc499041856"/>
    </w:p>
    <w:p w:rsidR="001F396D" w:rsidRPr="007A3CC7" w:rsidRDefault="001F396D" w:rsidP="007A3CC7">
      <w:pPr>
        <w:tabs>
          <w:tab w:val="left" w:pos="567"/>
          <w:tab w:val="left" w:pos="1134"/>
        </w:tabs>
        <w:ind w:firstLine="709"/>
        <w:contextualSpacing/>
        <w:jc w:val="both"/>
      </w:pPr>
      <w:r w:rsidRPr="007A3CC7">
        <w:t xml:space="preserve">Проект планировки территории для размещения объекта </w:t>
      </w:r>
      <w:r w:rsidRPr="007A3CC7">
        <w:rPr>
          <w:rFonts w:cs="Arial"/>
        </w:rPr>
        <w:t xml:space="preserve">«Трубопроводы Потанай-Картопьинского месторождения» </w:t>
      </w:r>
      <w:r w:rsidRPr="007A3CC7">
        <w:t>подготовлен на основании:</w:t>
      </w:r>
    </w:p>
    <w:p w:rsidR="001F396D" w:rsidRPr="007A3CC7" w:rsidRDefault="001F396D" w:rsidP="007A3CC7">
      <w:pPr>
        <w:tabs>
          <w:tab w:val="left" w:pos="567"/>
          <w:tab w:val="left" w:pos="1134"/>
        </w:tabs>
        <w:ind w:firstLine="709"/>
        <w:contextualSpacing/>
        <w:jc w:val="both"/>
      </w:pPr>
      <w:bookmarkStart w:id="3" w:name="_Hlk167375499"/>
      <w:r w:rsidRPr="007A3CC7">
        <w:t>Градостроительного кодекса Российской Федерации;</w:t>
      </w:r>
    </w:p>
    <w:p w:rsidR="001F396D" w:rsidRPr="007A3CC7" w:rsidRDefault="001F396D" w:rsidP="007A3CC7">
      <w:pPr>
        <w:tabs>
          <w:tab w:val="left" w:pos="567"/>
          <w:tab w:val="left" w:pos="1134"/>
        </w:tabs>
        <w:ind w:firstLine="709"/>
        <w:contextualSpacing/>
        <w:jc w:val="both"/>
      </w:pPr>
      <w:r w:rsidRPr="007A3CC7">
        <w:t>Земельного кодекса Российской Федерации;</w:t>
      </w:r>
    </w:p>
    <w:p w:rsidR="001F396D" w:rsidRPr="007A3CC7" w:rsidRDefault="001F396D" w:rsidP="007A3CC7">
      <w:pPr>
        <w:tabs>
          <w:tab w:val="left" w:pos="567"/>
          <w:tab w:val="left" w:pos="1134"/>
        </w:tabs>
        <w:ind w:firstLine="709"/>
        <w:contextualSpacing/>
        <w:jc w:val="both"/>
      </w:pPr>
      <w:r w:rsidRPr="007A3CC7">
        <w:t>постановления Правительства Российской Федерации от 02 апреля 2022 года № 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эксплуатацию»;</w:t>
      </w:r>
    </w:p>
    <w:p w:rsidR="001F396D" w:rsidRPr="007A3CC7" w:rsidRDefault="001F396D" w:rsidP="007A3CC7">
      <w:pPr>
        <w:tabs>
          <w:tab w:val="left" w:pos="567"/>
          <w:tab w:val="left" w:pos="1134"/>
        </w:tabs>
        <w:ind w:firstLine="709"/>
        <w:contextualSpacing/>
        <w:jc w:val="both"/>
      </w:pPr>
      <w:r w:rsidRPr="007A3CC7">
        <w:t>постановления Правительства Российской Федерации от 12 мая 2017 года № 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объектов»;</w:t>
      </w:r>
    </w:p>
    <w:p w:rsidR="001F396D" w:rsidRPr="007A3CC7" w:rsidRDefault="001F396D" w:rsidP="007A3CC7">
      <w:pPr>
        <w:tabs>
          <w:tab w:val="left" w:pos="567"/>
          <w:tab w:val="left" w:pos="1134"/>
        </w:tabs>
        <w:ind w:firstLine="709"/>
        <w:contextualSpacing/>
        <w:jc w:val="both"/>
      </w:pPr>
      <w:r w:rsidRPr="007A3CC7">
        <w:t>инжен</w:t>
      </w:r>
      <w:r w:rsidR="007A3CC7" w:rsidRPr="007A3CC7">
        <w:t>ерных изысканий, выполненных обществом с ограниченной ответственностью</w:t>
      </w:r>
      <w:r w:rsidRPr="007A3CC7">
        <w:t xml:space="preserve"> «</w:t>
      </w:r>
      <w:proofErr w:type="spellStart"/>
      <w:r w:rsidRPr="007A3CC7">
        <w:t>СоюзНефтеГаз</w:t>
      </w:r>
      <w:proofErr w:type="spellEnd"/>
      <w:r w:rsidRPr="007A3CC7">
        <w:t>»;</w:t>
      </w:r>
    </w:p>
    <w:p w:rsidR="001F396D" w:rsidRPr="007A3CC7" w:rsidRDefault="007A3CC7" w:rsidP="007A3CC7">
      <w:pPr>
        <w:tabs>
          <w:tab w:val="left" w:pos="567"/>
          <w:tab w:val="left" w:pos="1134"/>
        </w:tabs>
        <w:ind w:firstLine="709"/>
        <w:contextualSpacing/>
        <w:jc w:val="both"/>
      </w:pPr>
      <w:r w:rsidRPr="007A3CC7">
        <w:t>постановления а</w:t>
      </w:r>
      <w:r w:rsidR="001F396D" w:rsidRPr="007A3CC7">
        <w:t>дминистрации Кондинского района от 12 сентября 2025 года № 979 «О подготовке проекта планировки и проекта межевания территории</w:t>
      </w:r>
      <w:r w:rsidRPr="007A3CC7">
        <w:t>».</w:t>
      </w:r>
    </w:p>
    <w:p w:rsidR="001F396D" w:rsidRPr="007A3CC7" w:rsidRDefault="001F396D" w:rsidP="007A3CC7">
      <w:pPr>
        <w:tabs>
          <w:tab w:val="left" w:pos="567"/>
          <w:tab w:val="left" w:pos="1134"/>
        </w:tabs>
        <w:contextualSpacing/>
        <w:jc w:val="center"/>
      </w:pPr>
    </w:p>
    <w:bookmarkEnd w:id="3"/>
    <w:p w:rsidR="001F396D" w:rsidRPr="007A3CC7" w:rsidRDefault="001F396D" w:rsidP="007A3CC7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7A3CC7">
        <w:rPr>
          <w:rFonts w:eastAsia="Calibri"/>
          <w:bCs/>
          <w:iCs/>
        </w:rPr>
        <w:t>2.2</w:t>
      </w:r>
      <w:r w:rsidR="007A3CC7" w:rsidRPr="007A3CC7">
        <w:rPr>
          <w:rFonts w:eastAsia="Calibri"/>
          <w:bCs/>
          <w:iCs/>
        </w:rPr>
        <w:t>.</w:t>
      </w:r>
      <w:r w:rsidRPr="007A3CC7">
        <w:rPr>
          <w:rFonts w:eastAsia="Calibri"/>
          <w:bCs/>
          <w:iCs/>
        </w:rPr>
        <w:t xml:space="preserve"> </w:t>
      </w:r>
      <w:bookmarkEnd w:id="2"/>
      <w:r w:rsidRPr="007A3CC7">
        <w:rPr>
          <w:rFonts w:eastAsia="Calibri"/>
          <w:bCs/>
          <w:iCs/>
        </w:rPr>
        <w:t>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планируемых для размещения линейных объектов, а также линейных объектов, подлежащих реконструкции в связи с изменением их местоположения</w:t>
      </w:r>
    </w:p>
    <w:p w:rsidR="007A3CC7" w:rsidRPr="007A3CC7" w:rsidRDefault="007A3CC7" w:rsidP="007A3CC7">
      <w:pPr>
        <w:tabs>
          <w:tab w:val="left" w:pos="567"/>
          <w:tab w:val="left" w:pos="1134"/>
        </w:tabs>
        <w:jc w:val="center"/>
      </w:pPr>
    </w:p>
    <w:p w:rsidR="001F396D" w:rsidRPr="007A3CC7" w:rsidRDefault="001F396D" w:rsidP="007A3CC7">
      <w:pPr>
        <w:tabs>
          <w:tab w:val="left" w:pos="567"/>
          <w:tab w:val="left" w:pos="1134"/>
        </w:tabs>
        <w:ind w:firstLine="710"/>
        <w:jc w:val="both"/>
      </w:pPr>
      <w:r w:rsidRPr="007A3CC7">
        <w:t>Проектом «Трубопроводы Потанай-Картопьинского месторождения» предусматривается строительство следующего объекта:</w:t>
      </w:r>
    </w:p>
    <w:p w:rsidR="001F396D" w:rsidRPr="007A3CC7" w:rsidRDefault="001F396D" w:rsidP="007A3CC7">
      <w:pPr>
        <w:pStyle w:val="af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bookmarkStart w:id="4" w:name="_Hlk209686578"/>
      <w:r w:rsidRPr="007A3CC7">
        <w:rPr>
          <w:rFonts w:ascii="Times New Roman" w:hAnsi="Times New Roman"/>
          <w:sz w:val="24"/>
          <w:szCs w:val="24"/>
        </w:rPr>
        <w:t>Высоконапорный водовод от т. врезки до скважины № 8 П</w:t>
      </w:r>
      <w:bookmarkEnd w:id="4"/>
      <w:r w:rsidR="00856BB1">
        <w:rPr>
          <w:rFonts w:ascii="Times New Roman" w:hAnsi="Times New Roman"/>
          <w:sz w:val="24"/>
          <w:szCs w:val="24"/>
        </w:rPr>
        <w:t>.</w:t>
      </w:r>
    </w:p>
    <w:p w:rsidR="001F396D" w:rsidRPr="007A3CC7" w:rsidRDefault="001F396D" w:rsidP="007A3CC7">
      <w:pPr>
        <w:tabs>
          <w:tab w:val="num" w:pos="1134"/>
        </w:tabs>
        <w:ind w:firstLine="710"/>
        <w:jc w:val="both"/>
        <w:rPr>
          <w:iCs/>
        </w:rPr>
      </w:pPr>
    </w:p>
    <w:p w:rsidR="001F396D" w:rsidRDefault="001F396D" w:rsidP="00856BB1">
      <w:pPr>
        <w:tabs>
          <w:tab w:val="num" w:pos="1134"/>
        </w:tabs>
        <w:jc w:val="center"/>
        <w:rPr>
          <w:iCs/>
        </w:rPr>
      </w:pPr>
      <w:r w:rsidRPr="007A3CC7">
        <w:rPr>
          <w:iCs/>
        </w:rPr>
        <w:t xml:space="preserve">Высоконапорный водовод от т. врезки до скважины № 8 </w:t>
      </w:r>
      <w:proofErr w:type="gramStart"/>
      <w:r w:rsidRPr="007A3CC7">
        <w:rPr>
          <w:iCs/>
        </w:rPr>
        <w:t>П</w:t>
      </w:r>
      <w:proofErr w:type="gramEnd"/>
    </w:p>
    <w:p w:rsidR="00856BB1" w:rsidRPr="007A3CC7" w:rsidRDefault="00856BB1" w:rsidP="007A3CC7">
      <w:pPr>
        <w:tabs>
          <w:tab w:val="num" w:pos="1134"/>
        </w:tabs>
        <w:ind w:firstLine="710"/>
        <w:jc w:val="both"/>
        <w:rPr>
          <w:iCs/>
        </w:rPr>
      </w:pPr>
    </w:p>
    <w:p w:rsidR="001F396D" w:rsidRPr="007A3CC7" w:rsidRDefault="001F396D" w:rsidP="007A3CC7">
      <w:pPr>
        <w:tabs>
          <w:tab w:val="left" w:pos="567"/>
          <w:tab w:val="left" w:pos="1134"/>
        </w:tabs>
        <w:ind w:firstLine="710"/>
        <w:jc w:val="both"/>
      </w:pPr>
      <w:r w:rsidRPr="007A3CC7">
        <w:t xml:space="preserve">Замена нефтегазосборного трубопровода предусматривается для приведения его </w:t>
      </w:r>
      <w:r w:rsidR="00856BB1">
        <w:t xml:space="preserve">             </w:t>
      </w:r>
      <w:r w:rsidRPr="007A3CC7">
        <w:t xml:space="preserve">в соответствие с требованиями ГОСТ </w:t>
      </w:r>
      <w:proofErr w:type="gramStart"/>
      <w:r w:rsidRPr="007A3CC7">
        <w:t>Р</w:t>
      </w:r>
      <w:proofErr w:type="gramEnd"/>
      <w:r w:rsidRPr="007A3CC7">
        <w:t xml:space="preserve"> 5</w:t>
      </w:r>
      <w:r w:rsidR="00856BB1">
        <w:t>5990-2014 в целях повышения наде</w:t>
      </w:r>
      <w:r w:rsidRPr="007A3CC7">
        <w:t>жности эксплуатации. Замена нефтегазосборного трубопровода предусматривается в условиях действующего производства в пределах существующего коридора коммуникаций. Подключение осуществляется во время остановки перекачки нефти.</w:t>
      </w:r>
    </w:p>
    <w:p w:rsidR="007A3CC7" w:rsidRPr="007A3CC7" w:rsidRDefault="007A3CC7" w:rsidP="007A3CC7">
      <w:pPr>
        <w:pStyle w:val="6"/>
        <w:tabs>
          <w:tab w:val="left" w:pos="284"/>
          <w:tab w:val="left" w:pos="10065"/>
        </w:tabs>
        <w:spacing w:before="0" w:after="0" w:line="240" w:lineRule="auto"/>
        <w:ind w:left="0" w:right="227"/>
        <w:jc w:val="right"/>
        <w:rPr>
          <w:rFonts w:ascii="Times New Roman" w:hAnsi="Times New Roman"/>
          <w:sz w:val="24"/>
          <w:szCs w:val="24"/>
        </w:rPr>
      </w:pPr>
    </w:p>
    <w:p w:rsidR="007A3CC7" w:rsidRPr="007A3CC7" w:rsidRDefault="007A3CC7" w:rsidP="007A3CC7">
      <w:pPr>
        <w:pStyle w:val="6"/>
        <w:tabs>
          <w:tab w:val="left" w:pos="284"/>
          <w:tab w:val="left" w:pos="10065"/>
        </w:tabs>
        <w:spacing w:before="0" w:after="0" w:line="240" w:lineRule="auto"/>
        <w:ind w:left="0" w:right="227"/>
        <w:jc w:val="right"/>
        <w:rPr>
          <w:rFonts w:ascii="Times New Roman" w:hAnsi="Times New Roman"/>
          <w:sz w:val="24"/>
          <w:szCs w:val="24"/>
        </w:rPr>
      </w:pPr>
      <w:r w:rsidRPr="007A3CC7">
        <w:rPr>
          <w:rFonts w:ascii="Times New Roman" w:hAnsi="Times New Roman"/>
          <w:sz w:val="24"/>
          <w:szCs w:val="24"/>
        </w:rPr>
        <w:t>Таблица 1</w:t>
      </w:r>
    </w:p>
    <w:p w:rsidR="007A3CC7" w:rsidRPr="007A3CC7" w:rsidRDefault="007A3CC7" w:rsidP="007A3CC7">
      <w:pPr>
        <w:pStyle w:val="6"/>
        <w:tabs>
          <w:tab w:val="left" w:pos="284"/>
          <w:tab w:val="left" w:pos="10065"/>
        </w:tabs>
        <w:spacing w:before="0" w:after="0" w:line="240" w:lineRule="auto"/>
        <w:ind w:left="0" w:right="227"/>
        <w:jc w:val="right"/>
        <w:rPr>
          <w:rFonts w:ascii="Times New Roman" w:hAnsi="Times New Roman"/>
          <w:sz w:val="24"/>
          <w:szCs w:val="24"/>
        </w:rPr>
      </w:pPr>
    </w:p>
    <w:p w:rsidR="001F396D" w:rsidRPr="007A3CC7" w:rsidRDefault="001F396D" w:rsidP="007A3CC7">
      <w:pPr>
        <w:pStyle w:val="6"/>
        <w:tabs>
          <w:tab w:val="left" w:pos="284"/>
          <w:tab w:val="left" w:pos="10065"/>
        </w:tabs>
        <w:spacing w:before="0" w:after="0" w:line="240" w:lineRule="auto"/>
        <w:ind w:left="0" w:right="227"/>
        <w:jc w:val="center"/>
        <w:rPr>
          <w:rFonts w:ascii="Times New Roman" w:hAnsi="Times New Roman"/>
          <w:sz w:val="24"/>
          <w:szCs w:val="24"/>
        </w:rPr>
      </w:pPr>
      <w:r w:rsidRPr="007A3CC7">
        <w:rPr>
          <w:rFonts w:ascii="Times New Roman" w:hAnsi="Times New Roman"/>
          <w:sz w:val="24"/>
          <w:szCs w:val="24"/>
        </w:rPr>
        <w:t>Наименование и характеристики проектируемых трубопроводов</w:t>
      </w:r>
    </w:p>
    <w:p w:rsidR="007A3CC7" w:rsidRPr="007A3CC7" w:rsidRDefault="007A3CC7" w:rsidP="007A3CC7">
      <w:pPr>
        <w:pStyle w:val="6"/>
        <w:tabs>
          <w:tab w:val="left" w:pos="284"/>
          <w:tab w:val="left" w:pos="10065"/>
        </w:tabs>
        <w:spacing w:before="0" w:after="0" w:line="240" w:lineRule="auto"/>
        <w:ind w:left="0" w:right="22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623"/>
        <w:gridCol w:w="1983"/>
        <w:gridCol w:w="1983"/>
        <w:gridCol w:w="1983"/>
      </w:tblGrid>
      <w:tr w:rsidR="001F396D" w:rsidRPr="00A66ADE" w:rsidTr="00856BB1">
        <w:trPr>
          <w:trHeight w:val="68"/>
        </w:trPr>
        <w:tc>
          <w:tcPr>
            <w:tcW w:w="1892" w:type="pct"/>
          </w:tcPr>
          <w:p w:rsidR="001F396D" w:rsidRPr="00A66ADE" w:rsidRDefault="001F396D" w:rsidP="00856BB1">
            <w:pPr>
              <w:jc w:val="center"/>
            </w:pPr>
            <w:r w:rsidRPr="00A66ADE">
              <w:t>Наименование трубопровода</w:t>
            </w:r>
          </w:p>
        </w:tc>
        <w:tc>
          <w:tcPr>
            <w:tcW w:w="1036" w:type="pct"/>
          </w:tcPr>
          <w:p w:rsidR="001F396D" w:rsidRPr="00A66ADE" w:rsidRDefault="001F396D" w:rsidP="00856BB1">
            <w:pPr>
              <w:jc w:val="center"/>
            </w:pPr>
            <w:r w:rsidRPr="00A66ADE">
              <w:t xml:space="preserve">Типоразмер трубопровода, </w:t>
            </w:r>
            <w:proofErr w:type="gramStart"/>
            <w:r w:rsidRPr="00A66ADE">
              <w:t>мм</w:t>
            </w:r>
            <w:proofErr w:type="gramEnd"/>
          </w:p>
        </w:tc>
        <w:tc>
          <w:tcPr>
            <w:tcW w:w="1036" w:type="pct"/>
          </w:tcPr>
          <w:p w:rsidR="001F396D" w:rsidRPr="00A66ADE" w:rsidRDefault="001F396D" w:rsidP="00856BB1">
            <w:pPr>
              <w:jc w:val="center"/>
            </w:pPr>
            <w:r w:rsidRPr="00A66ADE">
              <w:t xml:space="preserve">Протяженность трубопровода, </w:t>
            </w:r>
            <w:proofErr w:type="gramStart"/>
            <w:r w:rsidRPr="00A66ADE">
              <w:t>м</w:t>
            </w:r>
            <w:proofErr w:type="gramEnd"/>
          </w:p>
        </w:tc>
        <w:tc>
          <w:tcPr>
            <w:tcW w:w="1036" w:type="pct"/>
          </w:tcPr>
          <w:p w:rsidR="001F396D" w:rsidRPr="00A66ADE" w:rsidRDefault="001F396D" w:rsidP="00856BB1">
            <w:pPr>
              <w:jc w:val="center"/>
            </w:pPr>
            <w:r w:rsidRPr="00A66ADE">
              <w:t xml:space="preserve">Предельно допустимые отклонения, </w:t>
            </w:r>
            <w:proofErr w:type="gramStart"/>
            <w:r w:rsidRPr="00A66ADE">
              <w:t>м</w:t>
            </w:r>
            <w:proofErr w:type="gramEnd"/>
          </w:p>
        </w:tc>
      </w:tr>
      <w:tr w:rsidR="001F396D" w:rsidRPr="00A66ADE" w:rsidTr="00856BB1">
        <w:trPr>
          <w:trHeight w:val="68"/>
        </w:trPr>
        <w:tc>
          <w:tcPr>
            <w:tcW w:w="1892" w:type="pct"/>
          </w:tcPr>
          <w:p w:rsidR="00856BB1" w:rsidRDefault="001F396D" w:rsidP="00856BB1">
            <w:r w:rsidRPr="00A66ADE">
              <w:t xml:space="preserve">Высоконапорный водовод </w:t>
            </w:r>
          </w:p>
          <w:p w:rsidR="001F396D" w:rsidRPr="00A66ADE" w:rsidRDefault="001F396D" w:rsidP="00856BB1">
            <w:r w:rsidRPr="00A66ADE">
              <w:t xml:space="preserve">от т. врезки до скважины № 8 </w:t>
            </w:r>
            <w:proofErr w:type="gramStart"/>
            <w:r w:rsidRPr="00A66ADE">
              <w:t>П</w:t>
            </w:r>
            <w:proofErr w:type="gramEnd"/>
          </w:p>
        </w:tc>
        <w:tc>
          <w:tcPr>
            <w:tcW w:w="1036" w:type="pct"/>
          </w:tcPr>
          <w:p w:rsidR="001F396D" w:rsidRPr="00A66ADE" w:rsidRDefault="001F396D" w:rsidP="00856BB1">
            <w:pPr>
              <w:jc w:val="center"/>
            </w:pPr>
            <w:r w:rsidRPr="00A66ADE">
              <w:t>89х8</w:t>
            </w:r>
          </w:p>
        </w:tc>
        <w:tc>
          <w:tcPr>
            <w:tcW w:w="1036" w:type="pct"/>
          </w:tcPr>
          <w:p w:rsidR="001F396D" w:rsidRPr="00A66ADE" w:rsidRDefault="001F396D" w:rsidP="00856BB1">
            <w:pPr>
              <w:jc w:val="center"/>
            </w:pPr>
            <w:r w:rsidRPr="00A66ADE">
              <w:t>185,31</w:t>
            </w:r>
          </w:p>
        </w:tc>
        <w:tc>
          <w:tcPr>
            <w:tcW w:w="1036" w:type="pct"/>
          </w:tcPr>
          <w:p w:rsidR="001F396D" w:rsidRPr="00A66ADE" w:rsidRDefault="001F396D" w:rsidP="00856BB1">
            <w:pPr>
              <w:jc w:val="center"/>
            </w:pPr>
            <w:r w:rsidRPr="00A66ADE">
              <w:t>±5,58</w:t>
            </w:r>
          </w:p>
        </w:tc>
      </w:tr>
    </w:tbl>
    <w:p w:rsidR="001F396D" w:rsidRPr="00A66ADE" w:rsidRDefault="001F396D" w:rsidP="00856BB1">
      <w:pPr>
        <w:tabs>
          <w:tab w:val="num" w:pos="1134"/>
        </w:tabs>
        <w:ind w:firstLine="709"/>
        <w:jc w:val="both"/>
        <w:rPr>
          <w:iCs/>
        </w:rPr>
      </w:pPr>
    </w:p>
    <w:p w:rsidR="001F396D" w:rsidRPr="00A66ADE" w:rsidRDefault="001F396D" w:rsidP="003D2EEB">
      <w:pPr>
        <w:tabs>
          <w:tab w:val="left" w:pos="709"/>
        </w:tabs>
        <w:ind w:firstLine="709"/>
        <w:jc w:val="both"/>
        <w:rPr>
          <w:rFonts w:eastAsia="Calibri"/>
        </w:rPr>
      </w:pPr>
      <w:r w:rsidRPr="00A66ADE">
        <w:rPr>
          <w:rFonts w:eastAsia="Calibri"/>
        </w:rPr>
        <w:t xml:space="preserve">Необходимый уровень конструктивной надежности линейных трубопроводов обеспечивается путем категорирования трубопроводов и их участков в зависимости </w:t>
      </w:r>
      <w:r w:rsidR="003D2EEB">
        <w:rPr>
          <w:rFonts w:eastAsia="Calibri"/>
        </w:rPr>
        <w:t xml:space="preserve">               </w:t>
      </w:r>
      <w:r w:rsidRPr="00A66ADE">
        <w:rPr>
          <w:rFonts w:eastAsia="Calibri"/>
        </w:rPr>
        <w:t xml:space="preserve">от назначения и определения коэффициентов надежности, характеризующих назначения и </w:t>
      </w:r>
      <w:r w:rsidRPr="00A66ADE">
        <w:rPr>
          <w:rFonts w:eastAsia="Calibri"/>
        </w:rPr>
        <w:lastRenderedPageBreak/>
        <w:t>условия работы трубопроводов, применяемые для трубопроводов материалы и действующие на них нагрузки.</w:t>
      </w:r>
    </w:p>
    <w:p w:rsidR="001F396D" w:rsidRPr="00A66ADE" w:rsidRDefault="001F396D" w:rsidP="003D2EEB">
      <w:pPr>
        <w:tabs>
          <w:tab w:val="left" w:pos="709"/>
        </w:tabs>
        <w:ind w:firstLine="709"/>
        <w:jc w:val="both"/>
        <w:rPr>
          <w:rFonts w:eastAsia="Calibri"/>
        </w:rPr>
      </w:pPr>
      <w:r w:rsidRPr="00A66ADE">
        <w:rPr>
          <w:rFonts w:eastAsia="Calibri"/>
        </w:rPr>
        <w:t>Реконстру</w:t>
      </w:r>
      <w:r w:rsidR="003D2EEB">
        <w:rPr>
          <w:rFonts w:eastAsia="Calibri"/>
        </w:rPr>
        <w:t xml:space="preserve">ируемые водоводы на основании пункта 1 статьи 2 Федерального закона от 21 июля </w:t>
      </w:r>
      <w:r w:rsidRPr="00A66ADE">
        <w:rPr>
          <w:rFonts w:eastAsia="Calibri"/>
        </w:rPr>
        <w:t>1997</w:t>
      </w:r>
      <w:r w:rsidR="003D2EEB">
        <w:rPr>
          <w:rFonts w:eastAsia="Calibri"/>
        </w:rPr>
        <w:t xml:space="preserve"> года</w:t>
      </w:r>
      <w:r w:rsidRPr="00A66ADE">
        <w:rPr>
          <w:rFonts w:eastAsia="Calibri"/>
        </w:rPr>
        <w:t xml:space="preserve"> № 116-ФЗ «О промышленной безопасности </w:t>
      </w:r>
      <w:proofErr w:type="gramStart"/>
      <w:r w:rsidRPr="00A66ADE">
        <w:rPr>
          <w:rFonts w:eastAsia="Calibri"/>
        </w:rPr>
        <w:t>опасных</w:t>
      </w:r>
      <w:proofErr w:type="gramEnd"/>
      <w:r w:rsidRPr="00A66ADE">
        <w:rPr>
          <w:rFonts w:eastAsia="Calibri"/>
        </w:rPr>
        <w:t xml:space="preserve"> производственных объектов» не относятся к ОПО.</w:t>
      </w:r>
    </w:p>
    <w:p w:rsidR="001F396D" w:rsidRPr="00A66ADE" w:rsidRDefault="001F396D" w:rsidP="003D2EEB">
      <w:pPr>
        <w:pStyle w:val="11"/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6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Проектируемые низконапорный водовод от</w:t>
      </w:r>
      <w:r w:rsidR="003D2E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носится к III классу согласно                  пункту </w:t>
      </w:r>
      <w:r w:rsidRPr="00A66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7.1.3 ГОСТ </w:t>
      </w:r>
      <w:proofErr w:type="gramStart"/>
      <w:r w:rsidRPr="00A66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A66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55990-2014.</w:t>
      </w:r>
    </w:p>
    <w:p w:rsidR="001F396D" w:rsidRPr="00A66ADE" w:rsidRDefault="001F396D" w:rsidP="003D2EEB">
      <w:pPr>
        <w:pStyle w:val="11"/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6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</w:t>
      </w:r>
      <w:r w:rsidR="003D2E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тветствии с ГОСТ </w:t>
      </w:r>
      <w:proofErr w:type="gramStart"/>
      <w:r w:rsidR="003D2E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="003D2E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55990-2014 пункт</w:t>
      </w:r>
      <w:r w:rsidRPr="00A66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6.2 таблица 1 продукт, транспортируемый по проектируемый водоводу низконапорному, относится к 9 категории (жидкие нетоксичные негорючие продукты на водной основе, нетоксичные пластовые и сточные воды).</w:t>
      </w:r>
    </w:p>
    <w:p w:rsidR="001F396D" w:rsidRPr="00A66ADE" w:rsidRDefault="001F396D" w:rsidP="003D2EEB">
      <w:pPr>
        <w:pStyle w:val="11"/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6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назначению проектируемые низконапорный водовод принимаются категории Н, </w:t>
      </w:r>
      <w:r w:rsidR="003D2E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согласно ГОСТ </w:t>
      </w:r>
      <w:proofErr w:type="gramStart"/>
      <w:r w:rsidR="003D2E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="003D2E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55990-2014 таблица</w:t>
      </w:r>
      <w:r w:rsidRPr="00A66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3.</w:t>
      </w:r>
    </w:p>
    <w:p w:rsidR="001F396D" w:rsidRPr="003D2EEB" w:rsidRDefault="001F396D" w:rsidP="003D2EEB">
      <w:pPr>
        <w:autoSpaceDE w:val="0"/>
        <w:autoSpaceDN w:val="0"/>
        <w:adjustRightInd w:val="0"/>
        <w:jc w:val="center"/>
        <w:rPr>
          <w:bCs/>
        </w:rPr>
      </w:pPr>
    </w:p>
    <w:p w:rsidR="003D2EEB" w:rsidRDefault="001F396D" w:rsidP="003D2EEB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bookmarkStart w:id="5" w:name="_Toc499041857"/>
      <w:r w:rsidRPr="003D2EEB">
        <w:rPr>
          <w:rFonts w:eastAsia="Calibri"/>
          <w:bCs/>
          <w:iCs/>
        </w:rPr>
        <w:t>2.3</w:t>
      </w:r>
      <w:r w:rsidR="003D2EEB">
        <w:rPr>
          <w:rFonts w:eastAsia="Calibri"/>
          <w:bCs/>
          <w:iCs/>
        </w:rPr>
        <w:t>.</w:t>
      </w:r>
      <w:r w:rsidRPr="003D2EEB">
        <w:rPr>
          <w:rFonts w:eastAsia="Calibri"/>
          <w:bCs/>
          <w:iCs/>
        </w:rPr>
        <w:t xml:space="preserve">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</w:t>
      </w:r>
    </w:p>
    <w:p w:rsidR="001F396D" w:rsidRPr="003D2EEB" w:rsidRDefault="001F396D" w:rsidP="003D2EEB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3D2EEB">
        <w:rPr>
          <w:rFonts w:eastAsia="Calibri"/>
          <w:bCs/>
          <w:iCs/>
        </w:rPr>
        <w:t xml:space="preserve">на </w:t>
      </w:r>
      <w:proofErr w:type="gramStart"/>
      <w:r w:rsidRPr="003D2EEB">
        <w:rPr>
          <w:rFonts w:eastAsia="Calibri"/>
          <w:bCs/>
          <w:iCs/>
        </w:rPr>
        <w:t>территориях</w:t>
      </w:r>
      <w:proofErr w:type="gramEnd"/>
      <w:r w:rsidRPr="003D2EEB">
        <w:rPr>
          <w:rFonts w:eastAsia="Calibri"/>
          <w:bCs/>
          <w:iCs/>
        </w:rPr>
        <w:t xml:space="preserve"> которых устанавливаются зоны планируемого размещения линейных объект</w:t>
      </w:r>
      <w:bookmarkEnd w:id="5"/>
      <w:r w:rsidR="003D2EEB" w:rsidRPr="003D2EEB">
        <w:rPr>
          <w:rFonts w:eastAsia="Calibri"/>
          <w:bCs/>
          <w:iCs/>
        </w:rPr>
        <w:t>ов</w:t>
      </w:r>
    </w:p>
    <w:p w:rsidR="003D2EEB" w:rsidRPr="003D2EEB" w:rsidRDefault="003D2EEB" w:rsidP="003D2EEB">
      <w:pPr>
        <w:contextualSpacing/>
        <w:jc w:val="center"/>
        <w:rPr>
          <w:spacing w:val="-2"/>
        </w:rPr>
      </w:pPr>
      <w:bookmarkStart w:id="6" w:name="_Hlk82179090"/>
      <w:bookmarkStart w:id="7" w:name="_Toc499041858"/>
    </w:p>
    <w:p w:rsidR="001F396D" w:rsidRPr="00A66ADE" w:rsidRDefault="001F396D" w:rsidP="00856BB1">
      <w:pPr>
        <w:ind w:firstLine="709"/>
        <w:contextualSpacing/>
        <w:jc w:val="both"/>
        <w:rPr>
          <w:spacing w:val="-2"/>
        </w:rPr>
      </w:pPr>
      <w:r w:rsidRPr="00A66ADE">
        <w:rPr>
          <w:spacing w:val="-2"/>
        </w:rPr>
        <w:t>Зона планируемого размещения проектируемого объекта находится на землях следующих категорий: земли лесного фонда.</w:t>
      </w:r>
    </w:p>
    <w:p w:rsidR="001F396D" w:rsidRPr="00A66ADE" w:rsidRDefault="001F396D" w:rsidP="00856BB1">
      <w:pPr>
        <w:ind w:firstLine="709"/>
        <w:contextualSpacing/>
        <w:jc w:val="both"/>
        <w:rPr>
          <w:spacing w:val="-2"/>
        </w:rPr>
      </w:pPr>
      <w:r w:rsidRPr="00A66ADE">
        <w:rPr>
          <w:spacing w:val="-2"/>
        </w:rPr>
        <w:t xml:space="preserve">В административном отношении район работ расположен в </w:t>
      </w:r>
      <w:r w:rsidR="003D2EEB" w:rsidRPr="00A66ADE">
        <w:rPr>
          <w:spacing w:val="-2"/>
        </w:rPr>
        <w:t>Кондинском районе</w:t>
      </w:r>
      <w:r w:rsidR="003D2EEB" w:rsidRPr="00A66ADE">
        <w:rPr>
          <w:spacing w:val="-2"/>
        </w:rPr>
        <w:t xml:space="preserve"> </w:t>
      </w:r>
      <w:r w:rsidR="00380E8D">
        <w:rPr>
          <w:spacing w:val="-2"/>
        </w:rPr>
        <w:t>Тюменской области</w:t>
      </w:r>
      <w:r w:rsidRPr="00A66ADE">
        <w:rPr>
          <w:spacing w:val="-2"/>
        </w:rPr>
        <w:t xml:space="preserve"> Хан</w:t>
      </w:r>
      <w:r w:rsidR="003D2EEB">
        <w:rPr>
          <w:spacing w:val="-2"/>
        </w:rPr>
        <w:t xml:space="preserve">ты-Мансийском автономном округе – </w:t>
      </w:r>
      <w:r w:rsidR="00380E8D">
        <w:rPr>
          <w:spacing w:val="-2"/>
        </w:rPr>
        <w:t>Югре</w:t>
      </w:r>
      <w:r w:rsidRPr="00A66ADE">
        <w:rPr>
          <w:spacing w:val="-2"/>
        </w:rPr>
        <w:t>.</w:t>
      </w:r>
    </w:p>
    <w:p w:rsidR="001F396D" w:rsidRDefault="001F396D" w:rsidP="00856BB1">
      <w:pPr>
        <w:ind w:firstLine="709"/>
        <w:contextualSpacing/>
        <w:jc w:val="both"/>
        <w:rPr>
          <w:spacing w:val="-2"/>
        </w:rPr>
      </w:pPr>
      <w:r w:rsidRPr="00A66ADE">
        <w:rPr>
          <w:spacing w:val="-2"/>
        </w:rPr>
        <w:t xml:space="preserve">Ближайшим населенным пунктом от проектируемого участка изысканий на юго-запад в 32,1 км (48 км по АД) п. </w:t>
      </w:r>
      <w:proofErr w:type="spellStart"/>
      <w:r w:rsidRPr="00A66ADE">
        <w:rPr>
          <w:spacing w:val="-2"/>
        </w:rPr>
        <w:t>Супра</w:t>
      </w:r>
      <w:proofErr w:type="spellEnd"/>
      <w:r w:rsidRPr="00A66ADE">
        <w:rPr>
          <w:spacing w:val="-2"/>
        </w:rPr>
        <w:t xml:space="preserve">, на северо-запад в 93,5 км (165 км по АД) </w:t>
      </w:r>
      <w:r w:rsidR="00380E8D">
        <w:rPr>
          <w:spacing w:val="-2"/>
        </w:rPr>
        <w:t xml:space="preserve">                         </w:t>
      </w:r>
      <w:r w:rsidRPr="00A66ADE">
        <w:rPr>
          <w:spacing w:val="-2"/>
        </w:rPr>
        <w:t>г. Советский.</w:t>
      </w:r>
    </w:p>
    <w:p w:rsidR="00380E8D" w:rsidRPr="00380E8D" w:rsidRDefault="00380E8D" w:rsidP="00380E8D">
      <w:pPr>
        <w:contextualSpacing/>
        <w:jc w:val="center"/>
        <w:rPr>
          <w:spacing w:val="-2"/>
        </w:rPr>
      </w:pPr>
    </w:p>
    <w:bookmarkEnd w:id="6"/>
    <w:p w:rsidR="001F396D" w:rsidRPr="00380E8D" w:rsidRDefault="001F396D" w:rsidP="00380E8D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380E8D">
        <w:rPr>
          <w:rFonts w:eastAsia="Calibri"/>
          <w:bCs/>
          <w:iCs/>
        </w:rPr>
        <w:t>2.4</w:t>
      </w:r>
      <w:r w:rsidR="003D2EEB" w:rsidRPr="00380E8D">
        <w:rPr>
          <w:rFonts w:eastAsia="Calibri"/>
          <w:bCs/>
          <w:iCs/>
        </w:rPr>
        <w:t>.</w:t>
      </w:r>
      <w:r w:rsidRPr="00380E8D">
        <w:rPr>
          <w:rFonts w:eastAsia="Calibri"/>
          <w:bCs/>
          <w:iCs/>
        </w:rPr>
        <w:t xml:space="preserve"> Перечень </w:t>
      </w:r>
      <w:proofErr w:type="gramStart"/>
      <w:r w:rsidRPr="00380E8D">
        <w:rPr>
          <w:rFonts w:eastAsia="Calibri"/>
          <w:bCs/>
          <w:iCs/>
        </w:rPr>
        <w:t>координат характерных точек границ зон планируемого размещения</w:t>
      </w:r>
      <w:proofErr w:type="gramEnd"/>
      <w:r w:rsidRPr="00380E8D">
        <w:rPr>
          <w:rFonts w:eastAsia="Calibri"/>
          <w:bCs/>
          <w:iCs/>
        </w:rPr>
        <w:t xml:space="preserve"> линейных объект</w:t>
      </w:r>
      <w:bookmarkEnd w:id="7"/>
      <w:r w:rsidRPr="00380E8D">
        <w:rPr>
          <w:rFonts w:eastAsia="Calibri"/>
          <w:bCs/>
          <w:iCs/>
        </w:rPr>
        <w:t>ов</w:t>
      </w:r>
    </w:p>
    <w:p w:rsidR="00380E8D" w:rsidRPr="00380E8D" w:rsidRDefault="00380E8D" w:rsidP="00380E8D">
      <w:pPr>
        <w:contextualSpacing/>
        <w:jc w:val="center"/>
      </w:pPr>
    </w:p>
    <w:p w:rsidR="001F396D" w:rsidRPr="00380E8D" w:rsidRDefault="001F396D" w:rsidP="00380E8D">
      <w:pPr>
        <w:ind w:firstLine="709"/>
        <w:contextualSpacing/>
        <w:jc w:val="both"/>
      </w:pPr>
      <w:r w:rsidRPr="00380E8D">
        <w:t xml:space="preserve">Координаты границ земельных участков, необходимых для размещения проектируемого объекта, в графических материалах определены в местной системе координат Ханты-Мансийского автономного округа </w:t>
      </w:r>
      <w:r w:rsidR="00380E8D">
        <w:t xml:space="preserve">– </w:t>
      </w:r>
      <w:r w:rsidRPr="00380E8D">
        <w:t>Югры МСК-86.</w:t>
      </w:r>
    </w:p>
    <w:p w:rsidR="00380E8D" w:rsidRDefault="00380E8D" w:rsidP="00380E8D">
      <w:pPr>
        <w:contextualSpacing/>
        <w:jc w:val="center"/>
      </w:pPr>
    </w:p>
    <w:p w:rsidR="001F396D" w:rsidRPr="00380E8D" w:rsidRDefault="001F396D" w:rsidP="00380E8D">
      <w:pPr>
        <w:contextualSpacing/>
        <w:jc w:val="center"/>
      </w:pPr>
      <w:r w:rsidRPr="00380E8D">
        <w:t xml:space="preserve">Перечень </w:t>
      </w:r>
      <w:proofErr w:type="gramStart"/>
      <w:r w:rsidRPr="00380E8D">
        <w:t xml:space="preserve">координат характерных точек границ </w:t>
      </w:r>
      <w:r w:rsidRPr="00380E8D">
        <w:br/>
        <w:t>зоны планируемого размещения</w:t>
      </w:r>
      <w:proofErr w:type="gramEnd"/>
    </w:p>
    <w:p w:rsidR="001F396D" w:rsidRPr="00380E8D" w:rsidRDefault="001F396D" w:rsidP="00380E8D">
      <w:pPr>
        <w:contextualSpacing/>
        <w:jc w:val="center"/>
      </w:pPr>
    </w:p>
    <w:p w:rsidR="001F396D" w:rsidRPr="00380E8D" w:rsidRDefault="001F396D" w:rsidP="00380E8D">
      <w:pPr>
        <w:jc w:val="center"/>
        <w:rPr>
          <w:rFonts w:ascii="Calibri" w:hAnsi="Calibri" w:cs="Calibri"/>
          <w:color w:val="000000"/>
        </w:rPr>
        <w:sectPr w:rsidR="001F396D" w:rsidRPr="00380E8D" w:rsidSect="001F396D">
          <w:headerReference w:type="default" r:id="rId11"/>
          <w:pgSz w:w="11906" w:h="16838"/>
          <w:pgMar w:top="1134" w:right="849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219"/>
        <w:gridCol w:w="1569"/>
        <w:gridCol w:w="1752"/>
      </w:tblGrid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lastRenderedPageBreak/>
              <w:t>№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X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Y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1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961157.99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2461548.33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961164.56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2461522.14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3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961090.09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2461503.47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4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961059.47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2461492.61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5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961056.70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2461486.80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6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961042.88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2461477.30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7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961038.86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2461475.11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8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961040.76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2461471.79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961052.61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2461451.01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lastRenderedPageBreak/>
              <w:t>10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961051.73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2461450.54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11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961045.08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2461450.90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12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961045.27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2461448.14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13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961026.42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2461429.57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14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961007.05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2461446.61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15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961020.59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2461462.06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16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961005.33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2461484.25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17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961035.44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2461504.95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18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961039.91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2461514.33</w:t>
            </w:r>
          </w:p>
        </w:tc>
      </w:tr>
      <w:tr w:rsidR="001F396D" w:rsidRPr="00A66ADE" w:rsidTr="00380E8D">
        <w:trPr>
          <w:trHeight w:val="68"/>
        </w:trPr>
        <w:tc>
          <w:tcPr>
            <w:tcW w:w="1342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19</w:t>
            </w:r>
          </w:p>
        </w:tc>
        <w:tc>
          <w:tcPr>
            <w:tcW w:w="1728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961082.28</w:t>
            </w:r>
          </w:p>
        </w:tc>
        <w:tc>
          <w:tcPr>
            <w:tcW w:w="1930" w:type="pct"/>
            <w:noWrap/>
            <w:hideMark/>
          </w:tcPr>
          <w:p w:rsidR="001F396D" w:rsidRPr="00A66ADE" w:rsidRDefault="001F396D" w:rsidP="00011734">
            <w:pPr>
              <w:jc w:val="center"/>
            </w:pPr>
            <w:r w:rsidRPr="00A66ADE">
              <w:t>2461529.34</w:t>
            </w:r>
          </w:p>
        </w:tc>
      </w:tr>
    </w:tbl>
    <w:p w:rsidR="001F396D" w:rsidRPr="00A66ADE" w:rsidRDefault="001F396D" w:rsidP="001F396D">
      <w:pPr>
        <w:contextualSpacing/>
        <w:jc w:val="center"/>
        <w:sectPr w:rsidR="001F396D" w:rsidRPr="00A66ADE" w:rsidSect="007B6763">
          <w:type w:val="continuous"/>
          <w:pgSz w:w="11906" w:h="16838"/>
          <w:pgMar w:top="1134" w:right="849" w:bottom="1134" w:left="1701" w:header="567" w:footer="709" w:gutter="0"/>
          <w:pgNumType w:start="44"/>
          <w:cols w:num="2" w:space="708"/>
          <w:docGrid w:linePitch="360"/>
        </w:sectPr>
      </w:pPr>
    </w:p>
    <w:p w:rsidR="001F396D" w:rsidRPr="00A66ADE" w:rsidRDefault="001F396D" w:rsidP="001F396D">
      <w:pPr>
        <w:spacing w:before="120" w:after="120"/>
        <w:rPr>
          <w:sz w:val="28"/>
          <w:szCs w:val="28"/>
        </w:rPr>
        <w:sectPr w:rsidR="001F396D" w:rsidRPr="00A66ADE" w:rsidSect="00CA4D7E">
          <w:type w:val="continuous"/>
          <w:pgSz w:w="11906" w:h="16838"/>
          <w:pgMar w:top="1418" w:right="849" w:bottom="1134" w:left="1701" w:header="567" w:footer="709" w:gutter="0"/>
          <w:pgNumType w:start="47"/>
          <w:cols w:num="3" w:space="708"/>
          <w:docGrid w:linePitch="360"/>
        </w:sectPr>
      </w:pPr>
    </w:p>
    <w:p w:rsidR="001F396D" w:rsidRPr="00380E8D" w:rsidRDefault="001F396D" w:rsidP="00380E8D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380E8D">
        <w:rPr>
          <w:rFonts w:eastAsia="Calibri"/>
          <w:bCs/>
          <w:iCs/>
        </w:rPr>
        <w:lastRenderedPageBreak/>
        <w:t>2.5</w:t>
      </w:r>
      <w:r w:rsidR="003D2EEB" w:rsidRPr="00380E8D">
        <w:rPr>
          <w:rFonts w:eastAsia="Calibri"/>
          <w:bCs/>
          <w:iCs/>
        </w:rPr>
        <w:t>.</w:t>
      </w:r>
      <w:r w:rsidRPr="00380E8D">
        <w:rPr>
          <w:rFonts w:eastAsia="Calibri"/>
          <w:bCs/>
          <w:iCs/>
        </w:rPr>
        <w:t xml:space="preserve"> Перечень </w:t>
      </w:r>
      <w:proofErr w:type="gramStart"/>
      <w:r w:rsidRPr="00380E8D">
        <w:rPr>
          <w:rFonts w:eastAsia="Calibri"/>
          <w:bCs/>
          <w:iCs/>
        </w:rPr>
        <w:t>координат характерных точек границ зон планируемого размещения</w:t>
      </w:r>
      <w:proofErr w:type="gramEnd"/>
      <w:r w:rsidRPr="00380E8D">
        <w:rPr>
          <w:rFonts w:eastAsia="Calibri"/>
          <w:bCs/>
          <w:iCs/>
        </w:rPr>
        <w:t xml:space="preserve"> линейных объектов, подлежащих реконструкции в связи с изменением их местоположения</w:t>
      </w:r>
    </w:p>
    <w:p w:rsidR="00380E8D" w:rsidRPr="00380E8D" w:rsidRDefault="00380E8D" w:rsidP="00380E8D">
      <w:pPr>
        <w:ind w:firstLine="709"/>
        <w:contextualSpacing/>
        <w:jc w:val="center"/>
        <w:rPr>
          <w:spacing w:val="-2"/>
        </w:rPr>
      </w:pPr>
    </w:p>
    <w:p w:rsidR="001F396D" w:rsidRPr="00A66ADE" w:rsidRDefault="001F396D" w:rsidP="00380E8D">
      <w:pPr>
        <w:ind w:firstLine="709"/>
        <w:contextualSpacing/>
        <w:jc w:val="both"/>
        <w:rPr>
          <w:spacing w:val="-2"/>
        </w:rPr>
      </w:pPr>
      <w:r w:rsidRPr="00A66ADE">
        <w:rPr>
          <w:spacing w:val="-2"/>
        </w:rPr>
        <w:t>П</w:t>
      </w:r>
      <w:r w:rsidRPr="00A66ADE">
        <w:rPr>
          <w:rFonts w:eastAsia="Calibri"/>
        </w:rPr>
        <w:t>роектом планировки территории не предусматривается перенос реконструкция проектируемого объекта из зон планируемого размещения линейного объекта</w:t>
      </w:r>
      <w:r w:rsidRPr="00A66ADE">
        <w:rPr>
          <w:spacing w:val="-2"/>
        </w:rPr>
        <w:t>.</w:t>
      </w:r>
    </w:p>
    <w:p w:rsidR="001F396D" w:rsidRPr="00A66ADE" w:rsidRDefault="001F396D" w:rsidP="00380E8D">
      <w:pPr>
        <w:ind w:firstLine="709"/>
        <w:contextualSpacing/>
        <w:jc w:val="both"/>
        <w:rPr>
          <w:spacing w:val="-2"/>
        </w:rPr>
      </w:pPr>
    </w:p>
    <w:p w:rsidR="001F396D" w:rsidRPr="00380E8D" w:rsidRDefault="001F396D" w:rsidP="00380E8D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380E8D">
        <w:rPr>
          <w:rFonts w:eastAsia="Calibri"/>
          <w:bCs/>
          <w:iCs/>
        </w:rPr>
        <w:t>2.6</w:t>
      </w:r>
      <w:r w:rsidR="003D2EEB" w:rsidRPr="00380E8D">
        <w:rPr>
          <w:rFonts w:eastAsia="Calibri"/>
          <w:bCs/>
          <w:iCs/>
        </w:rPr>
        <w:t>.</w:t>
      </w:r>
      <w:r w:rsidRPr="00380E8D">
        <w:rPr>
          <w:rFonts w:eastAsia="Calibri"/>
          <w:bCs/>
          <w:iCs/>
        </w:rPr>
        <w:t xml:space="preserve"> Предельные параметры разрешенного строительства, реконструкции объектов капитального строительства, входящих в состав линейного объекта в границах зон его планируемого размещения</w:t>
      </w:r>
    </w:p>
    <w:p w:rsidR="00380E8D" w:rsidRDefault="00380E8D" w:rsidP="00380E8D">
      <w:pPr>
        <w:ind w:firstLine="709"/>
        <w:contextualSpacing/>
        <w:jc w:val="both"/>
        <w:rPr>
          <w:spacing w:val="-2"/>
        </w:rPr>
      </w:pPr>
    </w:p>
    <w:p w:rsidR="001F396D" w:rsidRPr="00A66ADE" w:rsidRDefault="001F396D" w:rsidP="00380E8D">
      <w:pPr>
        <w:ind w:firstLine="709"/>
        <w:contextualSpacing/>
        <w:jc w:val="both"/>
        <w:rPr>
          <w:spacing w:val="-2"/>
        </w:rPr>
      </w:pPr>
      <w:r w:rsidRPr="00A66ADE">
        <w:rPr>
          <w:spacing w:val="-2"/>
        </w:rPr>
        <w:t xml:space="preserve">Согласно пункту 3 части 4 статьи 36 </w:t>
      </w:r>
      <w:r w:rsidR="00380E8D">
        <w:rPr>
          <w:spacing w:val="-2"/>
        </w:rPr>
        <w:t>Градостроительного</w:t>
      </w:r>
      <w:r w:rsidR="00380E8D" w:rsidRPr="00380E8D">
        <w:rPr>
          <w:spacing w:val="-2"/>
        </w:rPr>
        <w:t xml:space="preserve"> кодекс</w:t>
      </w:r>
      <w:r w:rsidR="00380E8D">
        <w:rPr>
          <w:spacing w:val="-2"/>
        </w:rPr>
        <w:t>а</w:t>
      </w:r>
      <w:r w:rsidR="00380E8D" w:rsidRPr="00380E8D">
        <w:rPr>
          <w:spacing w:val="-2"/>
        </w:rPr>
        <w:t xml:space="preserve"> Российской Федерации </w:t>
      </w:r>
      <w:r w:rsidRPr="00A66ADE">
        <w:rPr>
          <w:spacing w:val="-2"/>
        </w:rPr>
        <w:t xml:space="preserve">на земельные участки, занятые линейными объектами или предназначенные для размещения линейных объектов, действие </w:t>
      </w:r>
      <w:proofErr w:type="gramStart"/>
      <w:r w:rsidRPr="00A66ADE">
        <w:rPr>
          <w:spacing w:val="-2"/>
        </w:rPr>
        <w:t>градостроительных</w:t>
      </w:r>
      <w:proofErr w:type="gramEnd"/>
      <w:r w:rsidRPr="00A66ADE">
        <w:rPr>
          <w:spacing w:val="-2"/>
        </w:rPr>
        <w:t xml:space="preserve"> регламентов </w:t>
      </w:r>
      <w:r w:rsidR="00380E8D">
        <w:rPr>
          <w:spacing w:val="-2"/>
        </w:rPr>
        <w:t xml:space="preserve">                                   </w:t>
      </w:r>
      <w:r w:rsidRPr="00A66ADE">
        <w:rPr>
          <w:spacing w:val="-2"/>
        </w:rPr>
        <w:t>не распространяется.</w:t>
      </w:r>
    </w:p>
    <w:p w:rsidR="001F396D" w:rsidRPr="00A66ADE" w:rsidRDefault="001F396D" w:rsidP="00380E8D">
      <w:pPr>
        <w:ind w:firstLine="709"/>
        <w:contextualSpacing/>
        <w:jc w:val="both"/>
        <w:rPr>
          <w:spacing w:val="-2"/>
        </w:rPr>
      </w:pPr>
      <w:r w:rsidRPr="00A66ADE">
        <w:rPr>
          <w:spacing w:val="-2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1F396D" w:rsidRPr="00A66ADE" w:rsidRDefault="001F396D" w:rsidP="00380E8D">
      <w:pPr>
        <w:ind w:firstLine="709"/>
        <w:contextualSpacing/>
        <w:jc w:val="both"/>
        <w:rPr>
          <w:spacing w:val="-2"/>
        </w:rPr>
      </w:pPr>
      <w:r w:rsidRPr="00A66ADE">
        <w:rPr>
          <w:spacing w:val="-2"/>
        </w:rPr>
        <w:t xml:space="preserve">Учитывая основные технические характеристики проектируемого объекта, проектом планировки территории определены границы зоны его планируемого размещения. </w:t>
      </w:r>
    </w:p>
    <w:p w:rsidR="001F396D" w:rsidRPr="00A66ADE" w:rsidRDefault="001F396D" w:rsidP="00380E8D">
      <w:pPr>
        <w:ind w:firstLine="709"/>
        <w:contextualSpacing/>
        <w:jc w:val="both"/>
        <w:rPr>
          <w:spacing w:val="-2"/>
        </w:rPr>
      </w:pPr>
      <w:r w:rsidRPr="00A66ADE">
        <w:rPr>
          <w:spacing w:val="-2"/>
        </w:rPr>
        <w:t>Граница зоны планируемого размещения объекта установлена в соответствии</w:t>
      </w:r>
      <w:r w:rsidR="00380E8D">
        <w:rPr>
          <w:spacing w:val="-2"/>
        </w:rPr>
        <w:t xml:space="preserve">                      </w:t>
      </w:r>
      <w:r w:rsidRPr="00A66ADE">
        <w:rPr>
          <w:spacing w:val="-2"/>
        </w:rPr>
        <w:t xml:space="preserve"> с требованиями норм отвода земель. </w:t>
      </w:r>
    </w:p>
    <w:p w:rsidR="001F396D" w:rsidRPr="00A66ADE" w:rsidRDefault="001F396D" w:rsidP="00380E8D">
      <w:pPr>
        <w:ind w:firstLine="709"/>
        <w:contextualSpacing/>
        <w:jc w:val="both"/>
        <w:rPr>
          <w:spacing w:val="-2"/>
        </w:rPr>
      </w:pPr>
      <w:r w:rsidRPr="00A66ADE">
        <w:rPr>
          <w:spacing w:val="-2"/>
        </w:rPr>
        <w:t>Общая зона планируемого размещения проектируемого объекта составляет                  0,5453 га.</w:t>
      </w:r>
    </w:p>
    <w:p w:rsidR="00380E8D" w:rsidRDefault="00380E8D" w:rsidP="00380E8D">
      <w:pPr>
        <w:suppressAutoHyphens/>
        <w:contextualSpacing/>
        <w:jc w:val="right"/>
      </w:pPr>
      <w:bookmarkStart w:id="8" w:name="_Hlk82179100"/>
    </w:p>
    <w:p w:rsidR="00380E8D" w:rsidRDefault="00380E8D" w:rsidP="00380E8D">
      <w:pPr>
        <w:suppressAutoHyphens/>
        <w:contextualSpacing/>
        <w:jc w:val="right"/>
      </w:pPr>
      <w:r>
        <w:t>Таблица 2</w:t>
      </w:r>
    </w:p>
    <w:p w:rsidR="00380E8D" w:rsidRDefault="00380E8D" w:rsidP="00380E8D">
      <w:pPr>
        <w:suppressAutoHyphens/>
        <w:contextualSpacing/>
        <w:jc w:val="right"/>
      </w:pPr>
    </w:p>
    <w:p w:rsidR="001F396D" w:rsidRDefault="001F396D" w:rsidP="00380E8D">
      <w:pPr>
        <w:suppressAutoHyphens/>
        <w:contextualSpacing/>
        <w:jc w:val="center"/>
      </w:pPr>
      <w:r w:rsidRPr="00A66ADE">
        <w:t>Площади земельных участков, необходимые для строительства и эксплуатации проектируемого объекта</w:t>
      </w:r>
    </w:p>
    <w:p w:rsidR="00380E8D" w:rsidRPr="00A66ADE" w:rsidRDefault="00380E8D" w:rsidP="00380E8D">
      <w:pPr>
        <w:suppressAutoHyphens/>
        <w:contextualSpacing/>
        <w:jc w:val="center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112"/>
        <w:gridCol w:w="2360"/>
        <w:gridCol w:w="1912"/>
        <w:gridCol w:w="1470"/>
      </w:tblGrid>
      <w:tr w:rsidR="001F396D" w:rsidRPr="00A66ADE" w:rsidTr="00380E8D">
        <w:trPr>
          <w:trHeight w:val="68"/>
        </w:trPr>
        <w:tc>
          <w:tcPr>
            <w:tcW w:w="2086" w:type="pct"/>
          </w:tcPr>
          <w:p w:rsidR="001F396D" w:rsidRPr="00A66ADE" w:rsidRDefault="001F396D" w:rsidP="00380E8D">
            <w:pPr>
              <w:jc w:val="center"/>
            </w:pPr>
            <w:bookmarkStart w:id="9" w:name="_Hlk82179106"/>
            <w:r w:rsidRPr="00A66ADE">
              <w:t>Наименование объекта</w:t>
            </w:r>
          </w:p>
        </w:tc>
        <w:tc>
          <w:tcPr>
            <w:tcW w:w="1197" w:type="pct"/>
          </w:tcPr>
          <w:p w:rsidR="001F396D" w:rsidRPr="00A66ADE" w:rsidRDefault="001F396D" w:rsidP="00380E8D">
            <w:pPr>
              <w:jc w:val="center"/>
            </w:pPr>
            <w:r w:rsidRPr="00A66ADE">
              <w:t>Площадь вновь испрашиваемых земельных участков, га</w:t>
            </w:r>
          </w:p>
        </w:tc>
        <w:tc>
          <w:tcPr>
            <w:tcW w:w="970" w:type="pct"/>
          </w:tcPr>
          <w:p w:rsidR="001F396D" w:rsidRPr="00A66ADE" w:rsidRDefault="001F396D" w:rsidP="00380E8D">
            <w:pPr>
              <w:jc w:val="center"/>
            </w:pPr>
            <w:r w:rsidRPr="00A66ADE">
              <w:t xml:space="preserve">Площадь по земельным участкам, арендованным ранее, </w:t>
            </w:r>
            <w:proofErr w:type="gramStart"/>
            <w:r w:rsidRPr="00A66ADE">
              <w:t>га</w:t>
            </w:r>
            <w:proofErr w:type="gramEnd"/>
          </w:p>
        </w:tc>
        <w:tc>
          <w:tcPr>
            <w:tcW w:w="746" w:type="pct"/>
          </w:tcPr>
          <w:p w:rsidR="001F396D" w:rsidRPr="00A66ADE" w:rsidRDefault="001F396D" w:rsidP="00380E8D">
            <w:pPr>
              <w:jc w:val="center"/>
            </w:pPr>
            <w:r w:rsidRPr="00A66ADE">
              <w:t xml:space="preserve">Зона застройки, </w:t>
            </w:r>
            <w:proofErr w:type="gramStart"/>
            <w:r w:rsidRPr="00A66ADE">
              <w:t>га</w:t>
            </w:r>
            <w:proofErr w:type="gramEnd"/>
          </w:p>
        </w:tc>
      </w:tr>
      <w:tr w:rsidR="001F396D" w:rsidRPr="00A66ADE" w:rsidTr="00380E8D">
        <w:trPr>
          <w:trHeight w:val="68"/>
        </w:trPr>
        <w:tc>
          <w:tcPr>
            <w:tcW w:w="2086" w:type="pct"/>
          </w:tcPr>
          <w:p w:rsidR="001F396D" w:rsidRPr="00A66ADE" w:rsidRDefault="001F396D" w:rsidP="00380E8D">
            <w:pPr>
              <w:jc w:val="center"/>
            </w:pPr>
            <w:r w:rsidRPr="00A66ADE">
              <w:t>«Трубопроводы Потанай-Картопьинского месторождения»</w:t>
            </w:r>
          </w:p>
        </w:tc>
        <w:tc>
          <w:tcPr>
            <w:tcW w:w="1197" w:type="pct"/>
          </w:tcPr>
          <w:p w:rsidR="001F396D" w:rsidRPr="00A66ADE" w:rsidRDefault="001F396D" w:rsidP="00380E8D">
            <w:pPr>
              <w:jc w:val="center"/>
              <w:rPr>
                <w:bCs/>
              </w:rPr>
            </w:pPr>
            <w:r w:rsidRPr="00A66ADE">
              <w:rPr>
                <w:bCs/>
              </w:rPr>
              <w:t>-</w:t>
            </w:r>
          </w:p>
        </w:tc>
        <w:tc>
          <w:tcPr>
            <w:tcW w:w="970" w:type="pct"/>
          </w:tcPr>
          <w:p w:rsidR="001F396D" w:rsidRPr="00A66ADE" w:rsidRDefault="001F396D" w:rsidP="00380E8D">
            <w:pPr>
              <w:jc w:val="center"/>
              <w:rPr>
                <w:bCs/>
              </w:rPr>
            </w:pPr>
            <w:r w:rsidRPr="00A66ADE">
              <w:rPr>
                <w:bCs/>
              </w:rPr>
              <w:t>0,5453</w:t>
            </w:r>
          </w:p>
        </w:tc>
        <w:tc>
          <w:tcPr>
            <w:tcW w:w="746" w:type="pct"/>
          </w:tcPr>
          <w:p w:rsidR="001F396D" w:rsidRPr="00A66ADE" w:rsidRDefault="001F396D" w:rsidP="00380E8D">
            <w:pPr>
              <w:jc w:val="center"/>
            </w:pPr>
            <w:r w:rsidRPr="00A66ADE">
              <w:rPr>
                <w:bCs/>
              </w:rPr>
              <w:t>0,5453</w:t>
            </w:r>
          </w:p>
        </w:tc>
      </w:tr>
      <w:bookmarkEnd w:id="9"/>
    </w:tbl>
    <w:p w:rsidR="001F396D" w:rsidRPr="00380E8D" w:rsidRDefault="001F396D" w:rsidP="00380E8D">
      <w:pPr>
        <w:suppressAutoHyphens/>
        <w:contextualSpacing/>
        <w:jc w:val="center"/>
      </w:pPr>
    </w:p>
    <w:p w:rsidR="00380E8D" w:rsidRDefault="001F396D" w:rsidP="00380E8D">
      <w:pPr>
        <w:keepNext/>
        <w:keepLines/>
        <w:contextualSpacing/>
        <w:jc w:val="center"/>
        <w:outlineLvl w:val="2"/>
        <w:rPr>
          <w:bCs/>
        </w:rPr>
      </w:pPr>
      <w:bookmarkStart w:id="10" w:name="_Toc499041859"/>
      <w:bookmarkEnd w:id="8"/>
      <w:r w:rsidRPr="00380E8D">
        <w:rPr>
          <w:rFonts w:eastAsia="Calibri"/>
          <w:bCs/>
          <w:iCs/>
        </w:rPr>
        <w:t>2.7</w:t>
      </w:r>
      <w:r w:rsidR="003D2EEB" w:rsidRPr="00380E8D">
        <w:rPr>
          <w:rFonts w:eastAsia="Calibri"/>
          <w:bCs/>
          <w:iCs/>
        </w:rPr>
        <w:t>.</w:t>
      </w:r>
      <w:r w:rsidRPr="00380E8D">
        <w:rPr>
          <w:rFonts w:eastAsia="Calibri"/>
          <w:bCs/>
          <w:iCs/>
        </w:rPr>
        <w:t xml:space="preserve"> </w:t>
      </w:r>
      <w:bookmarkEnd w:id="10"/>
      <w:r w:rsidRPr="00380E8D">
        <w:rPr>
          <w:bCs/>
        </w:rPr>
        <w:t xml:space="preserve">Информация о необходимости осуществления мероприятий по защите сохраняемых объектов капитального строительства,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</w:t>
      </w:r>
    </w:p>
    <w:p w:rsidR="001F396D" w:rsidRPr="00380E8D" w:rsidRDefault="001F396D" w:rsidP="00380E8D">
      <w:pPr>
        <w:keepNext/>
        <w:keepLines/>
        <w:contextualSpacing/>
        <w:jc w:val="center"/>
        <w:outlineLvl w:val="2"/>
        <w:rPr>
          <w:bCs/>
        </w:rPr>
      </w:pPr>
      <w:r w:rsidRPr="00380E8D">
        <w:rPr>
          <w:bCs/>
        </w:rPr>
        <w:t>по планировке территории, от возможного негативного воздействия в связи с размещением линейных объектов</w:t>
      </w:r>
    </w:p>
    <w:p w:rsidR="001F396D" w:rsidRPr="00380E8D" w:rsidRDefault="001F396D" w:rsidP="00380E8D">
      <w:pPr>
        <w:keepNext/>
        <w:keepLines/>
        <w:contextualSpacing/>
        <w:jc w:val="center"/>
        <w:outlineLvl w:val="2"/>
        <w:rPr>
          <w:bCs/>
        </w:rPr>
      </w:pPr>
    </w:p>
    <w:p w:rsidR="001F396D" w:rsidRDefault="001F396D" w:rsidP="00380E8D">
      <w:pPr>
        <w:ind w:firstLine="708"/>
        <w:contextualSpacing/>
        <w:jc w:val="both"/>
      </w:pPr>
      <w:r w:rsidRPr="00A66ADE">
        <w:t>Осуществление мероприятий по защите сохраняемых объектов капитального строительства (существующих и строящихся на момент подготовки проекта планировки территории) и объектов капитального строительства, планируемых к строительству</w:t>
      </w:r>
      <w:r w:rsidR="00380E8D">
        <w:t xml:space="preserve">                      </w:t>
      </w:r>
      <w:r w:rsidRPr="00A66ADE">
        <w:t xml:space="preserve"> в соответствии с ранее утвержденной документацией по планировке территории, </w:t>
      </w:r>
      <w:r w:rsidR="00380E8D">
        <w:t xml:space="preserve">                           </w:t>
      </w:r>
      <w:r w:rsidRPr="00A66ADE">
        <w:t>не предусмотрено.</w:t>
      </w:r>
    </w:p>
    <w:p w:rsidR="00772DAE" w:rsidRDefault="00772DAE" w:rsidP="00380E8D">
      <w:pPr>
        <w:ind w:firstLine="708"/>
        <w:contextualSpacing/>
        <w:jc w:val="both"/>
      </w:pPr>
    </w:p>
    <w:p w:rsidR="001F396D" w:rsidRPr="00772DAE" w:rsidRDefault="001F396D" w:rsidP="00772DAE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772DAE">
        <w:rPr>
          <w:rFonts w:eastAsia="Calibri"/>
          <w:bCs/>
          <w:iCs/>
        </w:rPr>
        <w:lastRenderedPageBreak/>
        <w:t>2.8</w:t>
      </w:r>
      <w:r w:rsidR="003D2EEB" w:rsidRPr="00772DAE">
        <w:rPr>
          <w:rFonts w:eastAsia="Calibri"/>
          <w:bCs/>
          <w:iCs/>
        </w:rPr>
        <w:t>.</w:t>
      </w:r>
      <w:r w:rsidRPr="00772DAE">
        <w:rPr>
          <w:rFonts w:eastAsia="Calibri"/>
          <w:bCs/>
          <w:iCs/>
        </w:rPr>
        <w:t xml:space="preserve">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</w:r>
    </w:p>
    <w:p w:rsidR="00380E8D" w:rsidRPr="00772DAE" w:rsidRDefault="00380E8D" w:rsidP="00772DAE">
      <w:pPr>
        <w:suppressAutoHyphens/>
        <w:contextualSpacing/>
        <w:jc w:val="center"/>
        <w:rPr>
          <w:color w:val="000000"/>
        </w:rPr>
      </w:pPr>
    </w:p>
    <w:p w:rsidR="001F396D" w:rsidRPr="00772DAE" w:rsidRDefault="001F396D" w:rsidP="00772DAE">
      <w:pPr>
        <w:suppressAutoHyphens/>
        <w:ind w:firstLine="709"/>
        <w:contextualSpacing/>
        <w:jc w:val="both"/>
        <w:rPr>
          <w:color w:val="000000"/>
        </w:rPr>
      </w:pPr>
      <w:proofErr w:type="gramStart"/>
      <w:r w:rsidRPr="00772DAE">
        <w:rPr>
          <w:color w:val="000000"/>
        </w:rPr>
        <w:t>На территории размещения проектируемого объекта, объекты культурного наследия, включенные в Единый государственный реестр объектов культурного наследия Российской Федерации, выявленные объекты культурного наследия и объекты, обладающие признаками объекта культурного наследия, отсутствуют.</w:t>
      </w:r>
      <w:proofErr w:type="gramEnd"/>
    </w:p>
    <w:p w:rsidR="001F396D" w:rsidRPr="00772DAE" w:rsidRDefault="001F396D" w:rsidP="00772DAE">
      <w:pPr>
        <w:suppressAutoHyphens/>
        <w:ind w:firstLine="709"/>
        <w:contextualSpacing/>
        <w:jc w:val="both"/>
        <w:rPr>
          <w:color w:val="000000"/>
        </w:rPr>
      </w:pPr>
      <w:r w:rsidRPr="00772DAE">
        <w:rPr>
          <w:color w:val="000000"/>
        </w:rPr>
        <w:t>Осуществление мероприятий по сохранению объектов культурного наследия</w:t>
      </w:r>
      <w:r w:rsidR="00772DAE">
        <w:rPr>
          <w:color w:val="000000"/>
        </w:rPr>
        <w:t xml:space="preserve">                 </w:t>
      </w:r>
      <w:r w:rsidRPr="00772DAE">
        <w:rPr>
          <w:color w:val="000000"/>
        </w:rPr>
        <w:t xml:space="preserve"> от возможного негативного воздействия в связи с размещением линейных объектов </w:t>
      </w:r>
      <w:r w:rsidR="00772DAE">
        <w:rPr>
          <w:color w:val="000000"/>
        </w:rPr>
        <w:t xml:space="preserve">                     </w:t>
      </w:r>
      <w:r w:rsidRPr="00772DAE">
        <w:rPr>
          <w:color w:val="000000"/>
        </w:rPr>
        <w:t>не требуется.</w:t>
      </w:r>
    </w:p>
    <w:p w:rsidR="001F396D" w:rsidRPr="00A66ADE" w:rsidRDefault="001F396D" w:rsidP="00772DAE">
      <w:pPr>
        <w:suppressAutoHyphens/>
        <w:ind w:firstLine="709"/>
        <w:contextualSpacing/>
        <w:jc w:val="both"/>
        <w:rPr>
          <w:color w:val="000000"/>
        </w:rPr>
      </w:pPr>
      <w:proofErr w:type="gramStart"/>
      <w:r w:rsidRPr="00772DAE">
        <w:rPr>
          <w:color w:val="000000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</w:t>
      </w:r>
      <w:r w:rsidR="00772DAE">
        <w:rPr>
          <w:color w:val="000000"/>
        </w:rPr>
        <w:t xml:space="preserve">               </w:t>
      </w:r>
      <w:r w:rsidRPr="00772DAE">
        <w:rPr>
          <w:color w:val="000000"/>
        </w:rPr>
        <w:t xml:space="preserve"> в случае обнаружения объекта, обладающего признаками объекта культурного наследия, </w:t>
      </w:r>
      <w:r w:rsidR="00772DAE">
        <w:rPr>
          <w:color w:val="000000"/>
        </w:rPr>
        <w:t xml:space="preserve">                </w:t>
      </w:r>
      <w:r w:rsidRPr="00772DAE">
        <w:rPr>
          <w:color w:val="000000"/>
        </w:rPr>
        <w:t>в том числе объекта археологического наследия, земляные, строительные, мелиоративные хозяйственные и иные работы должны быть приостановлены, и в течение трех дней, со дня обнаружения такого объекта, необходимо направить в</w:t>
      </w:r>
      <w:proofErr w:type="gramEnd"/>
      <w:r w:rsidRPr="00772DAE">
        <w:rPr>
          <w:color w:val="000000"/>
        </w:rPr>
        <w:t xml:space="preserve"> Службу государственной охраны объектов культурного наследия автономного округа письменное заявление об обнаруженном объекте культурного наследия</w:t>
      </w:r>
      <w:r w:rsidRPr="00A66ADE">
        <w:rPr>
          <w:color w:val="000000"/>
        </w:rPr>
        <w:t>.</w:t>
      </w:r>
    </w:p>
    <w:p w:rsidR="001F396D" w:rsidRPr="00772DAE" w:rsidRDefault="001F396D" w:rsidP="00772DAE">
      <w:pPr>
        <w:suppressAutoHyphens/>
        <w:contextualSpacing/>
        <w:jc w:val="center"/>
        <w:rPr>
          <w:color w:val="000000"/>
        </w:rPr>
      </w:pPr>
    </w:p>
    <w:p w:rsidR="00772DAE" w:rsidRDefault="001F396D" w:rsidP="00772DAE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772DAE">
        <w:rPr>
          <w:rFonts w:eastAsia="Calibri"/>
          <w:bCs/>
          <w:iCs/>
        </w:rPr>
        <w:t>2.9</w:t>
      </w:r>
      <w:r w:rsidR="003D2EEB" w:rsidRPr="00772DAE">
        <w:rPr>
          <w:rFonts w:eastAsia="Calibri"/>
          <w:bCs/>
          <w:iCs/>
        </w:rPr>
        <w:t>.</w:t>
      </w:r>
      <w:r w:rsidRPr="00772DAE">
        <w:rPr>
          <w:rFonts w:eastAsia="Calibri"/>
          <w:bCs/>
          <w:iCs/>
        </w:rPr>
        <w:t xml:space="preserve"> Информация о необходимости осуществления мероприятий по охране </w:t>
      </w:r>
    </w:p>
    <w:p w:rsidR="001F396D" w:rsidRPr="00772DAE" w:rsidRDefault="001F396D" w:rsidP="00772DAE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772DAE">
        <w:rPr>
          <w:rFonts w:eastAsia="Calibri"/>
          <w:bCs/>
          <w:iCs/>
        </w:rPr>
        <w:t>окружающей среды</w:t>
      </w:r>
    </w:p>
    <w:p w:rsidR="00772DAE" w:rsidRPr="00772DAE" w:rsidRDefault="00772DAE" w:rsidP="001F396D">
      <w:pPr>
        <w:jc w:val="center"/>
        <w:rPr>
          <w:rFonts w:eastAsia="Calibri"/>
          <w:iCs/>
          <w:snapToGrid w:val="0"/>
          <w:spacing w:val="2"/>
        </w:rPr>
      </w:pPr>
    </w:p>
    <w:p w:rsidR="001F396D" w:rsidRPr="00772DAE" w:rsidRDefault="001F396D" w:rsidP="001F396D">
      <w:pPr>
        <w:jc w:val="center"/>
        <w:rPr>
          <w:rFonts w:eastAsia="Calibri"/>
          <w:iCs/>
          <w:snapToGrid w:val="0"/>
          <w:spacing w:val="2"/>
        </w:rPr>
      </w:pPr>
      <w:r w:rsidRPr="00772DAE">
        <w:rPr>
          <w:rFonts w:eastAsia="Calibri"/>
          <w:iCs/>
          <w:snapToGrid w:val="0"/>
          <w:spacing w:val="2"/>
        </w:rPr>
        <w:t>Мероприятия по охране атмосферного воздуха</w:t>
      </w:r>
    </w:p>
    <w:p w:rsidR="00772DAE" w:rsidRPr="00772DAE" w:rsidRDefault="00772DAE" w:rsidP="001F396D">
      <w:pPr>
        <w:jc w:val="center"/>
        <w:rPr>
          <w:rFonts w:eastAsia="Calibri"/>
          <w:iCs/>
          <w:snapToGrid w:val="0"/>
          <w:spacing w:val="2"/>
        </w:rPr>
      </w:pP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Для уменьшения вредного воздействия на атмосферный воздух в период строительства необходимо выполнять следующие мероприятия: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выбор строительных машин, оборудования и транспортных средств необходимо производить с учетом минимального количества выделяемых токсичных газов при работе;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 xml:space="preserve">до начала строительных работ система питания двигателей дорожно-строительных и транспортных машин должна быть отрегулирована. Содержание выбросов вредных веществ с отработанными газами дизелей должно соответствовать ГОСТ </w:t>
      </w:r>
      <w:proofErr w:type="gramStart"/>
      <w:r w:rsidRPr="00A66ADE">
        <w:rPr>
          <w:color w:val="000000"/>
        </w:rPr>
        <w:t>Р</w:t>
      </w:r>
      <w:proofErr w:type="gramEnd"/>
      <w:r w:rsidRPr="00A66ADE">
        <w:rPr>
          <w:color w:val="000000"/>
        </w:rPr>
        <w:t xml:space="preserve"> 41.96-2011;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 xml:space="preserve">при </w:t>
      </w:r>
      <w:proofErr w:type="gramStart"/>
      <w:r w:rsidRPr="00A66ADE">
        <w:rPr>
          <w:color w:val="000000"/>
        </w:rPr>
        <w:t>производстве</w:t>
      </w:r>
      <w:proofErr w:type="gramEnd"/>
      <w:r w:rsidRPr="00A66ADE">
        <w:rPr>
          <w:color w:val="000000"/>
        </w:rPr>
        <w:t xml:space="preserve"> строительно-монтажных работ не допускать запыленности и загазованности воздуха сверх предельно-допустимых концентраций.</w:t>
      </w:r>
    </w:p>
    <w:p w:rsidR="00772DAE" w:rsidRPr="00772DAE" w:rsidRDefault="00772DAE" w:rsidP="00772DAE">
      <w:pPr>
        <w:jc w:val="center"/>
        <w:rPr>
          <w:rFonts w:eastAsia="Calibri"/>
          <w:iCs/>
          <w:snapToGrid w:val="0"/>
          <w:spacing w:val="2"/>
        </w:rPr>
      </w:pPr>
    </w:p>
    <w:p w:rsidR="001F396D" w:rsidRPr="00772DAE" w:rsidRDefault="001F396D" w:rsidP="00772DAE">
      <w:pPr>
        <w:jc w:val="center"/>
        <w:rPr>
          <w:rFonts w:eastAsia="Calibri"/>
          <w:iCs/>
          <w:snapToGrid w:val="0"/>
          <w:spacing w:val="2"/>
        </w:rPr>
      </w:pPr>
      <w:r w:rsidRPr="00772DAE">
        <w:rPr>
          <w:rFonts w:eastAsia="Calibri"/>
          <w:iCs/>
          <w:snapToGrid w:val="0"/>
          <w:spacing w:val="2"/>
        </w:rPr>
        <w:t>Мероприятия по охране и рациональному использованию земельных ресурсов и почвенного покрова</w:t>
      </w:r>
    </w:p>
    <w:p w:rsidR="00772DAE" w:rsidRPr="00772DAE" w:rsidRDefault="00772DAE" w:rsidP="00772DAE">
      <w:pPr>
        <w:jc w:val="center"/>
        <w:rPr>
          <w:rFonts w:eastAsia="Calibri"/>
          <w:iCs/>
          <w:snapToGrid w:val="0"/>
          <w:spacing w:val="2"/>
        </w:rPr>
      </w:pP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 xml:space="preserve">Для снижения отрицательного воздействия при </w:t>
      </w:r>
      <w:proofErr w:type="gramStart"/>
      <w:r w:rsidRPr="00A66ADE">
        <w:rPr>
          <w:color w:val="000000"/>
        </w:rPr>
        <w:t>строительстве</w:t>
      </w:r>
      <w:proofErr w:type="gramEnd"/>
      <w:r w:rsidRPr="00A66ADE">
        <w:rPr>
          <w:color w:val="000000"/>
        </w:rPr>
        <w:t xml:space="preserve"> предусмотрены следующие мероприятия: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рекультивация нарушенных земель;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использование существующих сетей автомобильных дорог для передвижения строительного транспорта и строительной техники, для доставки строительных материалов;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стоянка и заправка строительных механизмов ГСМ производятся на специальной площадке для стоянки и заправки с устройством непроницаемого твердого покрытия; не допуская их пролив и попадание на грунт, применение для заправки ведер и другой открытой посуды, а также не допускается хранение ГСМ в открытых емкостях;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слив отработанных ГСМ производить только в местах базирования строительной техники и только в предназначенные для этого емкости;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устройство площадки для накопления строительных отходов;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накопление отходов на существующих на территории предприятия специальных площадках, для исключения образования неорганизованных свалок;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lastRenderedPageBreak/>
        <w:t>сбор и утилизация на полигон отходов всех образующихся в период строительства и эксплуатации отходов потреблени</w:t>
      </w:r>
      <w:r w:rsidR="00772DAE">
        <w:rPr>
          <w:color w:val="000000"/>
        </w:rPr>
        <w:t>я и производства;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для восстановления существовавшей до начала строительства системы местного стока расчищаются ложбины временного стока от грунта, попадающего в них во время земляных работ.</w:t>
      </w:r>
    </w:p>
    <w:p w:rsidR="00772DAE" w:rsidRPr="00772DAE" w:rsidRDefault="00772DAE" w:rsidP="00772DAE">
      <w:pPr>
        <w:jc w:val="center"/>
        <w:rPr>
          <w:rFonts w:eastAsia="Calibri"/>
          <w:iCs/>
          <w:snapToGrid w:val="0"/>
          <w:spacing w:val="2"/>
        </w:rPr>
      </w:pPr>
    </w:p>
    <w:p w:rsidR="001F396D" w:rsidRPr="00772DAE" w:rsidRDefault="001F396D" w:rsidP="00772DAE">
      <w:pPr>
        <w:jc w:val="center"/>
        <w:rPr>
          <w:rFonts w:eastAsia="Calibri"/>
          <w:iCs/>
          <w:snapToGrid w:val="0"/>
          <w:spacing w:val="2"/>
        </w:rPr>
      </w:pPr>
      <w:r w:rsidRPr="00772DAE">
        <w:rPr>
          <w:rFonts w:eastAsia="Calibri"/>
          <w:iCs/>
          <w:snapToGrid w:val="0"/>
          <w:spacing w:val="2"/>
        </w:rPr>
        <w:t>Мероприятия по охране недр и подземных вод</w:t>
      </w:r>
    </w:p>
    <w:p w:rsidR="00772DAE" w:rsidRPr="00772DAE" w:rsidRDefault="00772DAE" w:rsidP="00772DAE">
      <w:pPr>
        <w:jc w:val="center"/>
        <w:rPr>
          <w:rFonts w:eastAsia="Calibri"/>
          <w:iCs/>
          <w:snapToGrid w:val="0"/>
          <w:spacing w:val="2"/>
        </w:rPr>
      </w:pPr>
    </w:p>
    <w:p w:rsidR="001F396D" w:rsidRPr="00772DAE" w:rsidRDefault="001F396D" w:rsidP="00772DAE">
      <w:pPr>
        <w:suppressAutoHyphens/>
        <w:ind w:firstLine="709"/>
        <w:jc w:val="both"/>
        <w:rPr>
          <w:color w:val="000000"/>
        </w:rPr>
      </w:pPr>
      <w:r w:rsidRPr="00772DAE">
        <w:rPr>
          <w:color w:val="000000"/>
        </w:rPr>
        <w:t>Для снижения и предотвращения воздействия на недра проектом предусмотрены</w:t>
      </w:r>
      <w:r w:rsidR="00772DAE">
        <w:rPr>
          <w:color w:val="000000"/>
        </w:rPr>
        <w:t xml:space="preserve">                 </w:t>
      </w:r>
      <w:r w:rsidRPr="00772DAE">
        <w:rPr>
          <w:color w:val="000000"/>
        </w:rPr>
        <w:t xml:space="preserve"> в соответствии с «Правилами охраны недр» следующие мероприятия и технологические решения: </w:t>
      </w:r>
    </w:p>
    <w:p w:rsidR="001F396D" w:rsidRPr="00772DAE" w:rsidRDefault="001F396D" w:rsidP="00772DAE">
      <w:pPr>
        <w:suppressAutoHyphens/>
        <w:ind w:firstLine="709"/>
        <w:jc w:val="both"/>
        <w:rPr>
          <w:color w:val="000000"/>
        </w:rPr>
      </w:pPr>
      <w:r w:rsidRPr="00772DAE">
        <w:rPr>
          <w:color w:val="000000"/>
        </w:rPr>
        <w:t xml:space="preserve">проведение СМР строго в границах отведенной территории; </w:t>
      </w:r>
    </w:p>
    <w:p w:rsidR="001F396D" w:rsidRPr="00772DAE" w:rsidRDefault="001F396D" w:rsidP="00772DAE">
      <w:pPr>
        <w:suppressAutoHyphens/>
        <w:ind w:firstLine="709"/>
        <w:jc w:val="both"/>
        <w:rPr>
          <w:color w:val="000000"/>
        </w:rPr>
      </w:pPr>
      <w:r w:rsidRPr="00772DAE">
        <w:rPr>
          <w:color w:val="000000"/>
        </w:rPr>
        <w:t xml:space="preserve">рекультивация земель, нарушенных при </w:t>
      </w:r>
      <w:proofErr w:type="gramStart"/>
      <w:r w:rsidRPr="00772DAE">
        <w:rPr>
          <w:color w:val="000000"/>
        </w:rPr>
        <w:t>производстве</w:t>
      </w:r>
      <w:proofErr w:type="gramEnd"/>
      <w:r w:rsidRPr="00772DAE">
        <w:rPr>
          <w:color w:val="000000"/>
        </w:rPr>
        <w:t xml:space="preserve"> строительных работ; </w:t>
      </w:r>
    </w:p>
    <w:p w:rsidR="001F396D" w:rsidRPr="00772DAE" w:rsidRDefault="001F396D" w:rsidP="00772DAE">
      <w:pPr>
        <w:suppressAutoHyphens/>
        <w:ind w:firstLine="709"/>
        <w:jc w:val="both"/>
        <w:rPr>
          <w:color w:val="000000"/>
        </w:rPr>
      </w:pPr>
      <w:r w:rsidRPr="00772DAE">
        <w:rPr>
          <w:color w:val="000000"/>
        </w:rPr>
        <w:t xml:space="preserve">предотвращение загрязнения недр (водоемов, почв); </w:t>
      </w:r>
    </w:p>
    <w:p w:rsidR="001F396D" w:rsidRPr="00772DAE" w:rsidRDefault="001F396D" w:rsidP="00772DAE">
      <w:pPr>
        <w:suppressAutoHyphens/>
        <w:ind w:firstLine="709"/>
        <w:jc w:val="both"/>
        <w:rPr>
          <w:color w:val="000000"/>
        </w:rPr>
      </w:pPr>
      <w:r w:rsidRPr="00772DAE">
        <w:rPr>
          <w:color w:val="000000"/>
        </w:rPr>
        <w:t xml:space="preserve">вывоз сточных вод, производственных и хозяйственно-бытовых отходов;  </w:t>
      </w:r>
    </w:p>
    <w:p w:rsidR="001F396D" w:rsidRPr="00772DAE" w:rsidRDefault="001F396D" w:rsidP="00772DAE">
      <w:pPr>
        <w:suppressAutoHyphens/>
        <w:ind w:firstLine="709"/>
        <w:jc w:val="both"/>
        <w:rPr>
          <w:color w:val="000000"/>
        </w:rPr>
      </w:pPr>
      <w:r w:rsidRPr="00772DAE">
        <w:rPr>
          <w:color w:val="000000"/>
        </w:rPr>
        <w:t xml:space="preserve">надежная защита оборудования и коммуникаций от коррозионного воздействия; </w:t>
      </w:r>
    </w:p>
    <w:p w:rsidR="001F396D" w:rsidRPr="00772DAE" w:rsidRDefault="001F396D" w:rsidP="00772DAE">
      <w:pPr>
        <w:suppressAutoHyphens/>
        <w:ind w:firstLine="709"/>
        <w:jc w:val="both"/>
        <w:rPr>
          <w:color w:val="000000"/>
        </w:rPr>
      </w:pPr>
      <w:r w:rsidRPr="00772DAE">
        <w:rPr>
          <w:color w:val="000000"/>
        </w:rPr>
        <w:t xml:space="preserve">своевременная ликвидация возможных аварий при разгерметизации оборудования; </w:t>
      </w:r>
    </w:p>
    <w:p w:rsidR="001F396D" w:rsidRPr="00772DAE" w:rsidRDefault="001F396D" w:rsidP="00772DAE">
      <w:pPr>
        <w:suppressAutoHyphens/>
        <w:ind w:firstLine="709"/>
        <w:jc w:val="both"/>
        <w:rPr>
          <w:color w:val="000000"/>
        </w:rPr>
      </w:pPr>
      <w:r w:rsidRPr="00772DAE">
        <w:rPr>
          <w:color w:val="000000"/>
        </w:rPr>
        <w:t>сбор хозяйственно-бытовых сточных вод</w:t>
      </w:r>
      <w:r w:rsidR="00772DAE">
        <w:rPr>
          <w:color w:val="000000"/>
        </w:rPr>
        <w:t xml:space="preserve"> в септике, по мере накопления -</w:t>
      </w:r>
      <w:r w:rsidRPr="00772DAE">
        <w:rPr>
          <w:color w:val="000000"/>
        </w:rPr>
        <w:t xml:space="preserve"> вывоз </w:t>
      </w:r>
      <w:r w:rsidR="00772DAE">
        <w:rPr>
          <w:color w:val="000000"/>
        </w:rPr>
        <w:t xml:space="preserve">                 </w:t>
      </w:r>
      <w:r w:rsidRPr="00772DAE">
        <w:rPr>
          <w:color w:val="000000"/>
        </w:rPr>
        <w:t xml:space="preserve">на очистные сооружения; </w:t>
      </w:r>
    </w:p>
    <w:p w:rsidR="001F396D" w:rsidRPr="00772DAE" w:rsidRDefault="001F396D" w:rsidP="00772DAE">
      <w:pPr>
        <w:suppressAutoHyphens/>
        <w:ind w:firstLine="709"/>
        <w:jc w:val="both"/>
        <w:rPr>
          <w:color w:val="000000"/>
        </w:rPr>
      </w:pPr>
      <w:r w:rsidRPr="00772DAE">
        <w:rPr>
          <w:color w:val="000000"/>
        </w:rPr>
        <w:t xml:space="preserve">оборудование мест накопления отходов производств и потребления на период строительства и эксплуатации; 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772DAE">
        <w:rPr>
          <w:color w:val="000000"/>
        </w:rPr>
        <w:t>осуществление заправки спецтехники с применением поддонов для исключения разливов топлива на поверхность земли</w:t>
      </w:r>
      <w:r w:rsidR="00772DAE">
        <w:rPr>
          <w:color w:val="000000"/>
        </w:rPr>
        <w:t>.</w:t>
      </w:r>
    </w:p>
    <w:p w:rsidR="00772DAE" w:rsidRPr="00772DAE" w:rsidRDefault="00772DAE" w:rsidP="001F396D">
      <w:pPr>
        <w:jc w:val="center"/>
        <w:rPr>
          <w:rFonts w:eastAsia="Calibri"/>
          <w:iCs/>
          <w:snapToGrid w:val="0"/>
          <w:spacing w:val="2"/>
        </w:rPr>
      </w:pPr>
    </w:p>
    <w:p w:rsidR="001F396D" w:rsidRPr="00772DAE" w:rsidRDefault="001F396D" w:rsidP="001F396D">
      <w:pPr>
        <w:jc w:val="center"/>
        <w:rPr>
          <w:rFonts w:eastAsia="Calibri"/>
          <w:iCs/>
          <w:snapToGrid w:val="0"/>
          <w:spacing w:val="2"/>
        </w:rPr>
      </w:pPr>
      <w:r w:rsidRPr="00772DAE">
        <w:rPr>
          <w:rFonts w:eastAsia="Calibri"/>
          <w:iCs/>
          <w:snapToGrid w:val="0"/>
          <w:spacing w:val="2"/>
        </w:rPr>
        <w:t xml:space="preserve">Мероприятия по охране объектов растительного мира и </w:t>
      </w:r>
      <w:r w:rsidRPr="00772DAE">
        <w:rPr>
          <w:rFonts w:eastAsia="Calibri"/>
          <w:iCs/>
          <w:snapToGrid w:val="0"/>
          <w:spacing w:val="2"/>
        </w:rPr>
        <w:br/>
        <w:t>среды их обитания</w:t>
      </w:r>
    </w:p>
    <w:p w:rsidR="00772DAE" w:rsidRPr="00772DAE" w:rsidRDefault="00772DAE" w:rsidP="001F396D">
      <w:pPr>
        <w:jc w:val="center"/>
        <w:rPr>
          <w:rFonts w:eastAsia="Calibri"/>
          <w:iCs/>
          <w:snapToGrid w:val="0"/>
          <w:spacing w:val="2"/>
        </w:rPr>
      </w:pP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В целях минимизации отрицательного влияния на почвенно-растительный покров проектом предусматривается: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соблюдение границ землеотвода;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запрещение использования неисправных, пожароопасных транспортных и строительно-монтажных средств;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запрещение хранения горюче-смазочных материалов, заправки техники, ремонта автомобилей в непредусмотренных для этих целей местах;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уборка строительного мусора, выравнивание ям, котлованов и траншей;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рекультивация нарушенных земель;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>сбор строительного мусора и отходов в инвентарные контейнеры, складирование строительных материалов и отходов строительства осуществлять на специально отведенных бетонированных площадках с последующим вывозом для утилизации;</w:t>
      </w:r>
    </w:p>
    <w:p w:rsidR="001F396D" w:rsidRPr="00A66ADE" w:rsidRDefault="001F396D" w:rsidP="00772DAE">
      <w:pPr>
        <w:suppressAutoHyphens/>
        <w:ind w:firstLine="709"/>
        <w:jc w:val="both"/>
        <w:rPr>
          <w:color w:val="000000"/>
        </w:rPr>
      </w:pPr>
      <w:r w:rsidRPr="00A66ADE">
        <w:rPr>
          <w:color w:val="000000"/>
        </w:rPr>
        <w:t xml:space="preserve">запрещение несанкционированных свалок на строительных площадках и </w:t>
      </w:r>
      <w:r w:rsidR="00772DAE">
        <w:rPr>
          <w:color w:val="000000"/>
        </w:rPr>
        <w:t xml:space="preserve">                          </w:t>
      </w:r>
      <w:r w:rsidRPr="00A66ADE">
        <w:rPr>
          <w:color w:val="000000"/>
        </w:rPr>
        <w:t>за территорией строительства;</w:t>
      </w:r>
    </w:p>
    <w:p w:rsidR="001F396D" w:rsidRPr="00A66ADE" w:rsidRDefault="001F396D" w:rsidP="00772DAE">
      <w:pPr>
        <w:suppressAutoHyphens/>
        <w:ind w:firstLine="709"/>
        <w:contextualSpacing/>
        <w:jc w:val="both"/>
        <w:rPr>
          <w:color w:val="000000"/>
        </w:rPr>
      </w:pPr>
      <w:r w:rsidRPr="00A66ADE">
        <w:rPr>
          <w:color w:val="000000"/>
        </w:rPr>
        <w:t>утилизация отходов на основании договоров со специализированными предприятиями, имеющими лицензии по сбору, использованию, обезвреживанию, транспортировке, размещению опасных отходов.</w:t>
      </w:r>
    </w:p>
    <w:p w:rsidR="001F396D" w:rsidRPr="00A66ADE" w:rsidRDefault="001F396D" w:rsidP="001F396D">
      <w:pPr>
        <w:suppressAutoHyphens/>
        <w:ind w:firstLine="709"/>
        <w:contextualSpacing/>
        <w:jc w:val="both"/>
        <w:rPr>
          <w:color w:val="000000"/>
        </w:rPr>
      </w:pPr>
    </w:p>
    <w:p w:rsidR="00772DAE" w:rsidRDefault="001F396D" w:rsidP="00772DAE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772DAE">
        <w:rPr>
          <w:rFonts w:eastAsia="Calibri"/>
          <w:bCs/>
          <w:iCs/>
        </w:rPr>
        <w:t>2.10</w:t>
      </w:r>
      <w:r w:rsidR="003D2EEB" w:rsidRPr="00772DAE">
        <w:rPr>
          <w:rFonts w:eastAsia="Calibri"/>
          <w:bCs/>
          <w:iCs/>
        </w:rPr>
        <w:t>.</w:t>
      </w:r>
      <w:r w:rsidRPr="00772DAE">
        <w:rPr>
          <w:rFonts w:eastAsia="Calibri"/>
          <w:bCs/>
          <w:iCs/>
        </w:rPr>
        <w:t xml:space="preserve"> Информация о необходимости осуществления мероприятий по защите территории </w:t>
      </w:r>
    </w:p>
    <w:p w:rsidR="00772DAE" w:rsidRDefault="001F396D" w:rsidP="00772DAE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772DAE">
        <w:rPr>
          <w:rFonts w:eastAsia="Calibri"/>
          <w:bCs/>
          <w:iCs/>
        </w:rPr>
        <w:t xml:space="preserve">от чрезвычайных ситуаций природного и техногенного характера, в том числе </w:t>
      </w:r>
    </w:p>
    <w:p w:rsidR="001F396D" w:rsidRPr="00772DAE" w:rsidRDefault="001F396D" w:rsidP="00772DAE">
      <w:pPr>
        <w:keepNext/>
        <w:keepLines/>
        <w:contextualSpacing/>
        <w:jc w:val="center"/>
        <w:outlineLvl w:val="2"/>
        <w:rPr>
          <w:rFonts w:eastAsia="Calibri"/>
          <w:bCs/>
          <w:iCs/>
        </w:rPr>
      </w:pPr>
      <w:r w:rsidRPr="00772DAE">
        <w:rPr>
          <w:rFonts w:eastAsia="Calibri"/>
          <w:bCs/>
          <w:iCs/>
        </w:rPr>
        <w:t>по обеспечению пожарной безопасности и гражданской обороне</w:t>
      </w:r>
    </w:p>
    <w:p w:rsidR="00772DAE" w:rsidRDefault="00772DAE" w:rsidP="001F396D">
      <w:pPr>
        <w:tabs>
          <w:tab w:val="left" w:pos="567"/>
          <w:tab w:val="left" w:pos="993"/>
          <w:tab w:val="num" w:pos="1843"/>
        </w:tabs>
        <w:ind w:firstLine="709"/>
        <w:contextualSpacing/>
        <w:jc w:val="both"/>
        <w:rPr>
          <w:color w:val="000000"/>
        </w:rPr>
      </w:pPr>
      <w:bookmarkStart w:id="11" w:name="_Toc362526372"/>
      <w:bookmarkStart w:id="12" w:name="_Toc375899906"/>
      <w:bookmarkStart w:id="13" w:name="_Toc375644206"/>
      <w:bookmarkStart w:id="14" w:name="_Toc418540410"/>
      <w:bookmarkStart w:id="15" w:name="_Toc439806846"/>
      <w:bookmarkStart w:id="16" w:name="_Toc499041862"/>
    </w:p>
    <w:p w:rsidR="001F396D" w:rsidRPr="00A66ADE" w:rsidRDefault="001F396D" w:rsidP="00772DAE">
      <w:pPr>
        <w:tabs>
          <w:tab w:val="left" w:pos="567"/>
          <w:tab w:val="left" w:pos="993"/>
          <w:tab w:val="num" w:pos="1843"/>
        </w:tabs>
        <w:ind w:firstLine="709"/>
        <w:contextualSpacing/>
        <w:jc w:val="both"/>
        <w:rPr>
          <w:color w:val="000000"/>
        </w:rPr>
      </w:pPr>
      <w:proofErr w:type="gramStart"/>
      <w:r w:rsidRPr="00A66ADE">
        <w:rPr>
          <w:color w:val="000000"/>
        </w:rPr>
        <w:t xml:space="preserve">В целях обеспечения защиты основных производственных фондов, снижения возможных потерь и разрушений в чрезвычайных ситуациях, для обеспечения взрывопожаробезопасности проектируемого объекта, предупреждения развития аварий и </w:t>
      </w:r>
      <w:r w:rsidRPr="00A66ADE">
        <w:rPr>
          <w:color w:val="000000"/>
        </w:rPr>
        <w:lastRenderedPageBreak/>
        <w:t>выбросов опасных веществ при строительстве и эксплуатации объекта необходимо предусмотреть мероприятия по защите территории от чрезвычайных ситуаций природного и техногенного характера и принять меры по обеспечению пожарной безопасности и гражданской обороне проектируемого объекта.</w:t>
      </w:r>
      <w:proofErr w:type="gramEnd"/>
    </w:p>
    <w:p w:rsidR="001F396D" w:rsidRPr="00A66ADE" w:rsidRDefault="001F396D" w:rsidP="00772DAE">
      <w:pPr>
        <w:tabs>
          <w:tab w:val="left" w:pos="567"/>
          <w:tab w:val="left" w:pos="993"/>
          <w:tab w:val="num" w:pos="1843"/>
        </w:tabs>
        <w:ind w:firstLine="709"/>
        <w:contextualSpacing/>
        <w:jc w:val="both"/>
        <w:rPr>
          <w:color w:val="000000"/>
        </w:rPr>
      </w:pPr>
      <w:proofErr w:type="gramStart"/>
      <w:r w:rsidRPr="00A66ADE">
        <w:rPr>
          <w:color w:val="000000"/>
        </w:rPr>
        <w:t xml:space="preserve">В соответствии с пунктом 14 статьи 48 Градостроительного кодекса Российской Федерации мероприятия по гражданской обороне и предупреждению чрезвычайных ситуаций разрабатываются в составе проектной документации особо опасных, технически сложных и уникальных, а также опасных производственных объектов, определяемых </w:t>
      </w:r>
      <w:r w:rsidR="00772DAE">
        <w:rPr>
          <w:color w:val="000000"/>
        </w:rPr>
        <w:t xml:space="preserve">                   </w:t>
      </w:r>
      <w:r w:rsidRPr="00A66ADE">
        <w:rPr>
          <w:color w:val="000000"/>
        </w:rPr>
        <w:t xml:space="preserve">в соответствии с </w:t>
      </w:r>
      <w:r w:rsidR="00BE17FF" w:rsidRPr="00A66ADE">
        <w:rPr>
          <w:color w:val="000000"/>
        </w:rPr>
        <w:t>Федеральным законом от 21 декабря 1994 года № 68-ФЗ «О защите населения и территории от чрезвычайных ситуаций приро</w:t>
      </w:r>
      <w:r w:rsidR="00BE17FF">
        <w:rPr>
          <w:color w:val="000000"/>
        </w:rPr>
        <w:t>дного и техногенного характера» и</w:t>
      </w:r>
      <w:proofErr w:type="gramEnd"/>
      <w:r w:rsidR="00BE17FF">
        <w:rPr>
          <w:color w:val="000000"/>
        </w:rPr>
        <w:t xml:space="preserve"> </w:t>
      </w:r>
      <w:r w:rsidRPr="00A66ADE">
        <w:rPr>
          <w:color w:val="000000"/>
        </w:rPr>
        <w:t xml:space="preserve">Федеральным законом от 21 июля 1997 года № 116-ФЗ «О промышленной безопасности </w:t>
      </w:r>
      <w:proofErr w:type="gramStart"/>
      <w:r w:rsidRPr="00A66ADE">
        <w:rPr>
          <w:color w:val="000000"/>
        </w:rPr>
        <w:t>опасн</w:t>
      </w:r>
      <w:r w:rsidR="00BE17FF">
        <w:rPr>
          <w:color w:val="000000"/>
        </w:rPr>
        <w:t>ых</w:t>
      </w:r>
      <w:proofErr w:type="gramEnd"/>
      <w:r w:rsidR="00BE17FF">
        <w:rPr>
          <w:color w:val="000000"/>
        </w:rPr>
        <w:t xml:space="preserve"> производственных объектов».</w:t>
      </w:r>
    </w:p>
    <w:p w:rsidR="001F396D" w:rsidRPr="009F11AE" w:rsidRDefault="001F396D" w:rsidP="00772DAE">
      <w:pPr>
        <w:tabs>
          <w:tab w:val="left" w:pos="567"/>
          <w:tab w:val="left" w:pos="993"/>
          <w:tab w:val="num" w:pos="1843"/>
        </w:tabs>
        <w:ind w:firstLine="709"/>
        <w:contextualSpacing/>
        <w:jc w:val="both"/>
        <w:rPr>
          <w:rFonts w:eastAsia="ArialMT"/>
        </w:rPr>
      </w:pPr>
      <w:r w:rsidRPr="00A66ADE">
        <w:rPr>
          <w:color w:val="000000"/>
        </w:rPr>
        <w:t>В соответствии с Федеральным законом от 22 июля 2008 года № 123-ФЗ «Технический регламент о требованиях пожарной безопасности» каждый объект защиты должен иметь систему обеспечения пожарной безопасности. Целью создания такой системы является предотвращение пожара, обеспечение безопасности людей и защита имущества при пожаре. При проектировании и строительстве объекта необходимо предусмотреть систему обеспечения пожарной безопасности</w:t>
      </w:r>
      <w:r w:rsidRPr="00A66ADE">
        <w:rPr>
          <w:rFonts w:eastAsia="ArialMT"/>
        </w:rPr>
        <w:t>.</w:t>
      </w:r>
      <w:bookmarkEnd w:id="11"/>
      <w:bookmarkEnd w:id="12"/>
      <w:bookmarkEnd w:id="13"/>
      <w:bookmarkEnd w:id="14"/>
      <w:bookmarkEnd w:id="15"/>
      <w:bookmarkEnd w:id="16"/>
    </w:p>
    <w:p w:rsidR="00A44996" w:rsidRDefault="00A44996" w:rsidP="00116FCD">
      <w:pPr>
        <w:tabs>
          <w:tab w:val="left" w:pos="4962"/>
        </w:tabs>
        <w:ind w:left="4962"/>
      </w:pPr>
    </w:p>
    <w:sectPr w:rsidR="00A44996" w:rsidSect="00380E8D">
      <w:headerReference w:type="even" r:id="rId12"/>
      <w:headerReference w:type="default" r:id="rId13"/>
      <w:pgSz w:w="11906" w:h="16838" w:code="9"/>
      <w:pgMar w:top="1134" w:right="567" w:bottom="992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49" w:rsidRDefault="007A4049">
      <w:r>
        <w:separator/>
      </w:r>
    </w:p>
  </w:endnote>
  <w:endnote w:type="continuationSeparator" w:id="0">
    <w:p w:rsidR="007A4049" w:rsidRDefault="007A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49" w:rsidRDefault="007A4049">
      <w:r>
        <w:separator/>
      </w:r>
    </w:p>
  </w:footnote>
  <w:footnote w:type="continuationSeparator" w:id="0">
    <w:p w:rsidR="007A4049" w:rsidRDefault="007A4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615117"/>
      <w:docPartObj>
        <w:docPartGallery w:val="Page Numbers (Top of Page)"/>
        <w:docPartUnique/>
      </w:docPartObj>
    </w:sdtPr>
    <w:sdtContent>
      <w:p w:rsidR="001F396D" w:rsidRDefault="001F396D" w:rsidP="00880B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51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E5511">
      <w:rPr>
        <w:noProof/>
      </w:rPr>
      <w:t>8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styleLink w:val="28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49A350D"/>
    <w:multiLevelType w:val="hybridMultilevel"/>
    <w:tmpl w:val="EEA00ED6"/>
    <w:lvl w:ilvl="0" w:tplc="81669C9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A5742"/>
    <w:multiLevelType w:val="hybridMultilevel"/>
    <w:tmpl w:val="75D8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20"/>
  </w:num>
  <w:num w:numId="5">
    <w:abstractNumId w:val="18"/>
  </w:num>
  <w:num w:numId="6">
    <w:abstractNumId w:val="16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14"/>
  </w:num>
  <w:num w:numId="12">
    <w:abstractNumId w:val="0"/>
  </w:num>
  <w:num w:numId="13">
    <w:abstractNumId w:val="21"/>
  </w:num>
  <w:num w:numId="14">
    <w:abstractNumId w:val="7"/>
  </w:num>
  <w:num w:numId="15">
    <w:abstractNumId w:val="4"/>
  </w:num>
  <w:num w:numId="16">
    <w:abstractNumId w:val="22"/>
  </w:num>
  <w:num w:numId="17">
    <w:abstractNumId w:val="11"/>
  </w:num>
  <w:num w:numId="18">
    <w:abstractNumId w:val="13"/>
  </w:num>
  <w:num w:numId="19">
    <w:abstractNumId w:val="15"/>
  </w:num>
  <w:num w:numId="20">
    <w:abstractNumId w:val="23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511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396D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0E8D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2EEB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DAE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3CC7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56BB1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7FF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aliases w:val="??????? ??????????,Верхний колонтитул Знак1 Знак,Верхний колонтитул Знак Знак Знак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aliases w:val="ПФ-стиль табл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aliases w:val="Маркированный,6.6.1.,Абзац списка11,Bullet_IRAO,Мой Список,List Paragraph,Абзац с отступом,Абзац списка - заголовок 3,_Библиография,Маркерованный список,Заголовок2,Варианты ответов,it_List1,основной диплом,ПАРАГРАФ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aliases w:val="??????? ?????????? Знак,Верхний колонтитул Знак1 Знак Знак,Верхний колонтитул Знак Знак Знак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numbering" w:customStyle="1" w:styleId="282">
    <w:name w:val="Стиль282"/>
    <w:rsid w:val="001F396D"/>
    <w:pPr>
      <w:numPr>
        <w:numId w:val="22"/>
      </w:numPr>
    </w:pPr>
  </w:style>
  <w:style w:type="paragraph" w:customStyle="1" w:styleId="6">
    <w:name w:val="Стиль Основной текст Югранефтегазпроект + По левому краю Перед:  6..."/>
    <w:basedOn w:val="a"/>
    <w:link w:val="60"/>
    <w:rsid w:val="001F396D"/>
    <w:pPr>
      <w:spacing w:before="120" w:after="120" w:line="360" w:lineRule="auto"/>
      <w:ind w:left="709" w:right="284"/>
    </w:pPr>
    <w:rPr>
      <w:rFonts w:ascii="Arial" w:hAnsi="Arial"/>
      <w:sz w:val="22"/>
      <w:szCs w:val="20"/>
    </w:rPr>
  </w:style>
  <w:style w:type="character" w:customStyle="1" w:styleId="60">
    <w:name w:val="Стиль Основной текст Югранефтегазпроект + По левому краю Перед:  6... Знак"/>
    <w:link w:val="6"/>
    <w:rsid w:val="001F396D"/>
    <w:rPr>
      <w:rFonts w:ascii="Arial" w:hAnsi="Arial"/>
      <w:sz w:val="22"/>
    </w:rPr>
  </w:style>
  <w:style w:type="character" w:customStyle="1" w:styleId="af0">
    <w:name w:val="Абзац списка Знак"/>
    <w:aliases w:val="Маркированный Знак,6.6.1. Знак,Абзац списка11 Знак,Bullet_IRAO Знак,Мой Список Знак,List Paragraph Знак,Абзац с отступом Знак,Абзац списка - заголовок 3 Знак,_Библиография Знак,Маркерованный список Знак,Заголовок2 Знак,it_List1 Знак"/>
    <w:link w:val="af"/>
    <w:uiPriority w:val="34"/>
    <w:qFormat/>
    <w:locked/>
    <w:rsid w:val="001F396D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ТС_Текст_1"/>
    <w:basedOn w:val="a"/>
    <w:link w:val="12"/>
    <w:qFormat/>
    <w:rsid w:val="001F396D"/>
    <w:pPr>
      <w:spacing w:line="276" w:lineRule="auto"/>
      <w:ind w:firstLine="851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12">
    <w:name w:val="ТС_Текст_1 Знак"/>
    <w:link w:val="11"/>
    <w:rsid w:val="001F396D"/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aliases w:val="??????? ??????????,Верхний колонтитул Знак1 Знак,Верхний колонтитул Знак Знак Знак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aliases w:val="ПФ-стиль табл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aliases w:val="Маркированный,6.6.1.,Абзац списка11,Bullet_IRAO,Мой Список,List Paragraph,Абзац с отступом,Абзац списка - заголовок 3,_Библиография,Маркерованный список,Заголовок2,Варианты ответов,it_List1,основной диплом,ПАРАГРАФ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aliases w:val="??????? ?????????? Знак,Верхний колонтитул Знак1 Знак Знак,Верхний колонтитул Знак Знак Знак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numbering" w:customStyle="1" w:styleId="282">
    <w:name w:val="Стиль282"/>
    <w:rsid w:val="001F396D"/>
    <w:pPr>
      <w:numPr>
        <w:numId w:val="22"/>
      </w:numPr>
    </w:pPr>
  </w:style>
  <w:style w:type="paragraph" w:customStyle="1" w:styleId="6">
    <w:name w:val="Стиль Основной текст Югранефтегазпроект + По левому краю Перед:  6..."/>
    <w:basedOn w:val="a"/>
    <w:link w:val="60"/>
    <w:rsid w:val="001F396D"/>
    <w:pPr>
      <w:spacing w:before="120" w:after="120" w:line="360" w:lineRule="auto"/>
      <w:ind w:left="709" w:right="284"/>
    </w:pPr>
    <w:rPr>
      <w:rFonts w:ascii="Arial" w:hAnsi="Arial"/>
      <w:sz w:val="22"/>
      <w:szCs w:val="20"/>
    </w:rPr>
  </w:style>
  <w:style w:type="character" w:customStyle="1" w:styleId="60">
    <w:name w:val="Стиль Основной текст Югранефтегазпроект + По левому краю Перед:  6... Знак"/>
    <w:link w:val="6"/>
    <w:rsid w:val="001F396D"/>
    <w:rPr>
      <w:rFonts w:ascii="Arial" w:hAnsi="Arial"/>
      <w:sz w:val="22"/>
    </w:rPr>
  </w:style>
  <w:style w:type="character" w:customStyle="1" w:styleId="af0">
    <w:name w:val="Абзац списка Знак"/>
    <w:aliases w:val="Маркированный Знак,6.6.1. Знак,Абзац списка11 Знак,Bullet_IRAO Знак,Мой Список Знак,List Paragraph Знак,Абзац с отступом Знак,Абзац списка - заголовок 3 Знак,_Библиография Знак,Маркерованный список Знак,Заголовок2 Знак,it_List1 Знак"/>
    <w:link w:val="af"/>
    <w:uiPriority w:val="34"/>
    <w:qFormat/>
    <w:locked/>
    <w:rsid w:val="001F396D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ТС_Текст_1"/>
    <w:basedOn w:val="a"/>
    <w:link w:val="12"/>
    <w:qFormat/>
    <w:rsid w:val="001F396D"/>
    <w:pPr>
      <w:spacing w:line="276" w:lineRule="auto"/>
      <w:ind w:firstLine="851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12">
    <w:name w:val="ТС_Текст_1 Знак"/>
    <w:link w:val="11"/>
    <w:rsid w:val="001F396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DC29-F2D1-48E0-8417-40792ABF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1781</Words>
  <Characters>14139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</cp:revision>
  <cp:lastPrinted>2013-09-20T05:39:00Z</cp:lastPrinted>
  <dcterms:created xsi:type="dcterms:W3CDTF">2025-09-29T09:33:00Z</dcterms:created>
  <dcterms:modified xsi:type="dcterms:W3CDTF">2025-09-29T09:33:00Z</dcterms:modified>
</cp:coreProperties>
</file>