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2E130F" w:rsidRDefault="001A685C" w:rsidP="001A685C">
      <w:pPr>
        <w:pStyle w:val="a5"/>
        <w:rPr>
          <w:rFonts w:ascii="Arial" w:hAnsi="Arial" w:cs="Arial"/>
          <w:color w:val="000000"/>
          <w:sz w:val="24"/>
          <w:szCs w:val="26"/>
          <w:lang w:val="ru-RU"/>
        </w:rPr>
      </w:pPr>
      <w:bookmarkStart w:id="0" w:name="_GoBack"/>
      <w:bookmarkEnd w:id="0"/>
    </w:p>
    <w:p w:rsidR="001A685C" w:rsidRPr="002E130F" w:rsidRDefault="001A685C" w:rsidP="002E130F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2E130F">
        <w:rPr>
          <w:rFonts w:cs="Arial"/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2E130F" w:rsidRPr="002E130F" w:rsidRDefault="001A685C" w:rsidP="002E130F">
      <w:pPr>
        <w:jc w:val="center"/>
        <w:rPr>
          <w:rFonts w:cs="Arial"/>
          <w:b/>
          <w:sz w:val="32"/>
        </w:rPr>
      </w:pPr>
      <w:r w:rsidRPr="002E130F">
        <w:rPr>
          <w:rFonts w:cs="Arial"/>
          <w:b/>
          <w:sz w:val="32"/>
        </w:rPr>
        <w:t>Ханты-Мансийского автономного округа – Югры</w:t>
      </w:r>
    </w:p>
    <w:p w:rsidR="002E130F" w:rsidRPr="002E130F" w:rsidRDefault="002E130F" w:rsidP="002E130F">
      <w:pPr>
        <w:jc w:val="center"/>
        <w:rPr>
          <w:rFonts w:cs="Arial"/>
          <w:b/>
          <w:sz w:val="32"/>
        </w:rPr>
      </w:pPr>
    </w:p>
    <w:p w:rsidR="001A685C" w:rsidRPr="002E130F" w:rsidRDefault="001A685C" w:rsidP="002E130F">
      <w:pPr>
        <w:pStyle w:val="1"/>
        <w:rPr>
          <w:rFonts w:cs="Arial"/>
          <w:b w:val="0"/>
          <w:bCs w:val="0"/>
          <w:color w:val="000000"/>
        </w:rPr>
      </w:pPr>
      <w:r w:rsidRPr="002E130F">
        <w:rPr>
          <w:rFonts w:cs="Arial"/>
          <w:color w:val="000000"/>
        </w:rPr>
        <w:t>АДМИНИСТРАЦИЯ КОНДИНСКОГО РАЙОНА</w:t>
      </w:r>
    </w:p>
    <w:p w:rsidR="001A685C" w:rsidRPr="002E130F" w:rsidRDefault="001A685C" w:rsidP="002E130F">
      <w:pPr>
        <w:jc w:val="center"/>
        <w:rPr>
          <w:rFonts w:cs="Arial"/>
          <w:color w:val="000000"/>
          <w:sz w:val="32"/>
        </w:rPr>
      </w:pPr>
    </w:p>
    <w:p w:rsidR="001A685C" w:rsidRPr="002E130F" w:rsidRDefault="001A685C" w:rsidP="002E130F">
      <w:pPr>
        <w:pStyle w:val="3"/>
        <w:jc w:val="center"/>
        <w:rPr>
          <w:b w:val="0"/>
          <w:color w:val="000000"/>
          <w:sz w:val="24"/>
        </w:rPr>
      </w:pPr>
      <w:r w:rsidRPr="002E130F">
        <w:rPr>
          <w:color w:val="000000"/>
          <w:sz w:val="32"/>
        </w:rPr>
        <w:t>ПОСТАНОВЛЕНИЕ</w:t>
      </w:r>
    </w:p>
    <w:p w:rsidR="001A685C" w:rsidRPr="002E130F" w:rsidRDefault="001A685C" w:rsidP="001A685C">
      <w:pPr>
        <w:suppressAutoHyphens/>
        <w:jc w:val="center"/>
        <w:rPr>
          <w:rFonts w:cs="Arial"/>
          <w:szCs w:val="26"/>
        </w:rPr>
      </w:pPr>
    </w:p>
    <w:p w:rsidR="002E130F" w:rsidRPr="002E130F" w:rsidRDefault="002E130F" w:rsidP="002E130F">
      <w:pPr>
        <w:tabs>
          <w:tab w:val="center" w:pos="8505"/>
        </w:tabs>
        <w:rPr>
          <w:rFonts w:cs="Arial"/>
          <w:color w:val="000000"/>
          <w:szCs w:val="28"/>
        </w:rPr>
      </w:pPr>
      <w:r w:rsidRPr="002E130F">
        <w:rPr>
          <w:rFonts w:cs="Arial"/>
          <w:color w:val="000000"/>
          <w:szCs w:val="28"/>
        </w:rPr>
        <w:t>от 26</w:t>
      </w:r>
      <w:r w:rsidR="00AE5A3A">
        <w:rPr>
          <w:rFonts w:cs="Arial"/>
          <w:color w:val="000000"/>
          <w:szCs w:val="28"/>
        </w:rPr>
        <w:t xml:space="preserve"> </w:t>
      </w:r>
      <w:r w:rsidRPr="002E130F">
        <w:rPr>
          <w:rFonts w:cs="Arial"/>
          <w:color w:val="000000"/>
          <w:szCs w:val="28"/>
        </w:rPr>
        <w:t>января</w:t>
      </w:r>
      <w:r w:rsidR="00AE5A3A">
        <w:rPr>
          <w:rFonts w:cs="Arial"/>
          <w:color w:val="000000"/>
          <w:szCs w:val="28"/>
        </w:rPr>
        <w:t xml:space="preserve"> </w:t>
      </w:r>
      <w:r w:rsidRPr="002E130F">
        <w:rPr>
          <w:rFonts w:cs="Arial"/>
          <w:color w:val="000000"/>
          <w:szCs w:val="28"/>
        </w:rPr>
        <w:t xml:space="preserve">2026 года </w:t>
      </w:r>
      <w:r>
        <w:rPr>
          <w:rFonts w:cs="Arial"/>
          <w:color w:val="000000"/>
          <w:szCs w:val="28"/>
        </w:rPr>
        <w:tab/>
      </w:r>
      <w:r w:rsidRPr="002E130F">
        <w:rPr>
          <w:rFonts w:cs="Arial"/>
          <w:color w:val="000000"/>
          <w:szCs w:val="28"/>
        </w:rPr>
        <w:t>№ 56</w:t>
      </w:r>
    </w:p>
    <w:p w:rsidR="002E130F" w:rsidRPr="002E130F" w:rsidRDefault="002E130F" w:rsidP="002E130F">
      <w:pPr>
        <w:tabs>
          <w:tab w:val="left" w:pos="3405"/>
          <w:tab w:val="left" w:pos="6519"/>
        </w:tabs>
        <w:jc w:val="center"/>
        <w:rPr>
          <w:rFonts w:cs="Arial"/>
          <w:color w:val="000000"/>
          <w:szCs w:val="28"/>
        </w:rPr>
      </w:pPr>
      <w:r w:rsidRPr="002E130F">
        <w:rPr>
          <w:rFonts w:cs="Arial"/>
          <w:color w:val="000000"/>
          <w:szCs w:val="28"/>
        </w:rPr>
        <w:t>пгт. Междуреченский</w:t>
      </w:r>
    </w:p>
    <w:p w:rsidR="00DA25B0" w:rsidRPr="002E130F" w:rsidRDefault="00DA25B0" w:rsidP="00454E57">
      <w:pPr>
        <w:shd w:val="clear" w:color="auto" w:fill="FFFFFF"/>
        <w:autoSpaceDE w:val="0"/>
        <w:autoSpaceDN w:val="0"/>
        <w:adjustRightInd w:val="0"/>
        <w:rPr>
          <w:rFonts w:cs="Arial"/>
          <w:szCs w:val="28"/>
        </w:rPr>
      </w:pPr>
    </w:p>
    <w:p w:rsidR="002E130F" w:rsidRPr="002E130F" w:rsidRDefault="002E130F" w:rsidP="002E130F">
      <w:pPr>
        <w:pStyle w:val="Title"/>
        <w:rPr>
          <w:color w:val="000000"/>
        </w:rPr>
      </w:pPr>
      <w:r w:rsidRPr="002E130F">
        <w:t>О внесении изменений в постановление администрации Кондинского района о</w:t>
      </w:r>
      <w:r w:rsidRPr="002E130F">
        <w:rPr>
          <w:highlight w:val="white"/>
        </w:rPr>
        <w:t xml:space="preserve">т 27 декабря 2024 года № 1390 </w:t>
      </w:r>
      <w:r w:rsidRPr="002E130F">
        <w:t>«О муниципальной программе Кондинского района «Цифровое развитие Кондинского района»</w:t>
      </w:r>
    </w:p>
    <w:p w:rsidR="00D614FB" w:rsidRPr="002E130F" w:rsidRDefault="00D614FB" w:rsidP="00D614FB">
      <w:pPr>
        <w:ind w:firstLine="708"/>
        <w:rPr>
          <w:rFonts w:cs="Arial"/>
          <w:szCs w:val="28"/>
        </w:rPr>
      </w:pPr>
    </w:p>
    <w:p w:rsidR="00D614FB" w:rsidRPr="002E130F" w:rsidRDefault="00D614FB" w:rsidP="00D614FB">
      <w:pPr>
        <w:pStyle w:val="23"/>
        <w:shd w:val="clear" w:color="auto" w:fill="auto"/>
        <w:spacing w:before="0" w:after="0" w:line="240" w:lineRule="auto"/>
        <w:ind w:firstLine="708"/>
        <w:rPr>
          <w:rFonts w:ascii="Arial" w:hAnsi="Arial" w:cs="Arial"/>
          <w:b/>
          <w:sz w:val="24"/>
          <w:szCs w:val="28"/>
        </w:rPr>
      </w:pPr>
      <w:r w:rsidRPr="002E130F">
        <w:rPr>
          <w:rFonts w:ascii="Arial" w:hAnsi="Arial" w:cs="Arial"/>
          <w:sz w:val="24"/>
          <w:szCs w:val="28"/>
        </w:rPr>
        <w:t xml:space="preserve">В соответствии со статьей 179 </w:t>
      </w:r>
      <w:hyperlink r:id="rId8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2E130F">
          <w:rPr>
            <w:rStyle w:val="af9"/>
            <w:rFonts w:ascii="Arial" w:hAnsi="Arial" w:cs="Arial"/>
            <w:sz w:val="24"/>
            <w:szCs w:val="28"/>
          </w:rPr>
          <w:t>Бюджетного кодекса Российской Федерации</w:t>
        </w:r>
      </w:hyperlink>
      <w:r w:rsidRPr="002E130F">
        <w:rPr>
          <w:rFonts w:ascii="Arial" w:hAnsi="Arial" w:cs="Arial"/>
          <w:sz w:val="24"/>
          <w:szCs w:val="28"/>
        </w:rPr>
        <w:t>,</w:t>
      </w:r>
      <w:r w:rsidR="002E130F">
        <w:rPr>
          <w:rFonts w:ascii="Arial" w:hAnsi="Arial" w:cs="Arial"/>
          <w:sz w:val="24"/>
          <w:szCs w:val="28"/>
        </w:rPr>
        <w:t xml:space="preserve"> </w:t>
      </w:r>
      <w:r w:rsidRPr="002E130F">
        <w:rPr>
          <w:rFonts w:ascii="Arial" w:hAnsi="Arial" w:cs="Arial"/>
          <w:sz w:val="24"/>
          <w:szCs w:val="28"/>
        </w:rPr>
        <w:t xml:space="preserve">постановлением администрации Кондинского района </w:t>
      </w:r>
      <w:hyperlink r:id="rId9" w:tooltip="постановление от 29.08.2022 0:00:00 №2010 Администрация Кондинского района&#10;&#10;О порядке разработки и реализации муниципальных программ Кондинского района" w:history="1">
        <w:r w:rsidRPr="002E130F">
          <w:rPr>
            <w:rStyle w:val="af9"/>
            <w:rFonts w:ascii="Arial" w:hAnsi="Arial" w:cs="Arial"/>
            <w:sz w:val="24"/>
            <w:szCs w:val="28"/>
          </w:rPr>
          <w:t>от 29 августа 2022 года</w:t>
        </w:r>
        <w:r w:rsidR="002E130F" w:rsidRPr="002E130F">
          <w:rPr>
            <w:rStyle w:val="af9"/>
            <w:rFonts w:ascii="Arial" w:hAnsi="Arial" w:cs="Arial"/>
            <w:sz w:val="24"/>
            <w:szCs w:val="28"/>
          </w:rPr>
          <w:t xml:space="preserve"> № </w:t>
        </w:r>
        <w:r w:rsidRPr="002E130F">
          <w:rPr>
            <w:rStyle w:val="af9"/>
            <w:rFonts w:ascii="Arial" w:hAnsi="Arial" w:cs="Arial"/>
            <w:sz w:val="24"/>
            <w:szCs w:val="28"/>
          </w:rPr>
          <w:t>2010</w:t>
        </w:r>
      </w:hyperlink>
      <w:r w:rsidR="002E130F">
        <w:rPr>
          <w:rFonts w:ascii="Arial" w:hAnsi="Arial" w:cs="Arial"/>
          <w:sz w:val="24"/>
          <w:szCs w:val="28"/>
        </w:rPr>
        <w:t xml:space="preserve"> </w:t>
      </w:r>
      <w:r w:rsidRPr="002E130F">
        <w:rPr>
          <w:rFonts w:ascii="Arial" w:hAnsi="Arial" w:cs="Arial"/>
          <w:sz w:val="24"/>
          <w:szCs w:val="28"/>
        </w:rPr>
        <w:t xml:space="preserve">«О порядке разработки и реализации муниципальных программ Кондинского района», </w:t>
      </w:r>
      <w:r w:rsidRPr="002E130F">
        <w:rPr>
          <w:rFonts w:ascii="Arial" w:hAnsi="Arial" w:cs="Arial"/>
          <w:b/>
          <w:sz w:val="24"/>
          <w:szCs w:val="28"/>
        </w:rPr>
        <w:t>администрация Кондинского района постановляет:</w:t>
      </w:r>
    </w:p>
    <w:p w:rsidR="00D614FB" w:rsidRPr="002E130F" w:rsidRDefault="00D614FB" w:rsidP="00D614FB">
      <w:pPr>
        <w:ind w:firstLine="708"/>
        <w:rPr>
          <w:rFonts w:cs="Arial"/>
          <w:szCs w:val="28"/>
        </w:rPr>
      </w:pPr>
      <w:r w:rsidRPr="002E130F">
        <w:rPr>
          <w:rFonts w:cs="Arial"/>
          <w:szCs w:val="28"/>
        </w:rPr>
        <w:t xml:space="preserve">1. Внести в постановление администрации Кондинского района </w:t>
      </w:r>
      <w:hyperlink r:id="rId10" w:tooltip="постановление от 27.12.2024 0:00:00 №1390 Администрация Кондинского района&#10;&#10;О муниципальной программе Кондинского района «Цифровое развитие Кондинского района»" w:history="1">
        <w:r w:rsidRPr="00F54C7E">
          <w:rPr>
            <w:rStyle w:val="af9"/>
            <w:rFonts w:cs="Arial"/>
            <w:szCs w:val="28"/>
            <w:highlight w:val="white"/>
          </w:rPr>
          <w:t>от 27декабря 2024 года</w:t>
        </w:r>
        <w:r w:rsidR="002E130F" w:rsidRPr="00F54C7E">
          <w:rPr>
            <w:rStyle w:val="af9"/>
            <w:rFonts w:cs="Arial"/>
            <w:szCs w:val="28"/>
            <w:highlight w:val="white"/>
          </w:rPr>
          <w:t xml:space="preserve"> № </w:t>
        </w:r>
        <w:r w:rsidRPr="00F54C7E">
          <w:rPr>
            <w:rStyle w:val="af9"/>
            <w:rFonts w:cs="Arial"/>
            <w:szCs w:val="28"/>
            <w:highlight w:val="white"/>
          </w:rPr>
          <w:t>1390</w:t>
        </w:r>
      </w:hyperlink>
      <w:r w:rsidRPr="002E130F">
        <w:rPr>
          <w:rFonts w:cs="Arial"/>
          <w:szCs w:val="28"/>
          <w:highlight w:val="white"/>
        </w:rPr>
        <w:t xml:space="preserve"> </w:t>
      </w:r>
      <w:r w:rsidRPr="002E130F">
        <w:rPr>
          <w:rFonts w:cs="Arial"/>
          <w:szCs w:val="28"/>
        </w:rPr>
        <w:t>«О муниципальной программе Кондинского района «Цифровое развитие Кондинского района» следующие изменения:</w:t>
      </w:r>
    </w:p>
    <w:p w:rsidR="00D614FB" w:rsidRPr="002E130F" w:rsidRDefault="00D614FB" w:rsidP="00D614FB">
      <w:pPr>
        <w:ind w:firstLine="708"/>
        <w:rPr>
          <w:rFonts w:cs="Arial"/>
          <w:szCs w:val="28"/>
        </w:rPr>
      </w:pPr>
      <w:r w:rsidRPr="002E130F">
        <w:rPr>
          <w:rFonts w:cs="Arial"/>
          <w:szCs w:val="28"/>
        </w:rPr>
        <w:t xml:space="preserve">В приложении к постановлению: </w:t>
      </w:r>
    </w:p>
    <w:p w:rsidR="00D614FB" w:rsidRPr="002E130F" w:rsidRDefault="00D614FB" w:rsidP="00D614FB">
      <w:pPr>
        <w:pStyle w:val="af0"/>
        <w:spacing w:after="0" w:line="240" w:lineRule="auto"/>
        <w:ind w:left="0" w:firstLine="708"/>
        <w:rPr>
          <w:rFonts w:ascii="Arial" w:hAnsi="Arial" w:cs="Arial"/>
          <w:color w:val="000000"/>
          <w:sz w:val="24"/>
          <w:szCs w:val="28"/>
        </w:rPr>
      </w:pPr>
      <w:r w:rsidRPr="002E130F">
        <w:rPr>
          <w:rFonts w:ascii="Arial" w:eastAsia="Times New Roman" w:hAnsi="Arial" w:cs="Arial"/>
          <w:sz w:val="24"/>
          <w:szCs w:val="28"/>
        </w:rPr>
        <w:t xml:space="preserve">1.1. Строку </w:t>
      </w:r>
      <w:r w:rsidRPr="002E130F">
        <w:rPr>
          <w:rFonts w:ascii="Arial" w:eastAsia="Times New Roman" w:hAnsi="Arial" w:cs="Arial"/>
          <w:color w:val="000000"/>
          <w:sz w:val="24"/>
          <w:szCs w:val="28"/>
        </w:rPr>
        <w:t>«</w:t>
      </w:r>
      <w:r w:rsidRPr="002E130F">
        <w:rPr>
          <w:rFonts w:ascii="Arial" w:eastAsia="Times New Roman" w:hAnsi="Arial" w:cs="Arial"/>
          <w:sz w:val="24"/>
          <w:szCs w:val="28"/>
        </w:rPr>
        <w:t>Объемы финансового обеспечения за весь период реализации</w:t>
      </w:r>
      <w:r w:rsidRPr="002E130F">
        <w:rPr>
          <w:rFonts w:ascii="Arial" w:eastAsia="Times New Roman" w:hAnsi="Arial" w:cs="Arial"/>
          <w:color w:val="000000"/>
          <w:sz w:val="24"/>
          <w:szCs w:val="28"/>
        </w:rPr>
        <w:t xml:space="preserve">» раздела 1 Паспорта муниципальной программы </w:t>
      </w:r>
      <w:r w:rsidRPr="002E130F">
        <w:rPr>
          <w:rFonts w:ascii="Arial" w:eastAsia="Times New Roman" w:hAnsi="Arial" w:cs="Arial"/>
          <w:sz w:val="24"/>
          <w:szCs w:val="28"/>
        </w:rPr>
        <w:t>изложить в следующей редакции:</w:t>
      </w:r>
    </w:p>
    <w:p w:rsidR="00D614FB" w:rsidRPr="002E130F" w:rsidRDefault="00D614FB" w:rsidP="00D614FB">
      <w:pPr>
        <w:rPr>
          <w:rFonts w:cs="Arial"/>
          <w:szCs w:val="28"/>
        </w:rPr>
      </w:pPr>
      <w:r w:rsidRPr="002E130F">
        <w:rPr>
          <w:rFonts w:cs="Arial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3"/>
        <w:gridCol w:w="2801"/>
      </w:tblGrid>
      <w:tr w:rsidR="00D614FB" w:rsidRPr="002E130F" w:rsidTr="00F54C7E">
        <w:trPr>
          <w:trHeight w:val="68"/>
          <w:jc w:val="center"/>
        </w:trPr>
        <w:tc>
          <w:tcPr>
            <w:tcW w:w="3579" w:type="pct"/>
          </w:tcPr>
          <w:p w:rsidR="00D614FB" w:rsidRPr="002E130F" w:rsidRDefault="00D614FB" w:rsidP="00F54C7E">
            <w:pPr>
              <w:spacing w:after="113"/>
              <w:ind w:firstLine="0"/>
              <w:contextualSpacing/>
              <w:rPr>
                <w:rFonts w:cs="Arial"/>
                <w:szCs w:val="28"/>
              </w:rPr>
            </w:pPr>
            <w:r w:rsidRPr="002E130F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421" w:type="pct"/>
          </w:tcPr>
          <w:p w:rsidR="00D614FB" w:rsidRPr="002E130F" w:rsidRDefault="00D614FB" w:rsidP="00F54C7E">
            <w:pPr>
              <w:spacing w:after="113"/>
              <w:ind w:firstLine="0"/>
              <w:contextualSpacing/>
              <w:jc w:val="center"/>
              <w:rPr>
                <w:rFonts w:cs="Arial"/>
                <w:szCs w:val="28"/>
              </w:rPr>
            </w:pPr>
            <w:r w:rsidRPr="002E130F">
              <w:rPr>
                <w:rFonts w:cs="Arial"/>
                <w:color w:val="000000"/>
                <w:szCs w:val="28"/>
              </w:rPr>
              <w:t>24 245,8</w:t>
            </w:r>
            <w:r w:rsidRPr="002E130F">
              <w:rPr>
                <w:rFonts w:cs="Arial"/>
                <w:szCs w:val="28"/>
              </w:rPr>
              <w:t>тыс. рублей</w:t>
            </w:r>
          </w:p>
        </w:tc>
      </w:tr>
    </w:tbl>
    <w:p w:rsidR="00D614FB" w:rsidRPr="002E130F" w:rsidRDefault="00D614FB" w:rsidP="00D614FB">
      <w:pPr>
        <w:jc w:val="right"/>
        <w:rPr>
          <w:rFonts w:cs="Arial"/>
          <w:color w:val="000000"/>
          <w:szCs w:val="28"/>
        </w:rPr>
      </w:pPr>
      <w:r w:rsidRPr="002E130F">
        <w:rPr>
          <w:rFonts w:cs="Arial"/>
          <w:szCs w:val="28"/>
        </w:rPr>
        <w:t>»</w:t>
      </w:r>
      <w:r w:rsidR="00235361" w:rsidRPr="002E130F">
        <w:rPr>
          <w:rFonts w:cs="Arial"/>
          <w:szCs w:val="28"/>
        </w:rPr>
        <w:t>.</w:t>
      </w:r>
    </w:p>
    <w:p w:rsidR="00D614FB" w:rsidRPr="002E130F" w:rsidRDefault="00D614FB" w:rsidP="00D614FB">
      <w:pPr>
        <w:pStyle w:val="af0"/>
        <w:spacing w:after="0" w:line="240" w:lineRule="auto"/>
        <w:ind w:left="0" w:firstLine="709"/>
        <w:rPr>
          <w:rFonts w:ascii="Arial" w:hAnsi="Arial" w:cs="Arial"/>
          <w:sz w:val="24"/>
          <w:szCs w:val="28"/>
        </w:rPr>
      </w:pPr>
      <w:r w:rsidRPr="002E130F">
        <w:rPr>
          <w:rFonts w:ascii="Arial" w:hAnsi="Arial" w:cs="Arial"/>
          <w:sz w:val="24"/>
          <w:szCs w:val="28"/>
        </w:rPr>
        <w:t xml:space="preserve">1.2. Раздел 4 </w:t>
      </w:r>
      <w:r w:rsidRPr="002E130F">
        <w:rPr>
          <w:rFonts w:ascii="Arial" w:eastAsia="Times New Roman" w:hAnsi="Arial" w:cs="Arial"/>
          <w:color w:val="000000"/>
          <w:sz w:val="24"/>
          <w:szCs w:val="28"/>
        </w:rPr>
        <w:t xml:space="preserve">Паспорта муниципальной программы </w:t>
      </w:r>
      <w:r w:rsidRPr="002E130F">
        <w:rPr>
          <w:rFonts w:ascii="Arial" w:hAnsi="Arial" w:cs="Arial"/>
          <w:sz w:val="24"/>
          <w:szCs w:val="28"/>
        </w:rPr>
        <w:t xml:space="preserve">изложить в новой редакции (приложение). </w:t>
      </w:r>
    </w:p>
    <w:p w:rsidR="00D614FB" w:rsidRPr="002E130F" w:rsidRDefault="00D614FB" w:rsidP="00D614FB">
      <w:pPr>
        <w:widowControl w:val="0"/>
        <w:ind w:firstLine="709"/>
        <w:contextualSpacing/>
        <w:rPr>
          <w:rFonts w:cs="Arial"/>
          <w:szCs w:val="28"/>
        </w:rPr>
      </w:pPr>
      <w:r w:rsidRPr="002E130F">
        <w:rPr>
          <w:rFonts w:cs="Arial"/>
          <w:szCs w:val="28"/>
        </w:rPr>
        <w:t xml:space="preserve">2. Обнародовать постановление в соответствии с решением Думы Кондинского района </w:t>
      </w:r>
      <w:hyperlink r:id="rId11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Pr="002E130F">
          <w:rPr>
            <w:rStyle w:val="af9"/>
            <w:rFonts w:cs="Arial"/>
            <w:szCs w:val="28"/>
          </w:rPr>
          <w:t>от 27 февраля 2017 года</w:t>
        </w:r>
        <w:r w:rsidR="002E130F" w:rsidRPr="002E130F">
          <w:rPr>
            <w:rStyle w:val="af9"/>
            <w:rFonts w:cs="Arial"/>
            <w:szCs w:val="28"/>
          </w:rPr>
          <w:t xml:space="preserve"> № </w:t>
        </w:r>
        <w:r w:rsidRPr="002E130F">
          <w:rPr>
            <w:rStyle w:val="af9"/>
            <w:rFonts w:cs="Arial"/>
            <w:szCs w:val="28"/>
          </w:rPr>
          <w:t>215</w:t>
        </w:r>
      </w:hyperlink>
      <w:r w:rsidRPr="002E130F">
        <w:rPr>
          <w:rFonts w:cs="Arial"/>
          <w:szCs w:val="28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E130F" w:rsidRPr="002E130F" w:rsidRDefault="00D614FB" w:rsidP="00D614FB">
      <w:pPr>
        <w:ind w:firstLine="709"/>
        <w:rPr>
          <w:rFonts w:cs="Arial"/>
          <w:szCs w:val="28"/>
        </w:rPr>
      </w:pPr>
      <w:r w:rsidRPr="002E130F">
        <w:rPr>
          <w:rFonts w:cs="Arial"/>
          <w:szCs w:val="28"/>
        </w:rPr>
        <w:t>3. Постановление вступает в силу после его обнародования.</w:t>
      </w:r>
    </w:p>
    <w:p w:rsidR="002E130F" w:rsidRPr="002E130F" w:rsidRDefault="002E130F" w:rsidP="00D614FB">
      <w:pPr>
        <w:ind w:firstLine="709"/>
        <w:rPr>
          <w:rFonts w:cs="Arial"/>
          <w:szCs w:val="28"/>
        </w:rPr>
      </w:pPr>
    </w:p>
    <w:p w:rsidR="002E130F" w:rsidRPr="002E130F" w:rsidRDefault="002E130F" w:rsidP="00F54C7E">
      <w:pPr>
        <w:tabs>
          <w:tab w:val="center" w:pos="8505"/>
        </w:tabs>
        <w:rPr>
          <w:rFonts w:cs="Arial"/>
          <w:szCs w:val="28"/>
        </w:rPr>
        <w:sectPr w:rsidR="002E130F" w:rsidRPr="002E130F" w:rsidSect="002E13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  <w:r w:rsidRPr="002E130F">
        <w:rPr>
          <w:rFonts w:cs="Arial"/>
          <w:szCs w:val="28"/>
        </w:rPr>
        <w:t>Глава района</w:t>
      </w:r>
      <w:r w:rsidR="00F54C7E">
        <w:rPr>
          <w:rFonts w:cs="Arial"/>
          <w:szCs w:val="28"/>
        </w:rPr>
        <w:tab/>
      </w:r>
      <w:r w:rsidRPr="002E130F">
        <w:rPr>
          <w:rFonts w:cs="Arial"/>
          <w:szCs w:val="28"/>
        </w:rPr>
        <w:t>А.В.Зяблицев</w:t>
      </w:r>
    </w:p>
    <w:p w:rsidR="002E130F" w:rsidRPr="002E130F" w:rsidRDefault="002E130F" w:rsidP="00D614FB">
      <w:pPr>
        <w:shd w:val="clear" w:color="auto" w:fill="FFFFFF"/>
        <w:autoSpaceDE w:val="0"/>
        <w:autoSpaceDN w:val="0"/>
        <w:adjustRightInd w:val="0"/>
        <w:ind w:left="10206"/>
        <w:rPr>
          <w:rFonts w:cs="Arial"/>
        </w:rPr>
      </w:pPr>
    </w:p>
    <w:p w:rsidR="00370786" w:rsidRPr="00F54C7E" w:rsidRDefault="00370786" w:rsidP="00F54C7E">
      <w:pPr>
        <w:shd w:val="clear" w:color="auto" w:fill="FFFFFF"/>
        <w:autoSpaceDE w:val="0"/>
        <w:autoSpaceDN w:val="0"/>
        <w:adjustRightInd w:val="0"/>
        <w:ind w:left="10206"/>
        <w:jc w:val="right"/>
        <w:rPr>
          <w:rFonts w:cs="Arial"/>
          <w:b/>
          <w:sz w:val="32"/>
        </w:rPr>
      </w:pPr>
      <w:r w:rsidRPr="00F54C7E">
        <w:rPr>
          <w:rFonts w:cs="Arial"/>
          <w:b/>
          <w:sz w:val="32"/>
        </w:rPr>
        <w:t>Приложение</w:t>
      </w:r>
    </w:p>
    <w:p w:rsidR="00370786" w:rsidRPr="00F54C7E" w:rsidRDefault="00370786" w:rsidP="00F54C7E">
      <w:pPr>
        <w:shd w:val="clear" w:color="auto" w:fill="FFFFFF"/>
        <w:autoSpaceDE w:val="0"/>
        <w:autoSpaceDN w:val="0"/>
        <w:adjustRightInd w:val="0"/>
        <w:ind w:left="10206"/>
        <w:jc w:val="right"/>
        <w:rPr>
          <w:rFonts w:cs="Arial"/>
          <w:b/>
          <w:sz w:val="32"/>
        </w:rPr>
      </w:pPr>
      <w:r w:rsidRPr="00F54C7E">
        <w:rPr>
          <w:rFonts w:cs="Arial"/>
          <w:b/>
          <w:sz w:val="32"/>
        </w:rPr>
        <w:t>к постановлению администрации района</w:t>
      </w:r>
    </w:p>
    <w:p w:rsidR="00370786" w:rsidRPr="002E130F" w:rsidRDefault="002B2255" w:rsidP="00F54C7E">
      <w:pPr>
        <w:ind w:left="10206"/>
        <w:jc w:val="right"/>
        <w:rPr>
          <w:rFonts w:cs="Arial"/>
        </w:rPr>
      </w:pPr>
      <w:r w:rsidRPr="00F54C7E">
        <w:rPr>
          <w:rFonts w:cs="Arial"/>
          <w:b/>
          <w:sz w:val="32"/>
        </w:rPr>
        <w:t>от 26</w:t>
      </w:r>
      <w:r w:rsidR="00370786" w:rsidRPr="00F54C7E">
        <w:rPr>
          <w:rFonts w:cs="Arial"/>
          <w:b/>
          <w:sz w:val="32"/>
        </w:rPr>
        <w:t>.01.2026</w:t>
      </w:r>
      <w:r w:rsidR="002E130F" w:rsidRPr="00F54C7E">
        <w:rPr>
          <w:rFonts w:cs="Arial"/>
          <w:b/>
          <w:sz w:val="32"/>
        </w:rPr>
        <w:t xml:space="preserve"> № </w:t>
      </w:r>
      <w:r w:rsidR="00D614FB" w:rsidRPr="00F54C7E">
        <w:rPr>
          <w:rFonts w:cs="Arial"/>
          <w:b/>
          <w:sz w:val="32"/>
        </w:rPr>
        <w:t>56</w:t>
      </w:r>
    </w:p>
    <w:p w:rsidR="00D614FB" w:rsidRPr="002E130F" w:rsidRDefault="00D614FB" w:rsidP="00AB46EF">
      <w:pPr>
        <w:contextualSpacing/>
        <w:jc w:val="center"/>
        <w:rPr>
          <w:rFonts w:cs="Arial"/>
        </w:rPr>
      </w:pPr>
    </w:p>
    <w:p w:rsidR="00D614FB" w:rsidRPr="002E130F" w:rsidRDefault="00D614FB" w:rsidP="00AB46EF">
      <w:pPr>
        <w:contextualSpacing/>
        <w:jc w:val="center"/>
        <w:rPr>
          <w:rFonts w:cs="Arial"/>
        </w:rPr>
      </w:pPr>
      <w:r w:rsidRPr="002E130F">
        <w:rPr>
          <w:rFonts w:cs="Arial"/>
        </w:rPr>
        <w:t>4. Финансовое обеспечение муниципальной программы</w:t>
      </w:r>
    </w:p>
    <w:p w:rsidR="00D614FB" w:rsidRPr="002E130F" w:rsidRDefault="00D614FB" w:rsidP="00AB46EF">
      <w:pPr>
        <w:contextualSpacing/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3"/>
        <w:gridCol w:w="1397"/>
        <w:gridCol w:w="1397"/>
        <w:gridCol w:w="1397"/>
        <w:gridCol w:w="1296"/>
        <w:gridCol w:w="1296"/>
        <w:gridCol w:w="1296"/>
        <w:gridCol w:w="1296"/>
      </w:tblGrid>
      <w:tr w:rsidR="00D614FB" w:rsidRPr="002E130F" w:rsidTr="00F54C7E">
        <w:trPr>
          <w:trHeight w:val="68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40" w:type="pct"/>
            <w:gridSpan w:val="7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Объем финансового обеспечения по годам, тыс. рублей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  <w:vMerge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Всего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4 629,3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24 245,8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Бюджет Кондинского района (всего), из них: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4 629,3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24 245,8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4 629,3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3 923,3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24 245,8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Иные источники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3 399,4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18 068,4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lastRenderedPageBreak/>
              <w:t>1.1. Бюджет Кондинского района (всего), из них: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3 399,4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18 068,4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3 399,4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2 933,8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18 068,4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1.2. Иные источники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1 229,9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6 177,4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1 229,9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6 177,4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2E130F" w:rsidRPr="002E130F" w:rsidTr="00F54C7E">
        <w:trPr>
          <w:trHeight w:val="276"/>
          <w:jc w:val="center"/>
        </w:trPr>
        <w:tc>
          <w:tcPr>
            <w:tcW w:w="1860" w:type="pct"/>
            <w:vMerge w:val="restar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1 229,9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68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989,5</w:t>
            </w:r>
          </w:p>
        </w:tc>
        <w:tc>
          <w:tcPr>
            <w:tcW w:w="434" w:type="pct"/>
            <w:vMerge w:val="restar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6 177,4</w:t>
            </w:r>
          </w:p>
        </w:tc>
      </w:tr>
      <w:tr w:rsidR="002E130F" w:rsidRPr="002E130F" w:rsidTr="00F54C7E">
        <w:trPr>
          <w:trHeight w:val="68"/>
          <w:jc w:val="center"/>
        </w:trPr>
        <w:tc>
          <w:tcPr>
            <w:tcW w:w="1860" w:type="pct"/>
          </w:tcPr>
          <w:p w:rsidR="00D614FB" w:rsidRPr="002E130F" w:rsidRDefault="00D614FB" w:rsidP="00F54C7E">
            <w:pPr>
              <w:ind w:firstLine="0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2.2. Иные источники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68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434" w:type="pct"/>
          </w:tcPr>
          <w:p w:rsidR="00D614FB" w:rsidRPr="002E130F" w:rsidRDefault="00D614FB" w:rsidP="00F54C7E">
            <w:pPr>
              <w:ind w:firstLine="0"/>
              <w:jc w:val="center"/>
              <w:rPr>
                <w:rFonts w:cs="Arial"/>
                <w:szCs w:val="20"/>
              </w:rPr>
            </w:pPr>
            <w:r w:rsidRPr="002E130F">
              <w:rPr>
                <w:rFonts w:cs="Arial"/>
                <w:color w:val="000000"/>
                <w:szCs w:val="20"/>
              </w:rPr>
              <w:t>0,0</w:t>
            </w:r>
          </w:p>
        </w:tc>
      </w:tr>
    </w:tbl>
    <w:p w:rsidR="00D614FB" w:rsidRPr="002E130F" w:rsidRDefault="00D614FB" w:rsidP="00F54C7E">
      <w:pPr>
        <w:ind w:firstLine="0"/>
        <w:rPr>
          <w:rFonts w:cs="Arial"/>
        </w:rPr>
      </w:pPr>
    </w:p>
    <w:sectPr w:rsidR="00D614FB" w:rsidRPr="002E130F" w:rsidSect="002E130F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1F" w:rsidRDefault="007D681F">
      <w:r>
        <w:separator/>
      </w:r>
    </w:p>
  </w:endnote>
  <w:endnote w:type="continuationSeparator" w:id="0">
    <w:p w:rsidR="007D681F" w:rsidRDefault="007D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3A" w:rsidRDefault="00AE5A3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3A" w:rsidRDefault="00AE5A3A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3A" w:rsidRDefault="00AE5A3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1F" w:rsidRDefault="007D681F">
      <w:r>
        <w:separator/>
      </w:r>
    </w:p>
  </w:footnote>
  <w:footnote w:type="continuationSeparator" w:id="0">
    <w:p w:rsidR="007D681F" w:rsidRDefault="007D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5D33F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39E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39E6"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24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361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30F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AD8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3F8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506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81F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92F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46EF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5A3A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58A4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4FB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C7E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!Обычный текст документа"/>
    <w:qFormat/>
    <w:rsid w:val="002E130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2E130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link w:val="20"/>
    <w:qFormat/>
    <w:rsid w:val="002E130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0"/>
    <w:qFormat/>
    <w:rsid w:val="002E13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2E130F"/>
    <w:pPr>
      <w:outlineLvl w:val="3"/>
    </w:pPr>
    <w:rPr>
      <w:b/>
      <w:bCs/>
      <w:sz w:val="26"/>
      <w:szCs w:val="28"/>
      <w:lang w:val="x-none" w:eastAsia="x-none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1">
    <w:name w:val="Default Paragraph Font"/>
    <w:semiHidden/>
    <w:rsid w:val="002E130F"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2E130F"/>
  </w:style>
  <w:style w:type="paragraph" w:styleId="a4">
    <w:name w:val="caption"/>
    <w:basedOn w:val="a0"/>
    <w:next w:val="a0"/>
    <w:qFormat/>
    <w:rsid w:val="005D33F8"/>
    <w:rPr>
      <w:sz w:val="28"/>
    </w:rPr>
  </w:style>
  <w:style w:type="paragraph" w:styleId="a5">
    <w:name w:val="Title"/>
    <w:aliases w:val="Title"/>
    <w:basedOn w:val="a0"/>
    <w:link w:val="a6"/>
    <w:qFormat/>
    <w:rsid w:val="005D33F8"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5D33F8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styleId="a9">
    <w:name w:val="page number"/>
    <w:basedOn w:val="a1"/>
    <w:rsid w:val="005D33F8"/>
  </w:style>
  <w:style w:type="paragraph" w:customStyle="1" w:styleId="--">
    <w:name w:val="- СТРАНИЦА -"/>
    <w:rsid w:val="005D33F8"/>
    <w:rPr>
      <w:sz w:val="24"/>
      <w:szCs w:val="24"/>
    </w:rPr>
  </w:style>
  <w:style w:type="paragraph" w:styleId="aa">
    <w:name w:val="Body Text Indent"/>
    <w:basedOn w:val="a0"/>
    <w:rsid w:val="005D33F8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  <w:lang w:bidi="ar-SA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cs="Arial"/>
    </w:rPr>
  </w:style>
  <w:style w:type="character" w:styleId="af9">
    <w:name w:val="Hyperlink"/>
    <w:rsid w:val="002E130F"/>
    <w:rPr>
      <w:color w:val="0000FF"/>
      <w:u w:val="non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uiPriority w:val="99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rsid w:val="002E13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9F6F52"/>
    <w:rPr>
      <w:rFonts w:ascii="Arial" w:hAnsi="Arial"/>
      <w:b/>
      <w:bCs/>
      <w:sz w:val="26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rFonts w:ascii="Arial" w:hAnsi="Arial" w:cs="Arial"/>
      <w:b/>
      <w:bCs/>
      <w:iCs/>
      <w:sz w:val="30"/>
      <w:szCs w:val="28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  <w:lang w:bidi="ar-SA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  <w:lang w:val="ru-RU" w:eastAsia="ru-RU" w:bidi="ar-SA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 w:bidi="ar-SA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 w:bidi="ar-SA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23">
    <w:name w:val="Основной текст (2)"/>
    <w:next w:val="xl132"/>
    <w:rsid w:val="00D614F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character" w:styleId="HTML">
    <w:name w:val="HTML Variable"/>
    <w:aliases w:val="!Ссылки в документе"/>
    <w:rsid w:val="002E13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3">
    <w:name w:val="annotation text"/>
    <w:aliases w:val="!Равноширинный текст документа"/>
    <w:basedOn w:val="a0"/>
    <w:link w:val="aff4"/>
    <w:rsid w:val="002E130F"/>
    <w:rPr>
      <w:rFonts w:ascii="Courier" w:hAnsi="Courier"/>
      <w:sz w:val="22"/>
      <w:szCs w:val="20"/>
    </w:rPr>
  </w:style>
  <w:style w:type="character" w:customStyle="1" w:styleId="aff4">
    <w:name w:val="Текст примечания Знак"/>
    <w:link w:val="aff3"/>
    <w:rsid w:val="002E130F"/>
    <w:rPr>
      <w:rFonts w:ascii="Courier" w:hAnsi="Courier"/>
      <w:sz w:val="22"/>
    </w:rPr>
  </w:style>
  <w:style w:type="paragraph" w:customStyle="1" w:styleId="Application">
    <w:name w:val="Application!Приложение"/>
    <w:rsid w:val="002E13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E13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E130F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7e81e68-d575-4b2d-a2bb-e802ae8c844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content\act\af9f7450-eae5-446f-8e30-f633bb73edb2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29e98414-d514-47cf-8603-36224b267a59.doc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686A-3419-4A13-A6E7-A31DC829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Links>
    <vt:vector size="24" baseType="variant">
      <vt:variant>
        <vt:i4>3866678</vt:i4>
      </vt:variant>
      <vt:variant>
        <vt:i4>9</vt:i4>
      </vt:variant>
      <vt:variant>
        <vt:i4>0</vt:i4>
      </vt:variant>
      <vt:variant>
        <vt:i4>5</vt:i4>
      </vt:variant>
      <vt:variant>
        <vt:lpwstr>/content/act/07e81e68-d575-4b2d-a2bb-e802ae8c8446.html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/content/act/af9f7450-eae5-446f-8e30-f633bb73edb2.doc</vt:lpwstr>
      </vt:variant>
      <vt:variant>
        <vt:lpwstr/>
      </vt:variant>
      <vt:variant>
        <vt:i4>4194393</vt:i4>
      </vt:variant>
      <vt:variant>
        <vt:i4>3</vt:i4>
      </vt:variant>
      <vt:variant>
        <vt:i4>0</vt:i4>
      </vt:variant>
      <vt:variant>
        <vt:i4>5</vt:i4>
      </vt:variant>
      <vt:variant>
        <vt:lpwstr>/content/act/29e98414-d514-47cf-8603-36224b267a59.doc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2024-09-26T11:41:00Z</cp:lastPrinted>
  <dcterms:created xsi:type="dcterms:W3CDTF">2026-01-27T04:28:00Z</dcterms:created>
  <dcterms:modified xsi:type="dcterms:W3CDTF">2026-01-27T04:28:00Z</dcterms:modified>
</cp:coreProperties>
</file>