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C0A2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60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901B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901B5" w:rsidRDefault="00D63E9B" w:rsidP="00AF0C36">
            <w:pPr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 xml:space="preserve">от </w:t>
            </w:r>
            <w:r w:rsidR="00034BE1" w:rsidRPr="004901B5">
              <w:rPr>
                <w:sz w:val="28"/>
                <w:szCs w:val="28"/>
              </w:rPr>
              <w:t>0</w:t>
            </w:r>
            <w:r w:rsidR="00EC0A23" w:rsidRPr="004901B5">
              <w:rPr>
                <w:sz w:val="28"/>
                <w:szCs w:val="28"/>
              </w:rPr>
              <w:t>9</w:t>
            </w:r>
            <w:r w:rsidR="003509C0" w:rsidRPr="004901B5">
              <w:rPr>
                <w:sz w:val="28"/>
                <w:szCs w:val="28"/>
              </w:rPr>
              <w:t xml:space="preserve"> </w:t>
            </w:r>
            <w:r w:rsidR="00A4086C" w:rsidRPr="004901B5">
              <w:rPr>
                <w:sz w:val="28"/>
                <w:szCs w:val="28"/>
              </w:rPr>
              <w:t>февраля</w:t>
            </w:r>
            <w:r w:rsidR="00906232" w:rsidRPr="004901B5">
              <w:rPr>
                <w:sz w:val="28"/>
                <w:szCs w:val="28"/>
              </w:rPr>
              <w:t xml:space="preserve"> </w:t>
            </w:r>
            <w:r w:rsidR="0026636E" w:rsidRPr="004901B5">
              <w:rPr>
                <w:sz w:val="28"/>
                <w:szCs w:val="28"/>
              </w:rPr>
              <w:t>202</w:t>
            </w:r>
            <w:r w:rsidR="00665740" w:rsidRPr="004901B5">
              <w:rPr>
                <w:sz w:val="28"/>
                <w:szCs w:val="28"/>
              </w:rPr>
              <w:t>6</w:t>
            </w:r>
            <w:r w:rsidRPr="004901B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901B5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901B5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901B5" w:rsidRDefault="00D63E9B" w:rsidP="00F14FFF">
            <w:pPr>
              <w:jc w:val="right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№</w:t>
            </w:r>
            <w:r w:rsidR="00CF3CE0" w:rsidRPr="004901B5">
              <w:rPr>
                <w:sz w:val="28"/>
                <w:szCs w:val="28"/>
              </w:rPr>
              <w:t xml:space="preserve"> </w:t>
            </w:r>
            <w:r w:rsidR="004901B5" w:rsidRPr="004901B5">
              <w:rPr>
                <w:sz w:val="28"/>
                <w:szCs w:val="28"/>
              </w:rPr>
              <w:t>137</w:t>
            </w:r>
          </w:p>
        </w:tc>
      </w:tr>
      <w:tr w:rsidR="001A685C" w:rsidRPr="004901B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901B5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901B5" w:rsidRDefault="001A685C" w:rsidP="00F40CE7">
            <w:pPr>
              <w:jc w:val="center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901B5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901B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901B5" w:rsidTr="00C60BC2">
        <w:tc>
          <w:tcPr>
            <w:tcW w:w="5778" w:type="dxa"/>
          </w:tcPr>
          <w:p w:rsidR="004901B5" w:rsidRPr="004901B5" w:rsidRDefault="004901B5" w:rsidP="004901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4901B5">
              <w:rPr>
                <w:sz w:val="28"/>
                <w:szCs w:val="28"/>
              </w:rPr>
              <w:t xml:space="preserve"> в постановление </w:t>
            </w:r>
          </w:p>
          <w:p w:rsidR="004901B5" w:rsidRPr="004901B5" w:rsidRDefault="004901B5" w:rsidP="004901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4901B5" w:rsidRPr="004901B5" w:rsidRDefault="004901B5" w:rsidP="004901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 xml:space="preserve">от 27 декабря 2024 года № 1393 </w:t>
            </w:r>
          </w:p>
          <w:p w:rsidR="004901B5" w:rsidRPr="004901B5" w:rsidRDefault="00721332" w:rsidP="004901B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901B5" w:rsidRPr="004901B5">
              <w:rPr>
                <w:sz w:val="28"/>
                <w:szCs w:val="28"/>
              </w:rPr>
              <w:t xml:space="preserve">О </w:t>
            </w:r>
            <w:r w:rsidR="004901B5" w:rsidRPr="004901B5">
              <w:rPr>
                <w:bCs/>
                <w:sz w:val="28"/>
                <w:szCs w:val="28"/>
              </w:rPr>
              <w:t xml:space="preserve">муниципальной программе </w:t>
            </w:r>
          </w:p>
          <w:p w:rsidR="004901B5" w:rsidRDefault="004901B5" w:rsidP="004901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1B5">
              <w:rPr>
                <w:bCs/>
                <w:sz w:val="28"/>
                <w:szCs w:val="28"/>
              </w:rPr>
              <w:t>Кондинского района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21332">
              <w:rPr>
                <w:bCs/>
                <w:sz w:val="28"/>
                <w:szCs w:val="28"/>
              </w:rPr>
              <w:t>«</w:t>
            </w:r>
            <w:r w:rsidRPr="004901B5">
              <w:rPr>
                <w:sz w:val="28"/>
                <w:szCs w:val="28"/>
              </w:rPr>
              <w:t xml:space="preserve">Развитие культуры </w:t>
            </w:r>
          </w:p>
          <w:p w:rsidR="004901B5" w:rsidRPr="004901B5" w:rsidRDefault="004901B5" w:rsidP="004901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и искусства</w:t>
            </w:r>
            <w:r w:rsidR="00721332">
              <w:rPr>
                <w:sz w:val="28"/>
                <w:szCs w:val="28"/>
              </w:rPr>
              <w:t>»</w:t>
            </w:r>
          </w:p>
          <w:p w:rsidR="000F2778" w:rsidRPr="004901B5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245782" w:rsidRPr="004901B5" w:rsidRDefault="00245782" w:rsidP="0049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1B5">
        <w:rPr>
          <w:sz w:val="28"/>
          <w:szCs w:val="28"/>
        </w:rPr>
        <w:t>В соответствии со статьей 179 Бюджетного кодекса Российской Федерации, решениями</w:t>
      </w:r>
      <w:r w:rsidR="004901B5" w:rsidRPr="004901B5">
        <w:rPr>
          <w:sz w:val="28"/>
          <w:szCs w:val="28"/>
        </w:rPr>
        <w:t xml:space="preserve"> </w:t>
      </w:r>
      <w:r w:rsidRPr="004901B5">
        <w:rPr>
          <w:sz w:val="28"/>
          <w:szCs w:val="28"/>
        </w:rPr>
        <w:t xml:space="preserve">Думы Кондинского района от 25 декабря 2025 года </w:t>
      </w:r>
      <w:r w:rsidR="004901B5">
        <w:rPr>
          <w:sz w:val="28"/>
          <w:szCs w:val="28"/>
        </w:rPr>
        <w:t xml:space="preserve">                </w:t>
      </w:r>
      <w:r w:rsidRPr="004901B5">
        <w:rPr>
          <w:sz w:val="28"/>
          <w:szCs w:val="28"/>
        </w:rPr>
        <w:t xml:space="preserve">№ 1320 </w:t>
      </w:r>
      <w:r w:rsidR="00721332">
        <w:rPr>
          <w:sz w:val="28"/>
          <w:szCs w:val="28"/>
        </w:rPr>
        <w:t>«</w:t>
      </w:r>
      <w:r w:rsidRPr="004901B5">
        <w:rPr>
          <w:sz w:val="28"/>
          <w:szCs w:val="28"/>
        </w:rPr>
        <w:t xml:space="preserve">О бюджете муниципального образования Кондинский район </w:t>
      </w:r>
      <w:r w:rsidR="004901B5">
        <w:rPr>
          <w:sz w:val="28"/>
          <w:szCs w:val="28"/>
        </w:rPr>
        <w:t xml:space="preserve">                                 </w:t>
      </w:r>
      <w:r w:rsidRPr="004901B5">
        <w:rPr>
          <w:sz w:val="28"/>
          <w:szCs w:val="28"/>
        </w:rPr>
        <w:t>на 2026 год и на плановый период 2027 и 2028 годов</w:t>
      </w:r>
      <w:r w:rsidR="00721332">
        <w:rPr>
          <w:sz w:val="28"/>
          <w:szCs w:val="28"/>
        </w:rPr>
        <w:t>»</w:t>
      </w:r>
      <w:r w:rsidRPr="004901B5">
        <w:rPr>
          <w:sz w:val="28"/>
          <w:szCs w:val="28"/>
        </w:rPr>
        <w:t xml:space="preserve">, от 29 декабря 2025 года № 1328 </w:t>
      </w:r>
      <w:r w:rsidR="00721332">
        <w:rPr>
          <w:sz w:val="28"/>
          <w:szCs w:val="28"/>
        </w:rPr>
        <w:t>«</w:t>
      </w:r>
      <w:r w:rsidRPr="004901B5">
        <w:rPr>
          <w:sz w:val="28"/>
          <w:szCs w:val="28"/>
        </w:rPr>
        <w:t xml:space="preserve">О внесении изменений в решение Думы Кондинского района </w:t>
      </w:r>
      <w:r w:rsidR="004901B5">
        <w:rPr>
          <w:sz w:val="28"/>
          <w:szCs w:val="28"/>
        </w:rPr>
        <w:t xml:space="preserve">                                </w:t>
      </w:r>
      <w:r w:rsidRPr="004901B5">
        <w:rPr>
          <w:sz w:val="28"/>
          <w:szCs w:val="28"/>
        </w:rPr>
        <w:t xml:space="preserve">от 25 декабря 2024 года № 1212 </w:t>
      </w:r>
      <w:r w:rsidR="00721332">
        <w:rPr>
          <w:sz w:val="28"/>
          <w:szCs w:val="28"/>
        </w:rPr>
        <w:t>«</w:t>
      </w:r>
      <w:r w:rsidRPr="004901B5">
        <w:rPr>
          <w:sz w:val="28"/>
          <w:szCs w:val="28"/>
        </w:rPr>
        <w:t>О бюджете муниципального образования Кондинский район на 2025 год и на плановый период 2026 и 2027 годов</w:t>
      </w:r>
      <w:r w:rsidR="00721332">
        <w:rPr>
          <w:sz w:val="28"/>
          <w:szCs w:val="28"/>
        </w:rPr>
        <w:t>»</w:t>
      </w:r>
      <w:r w:rsidRPr="004901B5">
        <w:rPr>
          <w:sz w:val="28"/>
          <w:szCs w:val="28"/>
        </w:rPr>
        <w:t>,</w:t>
      </w:r>
      <w:r w:rsidR="004901B5" w:rsidRPr="004901B5">
        <w:rPr>
          <w:sz w:val="28"/>
          <w:szCs w:val="28"/>
        </w:rPr>
        <w:t xml:space="preserve"> </w:t>
      </w:r>
      <w:r w:rsidRPr="004901B5">
        <w:rPr>
          <w:b/>
          <w:sz w:val="28"/>
          <w:szCs w:val="28"/>
        </w:rPr>
        <w:t>администрация Кондинского района постановляет:</w:t>
      </w:r>
      <w:r w:rsidRPr="004901B5">
        <w:rPr>
          <w:b/>
          <w:spacing w:val="20"/>
          <w:sz w:val="28"/>
          <w:szCs w:val="28"/>
        </w:rPr>
        <w:t xml:space="preserve"> </w:t>
      </w:r>
    </w:p>
    <w:p w:rsidR="00245782" w:rsidRPr="004901B5" w:rsidRDefault="00245782" w:rsidP="004901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1B5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4901B5">
        <w:rPr>
          <w:sz w:val="28"/>
          <w:szCs w:val="28"/>
        </w:rPr>
        <w:t xml:space="preserve">                                   </w:t>
      </w:r>
      <w:r w:rsidRPr="004901B5">
        <w:rPr>
          <w:sz w:val="28"/>
          <w:szCs w:val="28"/>
        </w:rPr>
        <w:t xml:space="preserve">от 27 декабря 2024 года № 1393 </w:t>
      </w:r>
      <w:r w:rsidR="00721332">
        <w:rPr>
          <w:sz w:val="28"/>
          <w:szCs w:val="28"/>
        </w:rPr>
        <w:t>«</w:t>
      </w:r>
      <w:r w:rsidRPr="004901B5">
        <w:rPr>
          <w:sz w:val="28"/>
          <w:szCs w:val="28"/>
        </w:rPr>
        <w:t xml:space="preserve">О муниципальной программе Кондинского района </w:t>
      </w:r>
      <w:r w:rsidR="00721332">
        <w:rPr>
          <w:sz w:val="28"/>
          <w:szCs w:val="28"/>
        </w:rPr>
        <w:t>«</w:t>
      </w:r>
      <w:r w:rsidRPr="004901B5">
        <w:rPr>
          <w:sz w:val="28"/>
          <w:szCs w:val="28"/>
        </w:rPr>
        <w:t>Развитие культуры и искусства</w:t>
      </w:r>
      <w:r w:rsidR="00721332">
        <w:rPr>
          <w:sz w:val="28"/>
          <w:szCs w:val="28"/>
        </w:rPr>
        <w:t>»</w:t>
      </w:r>
      <w:r w:rsidRPr="004901B5">
        <w:rPr>
          <w:sz w:val="28"/>
          <w:szCs w:val="28"/>
        </w:rPr>
        <w:t xml:space="preserve"> следующее изменение:</w:t>
      </w:r>
    </w:p>
    <w:p w:rsidR="00245782" w:rsidRPr="004901B5" w:rsidRDefault="00245782" w:rsidP="004901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1B5">
        <w:rPr>
          <w:sz w:val="28"/>
          <w:szCs w:val="28"/>
        </w:rPr>
        <w:t>Приложение к постановлению изложить в новой редакции</w:t>
      </w:r>
      <w:r w:rsidR="004901B5" w:rsidRPr="004901B5">
        <w:rPr>
          <w:sz w:val="28"/>
          <w:szCs w:val="28"/>
        </w:rPr>
        <w:t xml:space="preserve"> </w:t>
      </w:r>
      <w:r w:rsidRPr="004901B5">
        <w:rPr>
          <w:sz w:val="28"/>
          <w:szCs w:val="28"/>
        </w:rPr>
        <w:t>(приложение).</w:t>
      </w:r>
    </w:p>
    <w:p w:rsidR="004901B5" w:rsidRPr="004901B5" w:rsidRDefault="00245782" w:rsidP="004901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901B5">
        <w:rPr>
          <w:color w:val="000000"/>
          <w:sz w:val="28"/>
          <w:szCs w:val="28"/>
        </w:rPr>
        <w:t xml:space="preserve">2. </w:t>
      </w:r>
      <w:r w:rsidR="004901B5" w:rsidRPr="004901B5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721332">
        <w:rPr>
          <w:sz w:val="28"/>
          <w:szCs w:val="28"/>
        </w:rPr>
        <w:t>«</w:t>
      </w:r>
      <w:r w:rsidR="004901B5" w:rsidRPr="004901B5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721332">
        <w:rPr>
          <w:sz w:val="28"/>
          <w:szCs w:val="28"/>
        </w:rPr>
        <w:t>»</w:t>
      </w:r>
      <w:r w:rsidR="004901B5" w:rsidRPr="004901B5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10611B" w:rsidRDefault="004901B5" w:rsidP="004901B5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901B5">
        <w:rPr>
          <w:sz w:val="28"/>
          <w:szCs w:val="28"/>
        </w:rPr>
        <w:t>Постановление вступает в силу после его обнародования.</w:t>
      </w:r>
    </w:p>
    <w:p w:rsidR="004901B5" w:rsidRDefault="004901B5" w:rsidP="00F40CE7">
      <w:pPr>
        <w:jc w:val="both"/>
        <w:rPr>
          <w:color w:val="000000"/>
          <w:sz w:val="28"/>
          <w:szCs w:val="28"/>
        </w:rPr>
      </w:pPr>
    </w:p>
    <w:p w:rsidR="004901B5" w:rsidRPr="004901B5" w:rsidRDefault="004901B5" w:rsidP="00F40CE7">
      <w:pPr>
        <w:jc w:val="both"/>
        <w:rPr>
          <w:color w:val="000000"/>
          <w:sz w:val="28"/>
          <w:szCs w:val="28"/>
        </w:rPr>
      </w:pPr>
    </w:p>
    <w:p w:rsidR="00E335AC" w:rsidRPr="004901B5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901B5" w:rsidTr="004221F7">
        <w:tc>
          <w:tcPr>
            <w:tcW w:w="4785" w:type="dxa"/>
          </w:tcPr>
          <w:p w:rsidR="00424B28" w:rsidRPr="004901B5" w:rsidRDefault="009362FE" w:rsidP="004221F7">
            <w:pPr>
              <w:jc w:val="both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Глава</w:t>
            </w:r>
            <w:r w:rsidR="00424B28" w:rsidRPr="004901B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4901B5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901B5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4901B5">
              <w:rPr>
                <w:sz w:val="28"/>
                <w:szCs w:val="28"/>
              </w:rPr>
              <w:t>А.В.Зяблицев</w:t>
            </w:r>
          </w:p>
        </w:tc>
      </w:tr>
    </w:tbl>
    <w:p w:rsidR="004901B5" w:rsidRDefault="004901B5" w:rsidP="0023731C">
      <w:pPr>
        <w:rPr>
          <w:color w:val="000000"/>
          <w:sz w:val="20"/>
          <w:szCs w:val="20"/>
        </w:rPr>
      </w:pPr>
    </w:p>
    <w:p w:rsidR="00245782" w:rsidRDefault="0069260B" w:rsidP="004901B5"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245782" w:rsidRDefault="00245782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245782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4901B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4901B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4901B5">
      <w:pPr>
        <w:tabs>
          <w:tab w:val="left" w:pos="10206"/>
        </w:tabs>
        <w:ind w:left="10206"/>
      </w:pPr>
      <w:r>
        <w:t xml:space="preserve">от </w:t>
      </w:r>
      <w:r w:rsidR="00B1480E">
        <w:t>0</w:t>
      </w:r>
      <w:r w:rsidR="00EC0A23">
        <w:t>9</w:t>
      </w:r>
      <w:r w:rsidR="00F10A4B">
        <w:t>.</w:t>
      </w:r>
      <w:r w:rsidR="00A4086C">
        <w:t>02</w:t>
      </w:r>
      <w:r w:rsidR="00665740">
        <w:t>.2026</w:t>
      </w:r>
      <w:r w:rsidR="00245782">
        <w:t xml:space="preserve"> №</w:t>
      </w:r>
      <w:r w:rsidR="004901B5">
        <w:t xml:space="preserve"> 137</w:t>
      </w:r>
    </w:p>
    <w:p w:rsidR="00245782" w:rsidRDefault="00245782" w:rsidP="00245782">
      <w:pPr>
        <w:tabs>
          <w:tab w:val="left" w:pos="4962"/>
        </w:tabs>
      </w:pPr>
    </w:p>
    <w:p w:rsidR="00245782" w:rsidRPr="002B2FBC" w:rsidRDefault="00245782" w:rsidP="00245782">
      <w:pPr>
        <w:shd w:val="clear" w:color="auto" w:fill="FFFFFF"/>
        <w:jc w:val="center"/>
        <w:outlineLvl w:val="2"/>
      </w:pPr>
      <w:r w:rsidRPr="002B2FBC">
        <w:t>Паспорт</w:t>
      </w:r>
    </w:p>
    <w:p w:rsidR="00245782" w:rsidRPr="002B2FBC" w:rsidRDefault="00245782" w:rsidP="00245782">
      <w:pPr>
        <w:shd w:val="clear" w:color="auto" w:fill="FFFFFF"/>
        <w:jc w:val="center"/>
      </w:pPr>
      <w:r w:rsidRPr="002B2FBC">
        <w:t xml:space="preserve">муниципальной программы Кондинского района </w:t>
      </w:r>
    </w:p>
    <w:p w:rsidR="00245782" w:rsidRPr="002B2FBC" w:rsidRDefault="00721332" w:rsidP="00245782">
      <w:pPr>
        <w:shd w:val="clear" w:color="auto" w:fill="FFFFFF"/>
        <w:jc w:val="center"/>
      </w:pPr>
      <w:r>
        <w:t>«</w:t>
      </w:r>
      <w:r w:rsidR="00245782" w:rsidRPr="002B2FBC">
        <w:t>Развитие культуры и искусства</w:t>
      </w:r>
      <w:r>
        <w:t>»</w:t>
      </w:r>
    </w:p>
    <w:p w:rsidR="00245782" w:rsidRPr="002B2FBC" w:rsidRDefault="00245782" w:rsidP="00245782">
      <w:pPr>
        <w:shd w:val="clear" w:color="auto" w:fill="FFFFFF"/>
        <w:jc w:val="center"/>
        <w:rPr>
          <w:rFonts w:eastAsia="Calibri"/>
        </w:rPr>
      </w:pPr>
    </w:p>
    <w:p w:rsidR="00245782" w:rsidRPr="002B2FBC" w:rsidRDefault="00245782" w:rsidP="00245782">
      <w:pPr>
        <w:shd w:val="clear" w:color="auto" w:fill="FFFFFF"/>
        <w:jc w:val="center"/>
        <w:rPr>
          <w:rFonts w:eastAsia="Calibri"/>
        </w:rPr>
      </w:pPr>
      <w:r w:rsidRPr="002B2FBC">
        <w:rPr>
          <w:rFonts w:eastAsia="Calibri"/>
          <w:lang w:eastAsia="en-US"/>
        </w:rPr>
        <w:t>1. Основные положения</w:t>
      </w:r>
    </w:p>
    <w:p w:rsidR="00245782" w:rsidRPr="002B2FBC" w:rsidRDefault="00245782" w:rsidP="00245782">
      <w:pPr>
        <w:shd w:val="clear" w:color="auto" w:fill="FFFFFF"/>
        <w:jc w:val="center"/>
        <w:outlineLvl w:val="2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41"/>
      </w:tblGrid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E772AF">
            <w:pPr>
              <w:shd w:val="clear" w:color="auto" w:fill="FFFFFF"/>
              <w:rPr>
                <w:vertAlign w:val="superscript"/>
              </w:rPr>
            </w:pPr>
            <w:r w:rsidRPr="00A040C3">
              <w:t>Куратор муниципальной программы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jc w:val="both"/>
            </w:pPr>
            <w:r w:rsidRPr="00A040C3">
              <w:t>Бабушкин Денис Владимирович - заместитель главы Кондинского района</w:t>
            </w:r>
          </w:p>
        </w:tc>
      </w:tr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E772AF">
            <w:pPr>
              <w:shd w:val="clear" w:color="auto" w:fill="FFFFFF"/>
              <w:rPr>
                <w:vertAlign w:val="superscript"/>
              </w:rPr>
            </w:pPr>
            <w:r w:rsidRPr="00A040C3">
              <w:t>Ответственный исполнитель муниципальной программы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jc w:val="both"/>
            </w:pPr>
            <w:r w:rsidRPr="00A040C3">
              <w:t>Отдел культуры администрации Кондинского района (далее - Отдел культуры)</w:t>
            </w:r>
          </w:p>
        </w:tc>
      </w:tr>
    </w:tbl>
    <w:p w:rsidR="00245782" w:rsidRPr="00A040C3" w:rsidRDefault="00245782" w:rsidP="00245782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41"/>
      </w:tblGrid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rPr>
                <w:vertAlign w:val="superscript"/>
              </w:rPr>
            </w:pPr>
            <w:r w:rsidRPr="00A040C3">
              <w:t>Период реализации муниципальной программы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jc w:val="both"/>
            </w:pPr>
            <w:r w:rsidRPr="00A040C3">
              <w:t xml:space="preserve">2025-2030 </w:t>
            </w:r>
          </w:p>
        </w:tc>
      </w:tr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</w:pPr>
            <w:r w:rsidRPr="00A040C3">
              <w:t>Цели муниципальной программы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jc w:val="both"/>
            </w:pPr>
            <w:r w:rsidRPr="00A040C3">
              <w:rPr>
                <w:color w:val="000000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Кондинского района, доступа населения к культурным ценностям, цифровым ресурсам в сфере культуры</w:t>
            </w:r>
          </w:p>
        </w:tc>
      </w:tr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rPr>
                <w:color w:val="000000"/>
                <w:vertAlign w:val="superscript"/>
              </w:rPr>
            </w:pPr>
            <w:r w:rsidRPr="00A040C3">
              <w:rPr>
                <w:color w:val="000000"/>
              </w:rPr>
              <w:t>Направления (подпрограммы) муниципальной программы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A040C3">
              <w:t>-</w:t>
            </w:r>
          </w:p>
        </w:tc>
      </w:tr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pStyle w:val="aff2"/>
              <w:rPr>
                <w:b w:val="0"/>
                <w:sz w:val="24"/>
                <w:szCs w:val="24"/>
              </w:rPr>
            </w:pPr>
            <w:r w:rsidRPr="00A040C3">
              <w:rPr>
                <w:b w:val="0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pStyle w:val="aff2"/>
              <w:jc w:val="both"/>
              <w:rPr>
                <w:b w:val="0"/>
                <w:sz w:val="24"/>
                <w:szCs w:val="24"/>
              </w:rPr>
            </w:pPr>
            <w:r w:rsidRPr="00E84D02">
              <w:rPr>
                <w:b w:val="0"/>
                <w:color w:val="000000"/>
                <w:sz w:val="24"/>
                <w:szCs w:val="24"/>
              </w:rPr>
              <w:t>2 165 496,3</w:t>
            </w:r>
            <w:r>
              <w:rPr>
                <w:color w:val="000000"/>
              </w:rPr>
              <w:t xml:space="preserve"> </w:t>
            </w:r>
            <w:r w:rsidRPr="00A040C3">
              <w:rPr>
                <w:b w:val="0"/>
                <w:sz w:val="24"/>
                <w:szCs w:val="24"/>
              </w:rPr>
              <w:t>тыс. рублей</w:t>
            </w:r>
          </w:p>
        </w:tc>
      </w:tr>
      <w:tr w:rsidR="00245782" w:rsidRPr="00A040C3" w:rsidTr="00E772AF">
        <w:trPr>
          <w:trHeight w:val="68"/>
          <w:jc w:val="center"/>
        </w:trPr>
        <w:tc>
          <w:tcPr>
            <w:tcW w:w="2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shd w:val="clear" w:color="auto" w:fill="FFFFFF"/>
              <w:rPr>
                <w:color w:val="000000"/>
              </w:rPr>
            </w:pPr>
            <w:r w:rsidRPr="00A040C3">
              <w:rPr>
                <w:rFonts w:eastAsia="Calibri"/>
                <w:color w:val="000000"/>
                <w:lang w:eastAsia="en-US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5782" w:rsidRPr="00A040C3" w:rsidRDefault="00245782" w:rsidP="004901B5">
            <w:pPr>
              <w:jc w:val="both"/>
              <w:rPr>
                <w:rFonts w:eastAsia="Calibri"/>
                <w:lang w:eastAsia="en-US"/>
              </w:rPr>
            </w:pPr>
            <w:r w:rsidRPr="00A040C3">
              <w:rPr>
                <w:color w:val="000000"/>
              </w:rPr>
              <w:t>1. Реализация потенциала каждого человека, развитие его талантов, воспитание патриотичной и социальной ответственной личности:</w:t>
            </w:r>
            <w:r w:rsidRPr="00A040C3">
              <w:rPr>
                <w:rFonts w:eastAsia="Calibri"/>
                <w:lang w:eastAsia="en-US"/>
              </w:rPr>
              <w:t xml:space="preserve"> </w:t>
            </w:r>
          </w:p>
          <w:p w:rsidR="00245782" w:rsidRPr="00A040C3" w:rsidRDefault="00245782" w:rsidP="004901B5">
            <w:pPr>
              <w:jc w:val="both"/>
            </w:pPr>
            <w:r w:rsidRPr="00A040C3">
              <w:rPr>
                <w:rFonts w:eastAsia="Calibri"/>
                <w:lang w:eastAsia="en-US"/>
              </w:rPr>
              <w:t xml:space="preserve">1.1. Показатель </w:t>
            </w:r>
            <w:r w:rsidR="00721332">
              <w:rPr>
                <w:rFonts w:eastAsia="Calibri"/>
                <w:lang w:eastAsia="en-US"/>
              </w:rPr>
              <w:t>«</w:t>
            </w:r>
            <w:r w:rsidRPr="00A040C3"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  <w:r w:rsidR="00721332">
              <w:t>»</w:t>
            </w:r>
            <w:r w:rsidRPr="00A040C3">
              <w:t>.</w:t>
            </w:r>
          </w:p>
          <w:p w:rsidR="00245782" w:rsidRPr="00A040C3" w:rsidRDefault="00245782" w:rsidP="004901B5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A040C3">
              <w:rPr>
                <w:rFonts w:eastAsia="TimesNewRoman"/>
                <w:color w:val="000000"/>
              </w:rPr>
              <w:t xml:space="preserve">2. Государственная программа </w:t>
            </w:r>
            <w:r w:rsidRPr="00A040C3">
              <w:rPr>
                <w:rFonts w:eastAsia="Calibri"/>
                <w:lang w:eastAsia="en-US"/>
              </w:rPr>
              <w:t xml:space="preserve">Ханты-Мансийского автономного округа – Югры </w:t>
            </w:r>
            <w:r w:rsidR="00721332">
              <w:rPr>
                <w:rFonts w:eastAsia="Calibri"/>
                <w:lang w:eastAsia="en-US"/>
              </w:rPr>
              <w:t>«</w:t>
            </w:r>
            <w:r w:rsidRPr="00A040C3">
              <w:rPr>
                <w:rFonts w:eastAsia="Calibri"/>
                <w:lang w:eastAsia="en-US"/>
              </w:rPr>
              <w:t>Культурное пространство</w:t>
            </w:r>
            <w:r w:rsidR="00721332">
              <w:rPr>
                <w:rFonts w:eastAsia="Calibri"/>
                <w:lang w:eastAsia="en-US"/>
              </w:rPr>
              <w:t>»</w:t>
            </w:r>
            <w:r w:rsidRPr="00A040C3">
              <w:rPr>
                <w:rFonts w:eastAsia="Calibri"/>
                <w:lang w:eastAsia="en-US"/>
              </w:rPr>
              <w:t>:</w:t>
            </w:r>
          </w:p>
          <w:p w:rsidR="00245782" w:rsidRPr="00A040C3" w:rsidRDefault="00245782" w:rsidP="004901B5">
            <w:pPr>
              <w:jc w:val="both"/>
              <w:rPr>
                <w:color w:val="000000"/>
              </w:rPr>
            </w:pPr>
            <w:r w:rsidRPr="00A040C3">
              <w:rPr>
                <w:color w:val="000000"/>
              </w:rPr>
              <w:t xml:space="preserve">2.1. Показатель </w:t>
            </w:r>
            <w:r w:rsidR="00721332">
              <w:rPr>
                <w:color w:val="000000"/>
              </w:rPr>
              <w:t>«</w:t>
            </w:r>
            <w:r w:rsidRPr="00A040C3">
              <w:rPr>
                <w:rFonts w:eastAsia="Calibri"/>
                <w:lang w:eastAsia="en-US"/>
              </w:rPr>
              <w:t>Число посещений культурных мероприятий</w:t>
            </w:r>
            <w:r w:rsidR="00721332">
              <w:rPr>
                <w:color w:val="000000"/>
              </w:rPr>
              <w:t>»</w:t>
            </w:r>
            <w:r w:rsidRPr="00A040C3">
              <w:rPr>
                <w:color w:val="000000"/>
              </w:rPr>
              <w:t>.</w:t>
            </w:r>
          </w:p>
          <w:p w:rsidR="00245782" w:rsidRPr="00A040C3" w:rsidRDefault="00245782" w:rsidP="004901B5">
            <w:pPr>
              <w:jc w:val="both"/>
            </w:pPr>
            <w:r w:rsidRPr="00A040C3">
              <w:t>2.2</w:t>
            </w:r>
            <w:r>
              <w:t>.</w:t>
            </w:r>
            <w:r w:rsidRPr="00A040C3">
              <w:t xml:space="preserve"> Показатель </w:t>
            </w:r>
            <w:r w:rsidR="00721332">
              <w:t>«</w:t>
            </w:r>
            <w:r w:rsidRPr="00A040C3"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  <w:r w:rsidR="00721332">
              <w:t>»</w:t>
            </w:r>
          </w:p>
        </w:tc>
      </w:tr>
    </w:tbl>
    <w:p w:rsidR="00245782" w:rsidRPr="00A040C3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p w:rsidR="00245782" w:rsidRPr="00A040C3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p w:rsidR="00245782" w:rsidRPr="00A040C3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p w:rsidR="00245782" w:rsidRPr="00A040C3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p w:rsidR="00245782" w:rsidRPr="004901B5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901B5">
        <w:rPr>
          <w:rFonts w:ascii="Times New Roman" w:hAnsi="Times New Roman"/>
          <w:sz w:val="24"/>
          <w:szCs w:val="24"/>
        </w:rPr>
        <w:lastRenderedPageBreak/>
        <w:t>2. Показатели муниципальной программы</w:t>
      </w:r>
    </w:p>
    <w:p w:rsidR="00245782" w:rsidRPr="004901B5" w:rsidRDefault="00245782" w:rsidP="00245782">
      <w:pPr>
        <w:pStyle w:val="af9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856"/>
        <w:gridCol w:w="1032"/>
        <w:gridCol w:w="1033"/>
        <w:gridCol w:w="830"/>
        <w:gridCol w:w="543"/>
        <w:gridCol w:w="681"/>
        <w:gridCol w:w="681"/>
        <w:gridCol w:w="681"/>
        <w:gridCol w:w="681"/>
        <w:gridCol w:w="681"/>
        <w:gridCol w:w="689"/>
        <w:gridCol w:w="2188"/>
        <w:gridCol w:w="1370"/>
        <w:gridCol w:w="1540"/>
      </w:tblGrid>
      <w:tr w:rsidR="00721332" w:rsidRPr="004901B5" w:rsidTr="00721332">
        <w:trPr>
          <w:trHeight w:val="68"/>
        </w:trPr>
        <w:tc>
          <w:tcPr>
            <w:tcW w:w="147" w:type="pct"/>
            <w:vMerge w:val="restar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shd w:val="clear" w:color="auto" w:fill="auto"/>
          </w:tcPr>
          <w:p w:rsidR="00245782" w:rsidRPr="004901B5" w:rsidRDefault="00245782" w:rsidP="0072133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346" w:type="pct"/>
            <w:vMerge w:val="restar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1371" w:type="pct"/>
            <w:gridSpan w:val="6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733" w:type="pct"/>
            <w:vMerge w:val="restar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Документ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245782" w:rsidRPr="004901B5" w:rsidRDefault="00245782" w:rsidP="00E772AF">
            <w:pPr>
              <w:ind w:left="-110" w:right="-145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rFonts w:eastAsia="Calibri"/>
                <w:sz w:val="16"/>
                <w:szCs w:val="16"/>
              </w:rPr>
              <w:t xml:space="preserve">Ответственный </w:t>
            </w:r>
          </w:p>
          <w:p w:rsidR="00245782" w:rsidRPr="004901B5" w:rsidRDefault="00245782" w:rsidP="00E772AF">
            <w:pPr>
              <w:ind w:left="-110" w:right="-145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rFonts w:eastAsia="Calibri"/>
                <w:sz w:val="16"/>
                <w:szCs w:val="16"/>
              </w:rPr>
              <w:t>за достижение показателя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245782" w:rsidRPr="004901B5" w:rsidRDefault="00245782" w:rsidP="00E772AF">
            <w:pPr>
              <w:ind w:left="-144" w:right="-17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Связь с показателями национальных </w:t>
            </w:r>
          </w:p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целей</w:t>
            </w:r>
          </w:p>
        </w:tc>
      </w:tr>
      <w:tr w:rsidR="00721332" w:rsidRPr="004901B5" w:rsidTr="00721332">
        <w:trPr>
          <w:trHeight w:val="68"/>
        </w:trPr>
        <w:tc>
          <w:tcPr>
            <w:tcW w:w="147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182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28" w:type="pct"/>
          </w:tcPr>
          <w:p w:rsidR="00245782" w:rsidRPr="004901B5" w:rsidRDefault="00245782" w:rsidP="00E772AF">
            <w:pPr>
              <w:pStyle w:val="ConsPlusNorma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sz w:val="16"/>
                <w:szCs w:val="16"/>
              </w:rPr>
              <w:t>2027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2029 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2030 </w:t>
            </w:r>
          </w:p>
        </w:tc>
        <w:tc>
          <w:tcPr>
            <w:tcW w:w="733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332" w:rsidRPr="004901B5" w:rsidTr="00721332">
        <w:trPr>
          <w:trHeight w:val="68"/>
        </w:trPr>
        <w:tc>
          <w:tcPr>
            <w:tcW w:w="147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8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2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8" w:type="pct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A05A52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33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9" w:type="pct"/>
            <w:shd w:val="clear" w:color="auto" w:fill="auto"/>
          </w:tcPr>
          <w:p w:rsidR="00245782" w:rsidRPr="004901B5" w:rsidRDefault="00245782" w:rsidP="00A05A52">
            <w:pPr>
              <w:jc w:val="center"/>
              <w:rPr>
                <w:sz w:val="16"/>
                <w:szCs w:val="16"/>
              </w:rPr>
            </w:pPr>
            <w:r w:rsidRPr="004901B5">
              <w:rPr>
                <w:sz w:val="16"/>
                <w:szCs w:val="16"/>
              </w:rPr>
              <w:t>14</w:t>
            </w:r>
          </w:p>
        </w:tc>
        <w:tc>
          <w:tcPr>
            <w:tcW w:w="516" w:type="pct"/>
            <w:shd w:val="clear" w:color="auto" w:fill="auto"/>
          </w:tcPr>
          <w:p w:rsidR="00245782" w:rsidRPr="004901B5" w:rsidRDefault="00245782" w:rsidP="00A05A52">
            <w:pPr>
              <w:shd w:val="clear" w:color="auto" w:fill="FFFFFF"/>
              <w:jc w:val="center"/>
              <w:rPr>
                <w:rFonts w:eastAsia="TimesNewRoman"/>
                <w:color w:val="000000"/>
                <w:sz w:val="16"/>
                <w:szCs w:val="16"/>
              </w:rPr>
            </w:pPr>
            <w:r w:rsidRPr="004901B5">
              <w:rPr>
                <w:rFonts w:eastAsia="TimesNewRoman"/>
                <w:color w:val="000000"/>
                <w:sz w:val="16"/>
                <w:szCs w:val="16"/>
              </w:rPr>
              <w:t>15</w:t>
            </w:r>
          </w:p>
        </w:tc>
      </w:tr>
      <w:tr w:rsidR="00721332" w:rsidRPr="004901B5" w:rsidTr="00721332">
        <w:trPr>
          <w:trHeight w:val="68"/>
        </w:trPr>
        <w:tc>
          <w:tcPr>
            <w:tcW w:w="147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22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Число посещений культурных мероприятий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РП вне НП,</w:t>
            </w:r>
          </w:p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ГП АО</w:t>
            </w:r>
          </w:p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тыс. ед.</w:t>
            </w:r>
          </w:p>
        </w:tc>
        <w:tc>
          <w:tcPr>
            <w:tcW w:w="27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647</w:t>
            </w:r>
          </w:p>
        </w:tc>
        <w:tc>
          <w:tcPr>
            <w:tcW w:w="182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869</w:t>
            </w:r>
          </w:p>
        </w:tc>
        <w:tc>
          <w:tcPr>
            <w:tcW w:w="228" w:type="pct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967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1062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1298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1389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01B5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733" w:type="pct"/>
            <w:shd w:val="clear" w:color="auto" w:fill="auto"/>
          </w:tcPr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от 10 ноября 2023 года </w:t>
            </w:r>
          </w:p>
          <w:p w:rsidR="00245782" w:rsidRPr="004901B5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№ 548-п 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«О государ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ственной программе Ханты-Мансийского автономного округа – Югры 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«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>Культурное пространство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»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 (далее - постановление Правительства автономного округа </w:t>
            </w:r>
          </w:p>
          <w:p w:rsidR="00245782" w:rsidRPr="004901B5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от 10 ноября 2023 года </w:t>
            </w:r>
          </w:p>
          <w:p w:rsidR="00245782" w:rsidRPr="004901B5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№ 548-п)</w:t>
            </w:r>
          </w:p>
        </w:tc>
        <w:tc>
          <w:tcPr>
            <w:tcW w:w="459" w:type="pct"/>
            <w:shd w:val="clear" w:color="auto" w:fill="auto"/>
          </w:tcPr>
          <w:p w:rsidR="00245782" w:rsidRPr="004901B5" w:rsidRDefault="00245782" w:rsidP="00E772AF">
            <w:pPr>
              <w:jc w:val="center"/>
              <w:rPr>
                <w:sz w:val="16"/>
                <w:szCs w:val="16"/>
              </w:rPr>
            </w:pPr>
            <w:r w:rsidRPr="004901B5">
              <w:rPr>
                <w:sz w:val="16"/>
                <w:szCs w:val="16"/>
              </w:rPr>
              <w:t>Отдел культуры</w:t>
            </w:r>
          </w:p>
          <w:p w:rsidR="00245782" w:rsidRPr="004901B5" w:rsidRDefault="00245782" w:rsidP="00E772A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21332" w:rsidRPr="004901B5" w:rsidTr="00721332">
        <w:trPr>
          <w:trHeight w:val="68"/>
        </w:trPr>
        <w:tc>
          <w:tcPr>
            <w:tcW w:w="147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622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sz w:val="16"/>
                <w:szCs w:val="16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ГП АО</w:t>
            </w:r>
          </w:p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7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47,0</w:t>
            </w:r>
          </w:p>
        </w:tc>
        <w:tc>
          <w:tcPr>
            <w:tcW w:w="182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228" w:type="pct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733" w:type="pct"/>
            <w:shd w:val="clear" w:color="auto" w:fill="auto"/>
          </w:tcPr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Постановление Правительства автономного округа </w:t>
            </w:r>
          </w:p>
          <w:p w:rsidR="00721332" w:rsidRDefault="00245782" w:rsidP="00721332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от 10 ноября 2023 года </w:t>
            </w:r>
          </w:p>
          <w:p w:rsidR="00245782" w:rsidRPr="004901B5" w:rsidRDefault="00245782" w:rsidP="00721332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№ 548-п</w:t>
            </w:r>
          </w:p>
        </w:tc>
        <w:tc>
          <w:tcPr>
            <w:tcW w:w="459" w:type="pct"/>
            <w:shd w:val="clear" w:color="auto" w:fill="auto"/>
          </w:tcPr>
          <w:p w:rsidR="00245782" w:rsidRPr="004901B5" w:rsidRDefault="00245782" w:rsidP="00E772A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sz w:val="16"/>
                <w:szCs w:val="16"/>
              </w:rPr>
              <w:t xml:space="preserve">Отдел культуры </w:t>
            </w:r>
          </w:p>
        </w:tc>
        <w:tc>
          <w:tcPr>
            <w:tcW w:w="516" w:type="pct"/>
            <w:shd w:val="clear" w:color="auto" w:fill="auto"/>
          </w:tcPr>
          <w:p w:rsidR="00721332" w:rsidRDefault="00245782" w:rsidP="00E772A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901B5">
              <w:rPr>
                <w:sz w:val="16"/>
                <w:szCs w:val="16"/>
              </w:rPr>
              <w:t>Повышение</w:t>
            </w:r>
          </w:p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sz w:val="16"/>
                <w:szCs w:val="16"/>
              </w:rPr>
              <w:t>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21332" w:rsidRPr="004901B5" w:rsidTr="00721332">
        <w:trPr>
          <w:trHeight w:val="68"/>
        </w:trPr>
        <w:tc>
          <w:tcPr>
            <w:tcW w:w="147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622" w:type="pct"/>
            <w:shd w:val="clear" w:color="auto" w:fill="auto"/>
          </w:tcPr>
          <w:p w:rsidR="00245782" w:rsidRPr="004901B5" w:rsidRDefault="00245782" w:rsidP="00721332">
            <w:pPr>
              <w:shd w:val="clear" w:color="auto" w:fill="FFFFFF"/>
              <w:ind w:right="-106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Доля средств бюджета Кондинского района, выделяемых немуниципальным организациям (коммерческим, некоммерческим), в т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ом числе социально ориентирован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>ным некоммерческим организациям, в общем объеме средств бюджета Кондинского района, выделяемых на предоставление услуг в социальной сфере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TimesNewRoman"/>
                <w:color w:val="000000"/>
                <w:sz w:val="16"/>
                <w:szCs w:val="16"/>
              </w:rPr>
            </w:pPr>
            <w:r w:rsidRPr="004901B5">
              <w:rPr>
                <w:rFonts w:eastAsia="TimesNew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34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78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0,2</w:t>
            </w:r>
          </w:p>
        </w:tc>
        <w:tc>
          <w:tcPr>
            <w:tcW w:w="182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28" w:type="pct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28" w:type="pct"/>
            <w:shd w:val="clear" w:color="auto" w:fill="auto"/>
          </w:tcPr>
          <w:p w:rsidR="00245782" w:rsidRPr="004901B5" w:rsidRDefault="00245782" w:rsidP="00E772AF">
            <w:pPr>
              <w:pStyle w:val="1a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B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33" w:type="pct"/>
            <w:shd w:val="clear" w:color="auto" w:fill="auto"/>
          </w:tcPr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Распоряжение администрации Кондинского района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от 26 декабря 2025 года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№ 871-р 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«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 плане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мероприятий (дорожной карте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»</w:t>
            </w: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) по поддержке доступа немуниципальных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организаций (коммерческих, некоммерческих)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к предоставлению услуг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в социальной сфере </w:t>
            </w:r>
          </w:p>
          <w:p w:rsidR="00721332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 xml:space="preserve">в Кондинском районе </w:t>
            </w:r>
          </w:p>
          <w:p w:rsidR="00245782" w:rsidRPr="004901B5" w:rsidRDefault="00245782" w:rsidP="00E772AF">
            <w:pPr>
              <w:shd w:val="clear" w:color="auto" w:fill="FFFFFF"/>
              <w:ind w:left="-110" w:right="-10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01B5">
              <w:rPr>
                <w:rFonts w:eastAsia="Calibri"/>
                <w:sz w:val="16"/>
                <w:szCs w:val="16"/>
                <w:lang w:eastAsia="en-US"/>
              </w:rPr>
              <w:t>на 2026-2030 годы</w:t>
            </w:r>
            <w:r w:rsidR="00721332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59" w:type="pct"/>
            <w:shd w:val="clear" w:color="auto" w:fill="auto"/>
          </w:tcPr>
          <w:p w:rsidR="00245782" w:rsidRPr="004901B5" w:rsidRDefault="00245782" w:rsidP="00E772AF">
            <w:pPr>
              <w:jc w:val="center"/>
              <w:rPr>
                <w:sz w:val="16"/>
                <w:szCs w:val="16"/>
              </w:rPr>
            </w:pPr>
            <w:r w:rsidRPr="004901B5">
              <w:rPr>
                <w:sz w:val="16"/>
                <w:szCs w:val="16"/>
              </w:rPr>
              <w:t>Отдел культуры</w:t>
            </w:r>
          </w:p>
        </w:tc>
        <w:tc>
          <w:tcPr>
            <w:tcW w:w="516" w:type="pct"/>
            <w:shd w:val="clear" w:color="auto" w:fill="auto"/>
          </w:tcPr>
          <w:p w:rsidR="00245782" w:rsidRPr="004901B5" w:rsidRDefault="00245782" w:rsidP="00E772AF">
            <w:pPr>
              <w:shd w:val="clear" w:color="auto" w:fill="FFFFFF"/>
              <w:jc w:val="center"/>
              <w:rPr>
                <w:rFonts w:eastAsia="TimesNewRoman"/>
                <w:color w:val="000000"/>
                <w:sz w:val="16"/>
                <w:szCs w:val="16"/>
              </w:rPr>
            </w:pPr>
          </w:p>
        </w:tc>
      </w:tr>
    </w:tbl>
    <w:p w:rsidR="00721332" w:rsidRDefault="00721332" w:rsidP="00245782">
      <w:pPr>
        <w:shd w:val="clear" w:color="auto" w:fill="FFFFFF"/>
        <w:jc w:val="center"/>
        <w:outlineLvl w:val="2"/>
      </w:pPr>
    </w:p>
    <w:p w:rsidR="00721332" w:rsidRDefault="00721332" w:rsidP="00245782">
      <w:pPr>
        <w:shd w:val="clear" w:color="auto" w:fill="FFFFFF"/>
        <w:jc w:val="center"/>
        <w:outlineLvl w:val="2"/>
      </w:pPr>
    </w:p>
    <w:p w:rsidR="00721332" w:rsidRDefault="00721332" w:rsidP="00245782">
      <w:pPr>
        <w:shd w:val="clear" w:color="auto" w:fill="FFFFFF"/>
        <w:jc w:val="center"/>
        <w:outlineLvl w:val="2"/>
      </w:pPr>
    </w:p>
    <w:p w:rsidR="00245782" w:rsidRPr="00A040C3" w:rsidRDefault="00245782" w:rsidP="00245782">
      <w:pPr>
        <w:shd w:val="clear" w:color="auto" w:fill="FFFFFF"/>
        <w:jc w:val="center"/>
        <w:outlineLvl w:val="2"/>
      </w:pPr>
      <w:r w:rsidRPr="00A040C3">
        <w:lastRenderedPageBreak/>
        <w:t>3. Структура муниципальной программы</w:t>
      </w:r>
    </w:p>
    <w:p w:rsidR="00245782" w:rsidRPr="00A040C3" w:rsidRDefault="00245782" w:rsidP="00245782">
      <w:pPr>
        <w:shd w:val="clear" w:color="auto" w:fill="FFFFFF"/>
        <w:jc w:val="right"/>
        <w:outlineLvl w:val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"/>
        <w:gridCol w:w="4698"/>
        <w:gridCol w:w="51"/>
        <w:gridCol w:w="6465"/>
        <w:gridCol w:w="3009"/>
      </w:tblGrid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Задачи структурного элемента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Связь с показателями 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Региональный проект </w:t>
            </w:r>
            <w:r w:rsid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Семейные ценности и инфраструктура культуры</w:t>
            </w:r>
            <w:r w:rsidR="00721332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за реализацию: </w:t>
            </w:r>
            <w:r w:rsidRPr="0072133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Срок реализации: 2025-2030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Создание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реновации региональных и муниципальных организаций культуры:</w:t>
            </w:r>
          </w:p>
          <w:p w:rsidR="00245782" w:rsidRPr="00721332" w:rsidRDefault="00721332" w:rsidP="00721332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245782" w:rsidRPr="00721332">
              <w:rPr>
                <w:color w:val="000000"/>
                <w:sz w:val="20"/>
                <w:szCs w:val="20"/>
              </w:rPr>
              <w:t>оздание детского культурно-просветительского центра на базе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="00245782" w:rsidRPr="00721332">
              <w:rPr>
                <w:color w:val="000000"/>
                <w:sz w:val="20"/>
                <w:szCs w:val="20"/>
              </w:rPr>
              <w:t xml:space="preserve">муниципального учреждения культуры </w:t>
            </w:r>
            <w:r>
              <w:rPr>
                <w:color w:val="000000"/>
                <w:sz w:val="20"/>
                <w:szCs w:val="20"/>
              </w:rPr>
              <w:t>«</w:t>
            </w:r>
            <w:r w:rsidR="00245782" w:rsidRPr="00721332">
              <w:rPr>
                <w:color w:val="000000"/>
                <w:sz w:val="20"/>
                <w:szCs w:val="20"/>
              </w:rPr>
              <w:t>Кондинская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="00245782" w:rsidRPr="00721332">
              <w:rPr>
                <w:color w:val="000000"/>
                <w:sz w:val="20"/>
                <w:szCs w:val="20"/>
              </w:rPr>
              <w:t>межпоселенческая централизованная библиотечная система</w:t>
            </w:r>
            <w:r>
              <w:rPr>
                <w:color w:val="000000"/>
                <w:sz w:val="20"/>
                <w:szCs w:val="20"/>
              </w:rPr>
              <w:t>»</w:t>
            </w:r>
            <w:r w:rsidR="00245782" w:rsidRPr="00721332">
              <w:rPr>
                <w:color w:val="000000"/>
                <w:sz w:val="20"/>
                <w:szCs w:val="20"/>
              </w:rPr>
              <w:t xml:space="preserve">. 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1332">
              <w:rPr>
                <w:color w:val="000000"/>
                <w:sz w:val="20"/>
                <w:szCs w:val="20"/>
                <w:shd w:val="clear" w:color="auto" w:fill="FFFFFF"/>
              </w:rPr>
              <w:t xml:space="preserve">Детский центр будет оказывать многостороннее влияние на развитие социокультурной инфраструктуры территории, создавая пространство для обучения, творчества и общения, формируя активное гражданское общество и укрепляя местные культурные традиции. Это будет способствовать созданию более сплоченного и устойчивого сообщества, что в конечном итоге улучшит качество жизни жителей и создаст условия для будущего развития; 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21332">
              <w:rPr>
                <w:color w:val="000000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>Число п</w:t>
            </w:r>
            <w:r w:rsidR="00721332">
              <w:rPr>
                <w:rFonts w:ascii="Times New Roman" w:hAnsi="Times New Roman" w:cs="Times New Roman"/>
              </w:rPr>
              <w:t>осещений культурных мероприятий.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Региональный проект </w:t>
            </w:r>
            <w:r w:rsid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Сохранение культурного и исторического наследия</w:t>
            </w:r>
            <w:r w:rsidR="00721332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b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за реализацию: </w:t>
            </w:r>
            <w:r w:rsidRPr="0072133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Срок реализации: 2025-2030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Пополнение книжными фондами библиотек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aff2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Создание условий для повышения уровня комплектования библиотек, устойчивого развития библиотечной сети Кондинского района,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>Число п</w:t>
            </w:r>
            <w:r w:rsidR="00721332">
              <w:rPr>
                <w:rFonts w:ascii="Times New Roman" w:hAnsi="Times New Roman" w:cs="Times New Roman"/>
              </w:rPr>
              <w:t>осещений культурных мероприятий.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TimesNewRoman"/>
                <w:b/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>Модернизация библиотек муниципальных образований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aff2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color w:val="000000"/>
                <w:sz w:val="20"/>
                <w:szCs w:val="20"/>
              </w:rPr>
              <w:t xml:space="preserve">Создание условий для устойчивого развития библиотечной сети путем подключения общедоступных библиотек к сети </w:t>
            </w:r>
            <w:r w:rsidR="00721332">
              <w:rPr>
                <w:b w:val="0"/>
                <w:color w:val="000000"/>
                <w:sz w:val="20"/>
                <w:szCs w:val="20"/>
              </w:rPr>
              <w:t>«</w:t>
            </w:r>
            <w:r w:rsidRPr="00721332">
              <w:rPr>
                <w:b w:val="0"/>
                <w:color w:val="000000"/>
                <w:sz w:val="20"/>
                <w:szCs w:val="20"/>
              </w:rPr>
              <w:t>Интернет</w:t>
            </w:r>
            <w:r w:rsidR="00721332">
              <w:rPr>
                <w:b w:val="0"/>
                <w:color w:val="000000"/>
                <w:sz w:val="20"/>
                <w:szCs w:val="20"/>
              </w:rPr>
              <w:t>»</w:t>
            </w:r>
            <w:r w:rsidRPr="00721332">
              <w:rPr>
                <w:b w:val="0"/>
                <w:color w:val="000000"/>
                <w:sz w:val="20"/>
                <w:szCs w:val="20"/>
              </w:rPr>
              <w:t xml:space="preserve">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проведения локально-вычислительных сетей, модернизации межпоселенческих библиотек, расположенных в сельской местности, модернизации детских библиотек, создания (модернизации) детских зон </w:t>
            </w:r>
            <w:r w:rsidRPr="00721332">
              <w:rPr>
                <w:b w:val="0"/>
                <w:color w:val="000000"/>
                <w:sz w:val="20"/>
                <w:szCs w:val="20"/>
              </w:rPr>
              <w:lastRenderedPageBreak/>
              <w:t>обслуживания и библиотечных пунктов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lastRenderedPageBreak/>
              <w:t>Число п</w:t>
            </w:r>
            <w:r w:rsidR="00721332">
              <w:rPr>
                <w:rFonts w:ascii="Times New Roman" w:hAnsi="Times New Roman" w:cs="Times New Roman"/>
              </w:rPr>
              <w:t>осещений культурных мероприятий.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TimesNewRoman"/>
                <w:b/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4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aff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  <w:r w:rsidRPr="00721332">
              <w:rPr>
                <w:b w:val="0"/>
                <w:sz w:val="20"/>
                <w:szCs w:val="20"/>
              </w:rPr>
              <w:t xml:space="preserve">Комплекс процессных мероприятий </w:t>
            </w:r>
            <w:r w:rsidR="00721332">
              <w:rPr>
                <w:b w:val="0"/>
                <w:sz w:val="20"/>
                <w:szCs w:val="20"/>
              </w:rPr>
              <w:t>«</w:t>
            </w:r>
            <w:r w:rsidRPr="00721332">
              <w:rPr>
                <w:b w:val="0"/>
                <w:sz w:val="20"/>
                <w:szCs w:val="20"/>
              </w:rPr>
              <w:t>Обеспечение деятельности подведомственных учреждений</w:t>
            </w:r>
            <w:r w:rsidR="00721332">
              <w:rPr>
                <w:b w:val="0"/>
                <w:sz w:val="20"/>
                <w:szCs w:val="20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rPr>
                <w:sz w:val="20"/>
                <w:szCs w:val="20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b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за реализацию: </w:t>
            </w:r>
            <w:r w:rsidRPr="0072133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aff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  <w:r w:rsidRPr="00721332">
              <w:rPr>
                <w:b w:val="0"/>
                <w:sz w:val="20"/>
                <w:szCs w:val="20"/>
              </w:rPr>
              <w:t>Срок реализации: 2025-2030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Осуществление функций и полномочий деятельности учреждений культуры и учреждений дополнительного образования в сфере культуры, подведомственных Отделу культуры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Повышение эффективности деятельности</w:t>
            </w:r>
            <w:r w:rsidRPr="00721332">
              <w:rPr>
                <w:rFonts w:eastAsia="Calibri"/>
                <w:sz w:val="20"/>
                <w:szCs w:val="20"/>
              </w:rPr>
              <w:t xml:space="preserve"> учреждений, подведомственных Отделу культуры.</w:t>
            </w:r>
          </w:p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 xml:space="preserve">Обеспечение деятельности (оказание услуг), в том числе на предоставление муниципальным учреждениям субсидий на выполнение муниципального задания и на оказание муниципальных услуг (выполнение работ) и на иные цели; </w:t>
            </w:r>
          </w:p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 xml:space="preserve">предоставление межбюджетных трансфертов городским и сельским поселениям Кондинского района; </w:t>
            </w:r>
          </w:p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 xml:space="preserve">проведение культурно-массовых мероприятий; присуждение ежегодной премии главы Кондинского района </w:t>
            </w:r>
            <w:r w:rsidR="00721332">
              <w:rPr>
                <w:rFonts w:eastAsia="Calibri"/>
                <w:sz w:val="20"/>
                <w:szCs w:val="20"/>
              </w:rPr>
              <w:t>«</w:t>
            </w:r>
            <w:r w:rsidRPr="00721332">
              <w:rPr>
                <w:rFonts w:eastAsia="Calibri"/>
                <w:sz w:val="20"/>
                <w:szCs w:val="20"/>
              </w:rPr>
              <w:t>Признание</w:t>
            </w:r>
            <w:r w:rsidR="00721332">
              <w:rPr>
                <w:rFonts w:eastAsia="Calibri"/>
                <w:sz w:val="20"/>
                <w:szCs w:val="20"/>
              </w:rPr>
              <w:t>»</w:t>
            </w:r>
            <w:r w:rsidRPr="00721332">
              <w:rPr>
                <w:rFonts w:eastAsia="Calibri"/>
                <w:sz w:val="20"/>
                <w:szCs w:val="20"/>
              </w:rPr>
              <w:t xml:space="preserve"> в области культуры и искусства;</w:t>
            </w:r>
          </w:p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>выявление и сопровождение одаренных детей и молодежи в сфере культуры и искусства посредством проведения профессиональных конкурсов, предметных олимпиад, выставок, обеспечения гастролей творческих коллективов, обеспечения участия одаренных детей и молодежи в международных, всероссийских профессиональных конкурсах, выставках;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 xml:space="preserve">организация деятельности клубных формирований и формирований самодеятельного народного творчества; 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>проведение ремонтов (в том числе капитальных), укрепление материально-технической базы учреждений культуры за счет различных источников финансирования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>Число п</w:t>
            </w:r>
            <w:r w:rsidR="00721332">
              <w:rPr>
                <w:rFonts w:ascii="Times New Roman" w:hAnsi="Times New Roman" w:cs="Times New Roman"/>
              </w:rPr>
              <w:t>осещений культурных мероприятий.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TimesNewRoman"/>
                <w:b/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Title"/>
              <w:spacing w:before="0" w:after="0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21332">
              <w:rPr>
                <w:rFonts w:ascii="Times New Roman" w:hAnsi="Times New Roman" w:cs="Times New Roman"/>
                <w:b w:val="0"/>
                <w:sz w:val="20"/>
                <w:szCs w:val="20"/>
              </w:rPr>
              <w:t>Участие негосударственных организаций в оказании услуг в сфере культуры</w:t>
            </w:r>
          </w:p>
          <w:p w:rsidR="00245782" w:rsidRPr="00721332" w:rsidRDefault="00245782" w:rsidP="00721332">
            <w:pPr>
              <w:pStyle w:val="aff2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21332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Предоставление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культуры.</w:t>
            </w:r>
          </w:p>
          <w:p w:rsidR="00245782" w:rsidRPr="00721332" w:rsidRDefault="00245782" w:rsidP="00721332">
            <w:pPr>
              <w:pStyle w:val="aff2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721332">
              <w:rPr>
                <w:b w:val="0"/>
                <w:sz w:val="20"/>
                <w:szCs w:val="20"/>
              </w:rPr>
              <w:t>Субсидия предоставляется в целях финансового обеспечения затрат, связанных с оказанием услуг (выполнением работ) в сфере культуры, в том числе общественно полезных услуг для реализации мероприятий</w:t>
            </w:r>
          </w:p>
          <w:p w:rsidR="00245782" w:rsidRPr="00721332" w:rsidRDefault="00245782" w:rsidP="00721332">
            <w:pPr>
              <w:pStyle w:val="aff2"/>
              <w:jc w:val="both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32" w:rsidRPr="00721332" w:rsidRDefault="00245782" w:rsidP="00721332">
            <w:pPr>
              <w:pStyle w:val="aff2"/>
              <w:jc w:val="both"/>
              <w:rPr>
                <w:b w:val="0"/>
                <w:sz w:val="20"/>
                <w:szCs w:val="20"/>
              </w:rPr>
            </w:pPr>
            <w:r w:rsidRPr="00721332">
              <w:rPr>
                <w:b w:val="0"/>
                <w:sz w:val="20"/>
                <w:szCs w:val="20"/>
              </w:rPr>
              <w:t>Доля средств бюджета Кондинского района, выделяемых немуниципальным организациям (коммерческим, некоммерческим), в том числе социально ориентированным некоммерческим организациям, в общем объеме средств бюджета Кондинского района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Комплекс процессных мероприятий </w:t>
            </w:r>
            <w:r w:rsidR="00721332">
              <w:rPr>
                <w:rFonts w:eastAsia="Calibri"/>
                <w:color w:val="000000"/>
                <w:sz w:val="20"/>
                <w:szCs w:val="20"/>
                <w:lang w:eastAsia="en-US"/>
              </w:rPr>
              <w:t>«</w:t>
            </w:r>
            <w:r w:rsidRPr="00721332">
              <w:rPr>
                <w:rFonts w:eastAsia="Calibri"/>
                <w:color w:val="000000"/>
                <w:sz w:val="20"/>
                <w:szCs w:val="20"/>
                <w:lang w:eastAsia="en-US"/>
              </w:rPr>
              <w:t>Обеспечение деятельности органов местного самоуправления</w:t>
            </w:r>
            <w:r w:rsidR="00721332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b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за реализацию: </w:t>
            </w:r>
            <w:r w:rsidRPr="0072133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eastAsia="Calibri" w:hAnsi="Times New Roman" w:cs="Times New Roman"/>
                <w:lang w:eastAsia="en-US"/>
              </w:rPr>
              <w:t>Срок реализации: 2025-2030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Осуществление функций и полномочий</w:t>
            </w:r>
          </w:p>
          <w:p w:rsidR="00245782" w:rsidRPr="00721332" w:rsidRDefault="00245782" w:rsidP="007213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Отдела культуры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</w:rPr>
              <w:t>Обеспечение деятельности отдела культуры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721332">
              <w:rPr>
                <w:rFonts w:ascii="Times New Roman" w:hAnsi="Times New Roman" w:cs="Times New Roman"/>
              </w:rPr>
              <w:t>«</w:t>
            </w:r>
            <w:r w:rsidRPr="00721332">
              <w:rPr>
                <w:rFonts w:ascii="Times New Roman" w:hAnsi="Times New Roman" w:cs="Times New Roman"/>
              </w:rPr>
              <w:t>Развитие архивного дела</w:t>
            </w:r>
            <w:r w:rsidR="00721332">
              <w:rPr>
                <w:rFonts w:ascii="Times New Roman" w:hAnsi="Times New Roman" w:cs="Times New Roman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b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Ответственный за реализацию: а</w:t>
            </w:r>
            <w:r w:rsidRPr="00721332">
              <w:rPr>
                <w:sz w:val="20"/>
                <w:szCs w:val="20"/>
              </w:rPr>
              <w:t xml:space="preserve">рхивный отдел управления кадровой политики и делопроизводства </w:t>
            </w:r>
            <w:r w:rsidRPr="00721332">
              <w:rPr>
                <w:sz w:val="20"/>
                <w:szCs w:val="20"/>
              </w:rPr>
              <w:lastRenderedPageBreak/>
              <w:t>администрации Кондинского района</w:t>
            </w:r>
          </w:p>
        </w:tc>
        <w:tc>
          <w:tcPr>
            <w:tcW w:w="3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eastAsia="Calibri" w:hAnsi="Times New Roman" w:cs="Times New Roman"/>
                <w:lang w:eastAsia="en-US"/>
              </w:rPr>
              <w:lastRenderedPageBreak/>
              <w:t>Срок реализации: 2025-2030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lastRenderedPageBreak/>
              <w:t>5.1.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rFonts w:eastAsia="Calibri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both"/>
              <w:rPr>
                <w:rFonts w:eastAsia="Calibri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Создание условий для выполнения </w:t>
            </w:r>
            <w:r w:rsidRPr="00721332">
              <w:rPr>
                <w:rFonts w:eastAsia="Calibri"/>
                <w:sz w:val="20"/>
                <w:szCs w:val="20"/>
              </w:rPr>
              <w:t xml:space="preserve">отдельных государственных полномочий, переданных муниципальным образованиям Ханты-Мансийского автономного округа – Югры в области архивного дела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1332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721332">
              <w:rPr>
                <w:rFonts w:ascii="Times New Roman" w:hAnsi="Times New Roman" w:cs="Times New Roman"/>
              </w:rPr>
              <w:t>«</w:t>
            </w:r>
            <w:r w:rsidRPr="00721332">
              <w:rPr>
                <w:rFonts w:ascii="Times New Roman" w:hAnsi="Times New Roman" w:cs="Times New Roman"/>
              </w:rPr>
              <w:t>Подготовка и проведение юбилейных и праздничных мероприятий</w:t>
            </w:r>
            <w:r w:rsidR="00721332">
              <w:rPr>
                <w:rFonts w:ascii="Times New Roman" w:hAnsi="Times New Roman" w:cs="Times New Roman"/>
              </w:rPr>
              <w:t>»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b/>
                <w:sz w:val="20"/>
                <w:szCs w:val="20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за реализацию: </w:t>
            </w:r>
            <w:r w:rsidRPr="0072133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3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1332">
              <w:rPr>
                <w:rFonts w:ascii="Times New Roman" w:eastAsia="Calibri" w:hAnsi="Times New Roman" w:cs="Times New Roman"/>
                <w:lang w:eastAsia="en-US"/>
              </w:rPr>
              <w:t>Срок реализации: 2025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Празднование 80-й годовщины Победы в Великой Отечественной войне 1941-1945 годов</w:t>
            </w:r>
          </w:p>
        </w:tc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both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Организация и проведени</w:t>
            </w:r>
            <w:r w:rsidR="00721332">
              <w:rPr>
                <w:color w:val="000000"/>
                <w:sz w:val="20"/>
                <w:szCs w:val="20"/>
              </w:rPr>
              <w:t xml:space="preserve">е </w:t>
            </w:r>
            <w:r w:rsidRPr="00721332">
              <w:rPr>
                <w:color w:val="000000"/>
                <w:sz w:val="20"/>
                <w:szCs w:val="20"/>
              </w:rPr>
              <w:t xml:space="preserve">праздничных мероприятий, посвященных празднованию </w:t>
            </w:r>
            <w:r w:rsidRPr="00721332">
              <w:rPr>
                <w:sz w:val="20"/>
                <w:szCs w:val="20"/>
              </w:rPr>
              <w:t>80-й годовщины Победы в Великой Отечественной войне 1941-1945 годов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>Число п</w:t>
            </w:r>
            <w:r w:rsidR="00721332">
              <w:rPr>
                <w:rFonts w:ascii="Times New Roman" w:hAnsi="Times New Roman" w:cs="Times New Roman"/>
              </w:rPr>
              <w:t>осещений культурных мероприятий.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TimesNewRoman"/>
                <w:b/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245782" w:rsidRPr="00721332" w:rsidTr="00721332">
        <w:trPr>
          <w:trHeight w:val="6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E772AF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1332">
              <w:rPr>
                <w:rFonts w:eastAsia="Calibri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center"/>
              <w:rPr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Праздничные мероприятия к Международному женскому дню 8 марта</w:t>
            </w:r>
          </w:p>
        </w:tc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jc w:val="both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Организация и проведение праздничных мероприятий к Международному женскому дню 8 </w:t>
            </w:r>
            <w:r w:rsidR="00721332">
              <w:rPr>
                <w:color w:val="000000"/>
                <w:sz w:val="20"/>
                <w:szCs w:val="20"/>
              </w:rPr>
              <w:t>м</w:t>
            </w:r>
            <w:r w:rsidRPr="00721332">
              <w:rPr>
                <w:color w:val="000000"/>
                <w:sz w:val="20"/>
                <w:szCs w:val="20"/>
              </w:rPr>
              <w:t xml:space="preserve">арта для супруг, матерей военнослужащих,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призванных на военную службу по мобилизации в Вооруженные </w:t>
            </w:r>
            <w:r w:rsidR="00721332">
              <w:rPr>
                <w:color w:val="000000"/>
                <w:sz w:val="20"/>
                <w:szCs w:val="20"/>
              </w:rPr>
              <w:t>С</w:t>
            </w:r>
            <w:r w:rsidRPr="00721332">
              <w:rPr>
                <w:color w:val="000000"/>
                <w:sz w:val="20"/>
                <w:szCs w:val="20"/>
              </w:rPr>
              <w:t>илы Российской Федерации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82" w:rsidRPr="00721332" w:rsidRDefault="00245782" w:rsidP="007213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1332">
              <w:rPr>
                <w:rFonts w:ascii="Times New Roman" w:hAnsi="Times New Roman" w:cs="Times New Roman"/>
              </w:rPr>
              <w:t>Число посещений культурных м</w:t>
            </w:r>
            <w:r w:rsidR="00721332">
              <w:rPr>
                <w:rFonts w:ascii="Times New Roman" w:hAnsi="Times New Roman" w:cs="Times New Roman"/>
              </w:rPr>
              <w:t>ероприятий.</w:t>
            </w:r>
          </w:p>
          <w:p w:rsidR="00245782" w:rsidRPr="00721332" w:rsidRDefault="00245782" w:rsidP="00721332">
            <w:pPr>
              <w:shd w:val="clear" w:color="auto" w:fill="FFFFFF"/>
              <w:jc w:val="both"/>
              <w:rPr>
                <w:rFonts w:eastAsia="TimesNewRoman"/>
                <w:b/>
                <w:color w:val="000000"/>
                <w:sz w:val="20"/>
                <w:szCs w:val="20"/>
              </w:rPr>
            </w:pPr>
            <w:r w:rsidRPr="00721332">
              <w:rPr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245782" w:rsidRDefault="0024578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Default="00721332" w:rsidP="00245782">
      <w:pPr>
        <w:shd w:val="clear" w:color="auto" w:fill="FFFFFF"/>
        <w:outlineLvl w:val="2"/>
        <w:rPr>
          <w:color w:val="000000"/>
        </w:rPr>
      </w:pPr>
    </w:p>
    <w:p w:rsidR="00721332" w:rsidRPr="000541D2" w:rsidRDefault="00721332" w:rsidP="00245782">
      <w:pPr>
        <w:shd w:val="clear" w:color="auto" w:fill="FFFFFF"/>
        <w:outlineLvl w:val="2"/>
        <w:rPr>
          <w:color w:val="000000"/>
        </w:rPr>
      </w:pPr>
    </w:p>
    <w:p w:rsidR="00245782" w:rsidRDefault="00245782" w:rsidP="00245782">
      <w:pPr>
        <w:shd w:val="clear" w:color="auto" w:fill="FFFFFF"/>
        <w:jc w:val="center"/>
        <w:outlineLvl w:val="2"/>
        <w:rPr>
          <w:color w:val="000000"/>
        </w:rPr>
      </w:pPr>
      <w:r w:rsidRPr="000541D2">
        <w:rPr>
          <w:color w:val="000000"/>
        </w:rPr>
        <w:lastRenderedPageBreak/>
        <w:t>4. Финансовое обеспечение муниципальной программы</w:t>
      </w:r>
    </w:p>
    <w:p w:rsidR="00245782" w:rsidRPr="000541D2" w:rsidRDefault="00245782" w:rsidP="00245782">
      <w:pPr>
        <w:shd w:val="clear" w:color="auto" w:fill="FFFFFF"/>
        <w:outlineLvl w:val="2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718"/>
        <w:gridCol w:w="1256"/>
        <w:gridCol w:w="1256"/>
        <w:gridCol w:w="1257"/>
        <w:gridCol w:w="1254"/>
        <w:gridCol w:w="1257"/>
        <w:gridCol w:w="1257"/>
        <w:gridCol w:w="1669"/>
      </w:tblGrid>
      <w:tr w:rsidR="00245782" w:rsidRPr="00721332" w:rsidTr="00721332">
        <w:trPr>
          <w:trHeight w:val="68"/>
        </w:trPr>
        <w:tc>
          <w:tcPr>
            <w:tcW w:w="1916" w:type="pct"/>
            <w:vMerge w:val="restart"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84" w:type="pct"/>
            <w:gridSpan w:val="7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vMerge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Развитие культуры и искусства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  <w:r w:rsidRPr="00721332">
              <w:rPr>
                <w:color w:val="000000"/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326 613,6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388 910,6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386 490,8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354 493,7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2 165 496,3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Бюджет Кондинского района (всего), из них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326 613,6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388 910,6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386 490,8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354 493,7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2 165 496,3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3 840,1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5 249,5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9 309,3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1 320,8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7 132,2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10 277,1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1 794,5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1 794,5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1 794,5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24 113,6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325 172,4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377 938,3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370 964,2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352 666,2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352 666,2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352 666,1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2 132 073,4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1332" w:rsidRPr="00721332" w:rsidTr="00721332">
        <w:trPr>
          <w:trHeight w:val="68"/>
        </w:trPr>
        <w:tc>
          <w:tcPr>
            <w:tcW w:w="1916" w:type="pct"/>
            <w:hideMark/>
          </w:tcPr>
          <w:p w:rsidR="00721332" w:rsidRPr="00721332" w:rsidRDefault="00721332" w:rsidP="0072133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30580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721332" w:rsidRPr="00721332" w:rsidRDefault="00721332" w:rsidP="007213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1332" w:rsidRPr="00721332" w:rsidTr="00721332">
        <w:trPr>
          <w:trHeight w:val="68"/>
        </w:trPr>
        <w:tc>
          <w:tcPr>
            <w:tcW w:w="1916" w:type="pct"/>
            <w:hideMark/>
          </w:tcPr>
          <w:p w:rsidR="00721332" w:rsidRPr="00721332" w:rsidRDefault="00721332" w:rsidP="0072133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21" w:type="pct"/>
            <w:noWrap/>
            <w:hideMark/>
          </w:tcPr>
          <w:p w:rsidR="00721332" w:rsidRPr="00721332" w:rsidRDefault="00721332" w:rsidP="007213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9C72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9C72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721332" w:rsidRDefault="00721332" w:rsidP="00721332">
            <w:pPr>
              <w:jc w:val="center"/>
            </w:pPr>
            <w:r w:rsidRPr="009C72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9C72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721332" w:rsidRDefault="00721332" w:rsidP="00721332">
            <w:pPr>
              <w:jc w:val="center"/>
            </w:pPr>
            <w:r w:rsidRPr="009C72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721332" w:rsidRPr="00721332" w:rsidRDefault="00721332" w:rsidP="007213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195,0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1. Региональный проект,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Pr="00721332">
              <w:rPr>
                <w:color w:val="000000"/>
                <w:sz w:val="20"/>
                <w:szCs w:val="20"/>
              </w:rPr>
              <w:t>обеспечивающий достижение показателей и реализацию мероприятий (результатов) федеральных проектов, входящих в состав национальных проектов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Семейные ценности и инфраструктура культуры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10 256,4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14 439,9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24 696,3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10 256,4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14 439,9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24 696,3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A05A5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  <w:bookmarkStart w:id="0" w:name="_GoBack"/>
            <w:bookmarkEnd w:id="0"/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5 212,8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9 012,8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A05A5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5 943,6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8 505,1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14 448,7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A05A5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512,8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722,0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1 234,8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2. Региональный проект, направленный на достижение показателей федеральных проектов, не входящих в состав национальных проектов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Сохранение культурного и исторического наследия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1 374,0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7 073,5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1 374,0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1 376,0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7 073,5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221,9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704,9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1 268,6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1 274,1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1 274,1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1 274,1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6 497,9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353,7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3. Комплекс процессных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Pr="00721332">
              <w:rPr>
                <w:color w:val="000000"/>
                <w:sz w:val="20"/>
                <w:szCs w:val="20"/>
              </w:rPr>
              <w:t xml:space="preserve">мероприятий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311 902,6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370 878,8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363 313,2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2 083 305,8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311 902,6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370 878,8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363 313,2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2 083 305,8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1C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CC67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CC67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CC67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CC67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CC67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142,9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311 759,7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370 878,8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363 313,2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345 737,1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345 737,0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2 083 162,9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0420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4. Комплекс процессных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Pr="00721332">
              <w:rPr>
                <w:color w:val="000000"/>
                <w:sz w:val="20"/>
                <w:szCs w:val="20"/>
              </w:rPr>
              <w:t xml:space="preserve">мероприятий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6 625,6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6 507,6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40 574,4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6 625,6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6 507,6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40 574,4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381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381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381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381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381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74,6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603E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6 551,0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6 507,6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6 860,3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40 499,8</w:t>
            </w:r>
          </w:p>
        </w:tc>
      </w:tr>
      <w:tr w:rsidR="00A05A52" w:rsidRPr="00721332" w:rsidTr="00A05A52">
        <w:trPr>
          <w:trHeight w:val="60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17418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5. Комплекс процессных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Pr="00721332">
              <w:rPr>
                <w:color w:val="000000"/>
                <w:sz w:val="20"/>
                <w:szCs w:val="20"/>
              </w:rPr>
              <w:t xml:space="preserve">мероприятий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Развитие архивного дела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503,4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3 024,1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503,4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3 024,1</w:t>
            </w:r>
          </w:p>
        </w:tc>
      </w:tr>
      <w:tr w:rsidR="00483ACE" w:rsidRPr="00721332" w:rsidTr="00721332">
        <w:trPr>
          <w:trHeight w:val="68"/>
        </w:trPr>
        <w:tc>
          <w:tcPr>
            <w:tcW w:w="1916" w:type="pct"/>
            <w:hideMark/>
          </w:tcPr>
          <w:p w:rsidR="00483ACE" w:rsidRPr="00721332" w:rsidRDefault="00483ACE" w:rsidP="00483ACE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483ACE" w:rsidRDefault="00483ACE" w:rsidP="00483ACE">
            <w:pPr>
              <w:jc w:val="center"/>
            </w:pPr>
            <w:r w:rsidRPr="00897C6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483ACE" w:rsidRPr="00721332" w:rsidRDefault="00483ACE" w:rsidP="00483A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503,4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3 024,1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442ED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 xml:space="preserve">6. Комплекс процессных мероприятий </w:t>
            </w:r>
            <w:r w:rsidR="00721332" w:rsidRPr="00721332">
              <w:rPr>
                <w:color w:val="000000"/>
                <w:sz w:val="20"/>
                <w:szCs w:val="20"/>
              </w:rPr>
              <w:t>«</w:t>
            </w:r>
            <w:r w:rsidRPr="00721332">
              <w:rPr>
                <w:color w:val="000000"/>
                <w:sz w:val="20"/>
                <w:szCs w:val="20"/>
              </w:rPr>
              <w:t>Подготовка и проведение юбилейных</w:t>
            </w:r>
            <w:r w:rsidR="004901B5" w:rsidRPr="00721332">
              <w:rPr>
                <w:color w:val="000000"/>
                <w:sz w:val="20"/>
                <w:szCs w:val="20"/>
              </w:rPr>
              <w:t xml:space="preserve"> </w:t>
            </w:r>
            <w:r w:rsidRPr="00721332">
              <w:rPr>
                <w:color w:val="000000"/>
                <w:sz w:val="20"/>
                <w:szCs w:val="20"/>
              </w:rPr>
              <w:t>и праздничных мероприятий</w:t>
            </w:r>
            <w:r w:rsidR="00721332" w:rsidRPr="0072133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6.1. Бюджет Кондинского района (всего), из них: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EC3B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782" w:rsidRPr="00721332" w:rsidTr="00721332">
        <w:trPr>
          <w:trHeight w:val="68"/>
        </w:trPr>
        <w:tc>
          <w:tcPr>
            <w:tcW w:w="1916" w:type="pct"/>
            <w:hideMark/>
          </w:tcPr>
          <w:p w:rsidR="00245782" w:rsidRPr="00721332" w:rsidRDefault="00245782" w:rsidP="00E772AF">
            <w:pPr>
              <w:rPr>
                <w:iCs/>
                <w:color w:val="000000"/>
                <w:sz w:val="20"/>
                <w:szCs w:val="20"/>
              </w:rPr>
            </w:pPr>
            <w:r w:rsidRPr="00721332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245782" w:rsidRPr="00721332" w:rsidRDefault="00245782" w:rsidP="00E772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6 822,2</w:t>
            </w:r>
          </w:p>
        </w:tc>
      </w:tr>
      <w:tr w:rsidR="00A05A52" w:rsidRPr="00721332" w:rsidTr="00721332">
        <w:trPr>
          <w:trHeight w:val="68"/>
        </w:trPr>
        <w:tc>
          <w:tcPr>
            <w:tcW w:w="1916" w:type="pct"/>
            <w:hideMark/>
          </w:tcPr>
          <w:p w:rsidR="00A05A52" w:rsidRPr="00721332" w:rsidRDefault="00A05A52" w:rsidP="00A05A52">
            <w:pPr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6.2. Иные источники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0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noWrap/>
            <w:hideMark/>
          </w:tcPr>
          <w:p w:rsidR="00A05A52" w:rsidRDefault="00A05A52" w:rsidP="00A05A52">
            <w:pPr>
              <w:jc w:val="center"/>
            </w:pPr>
            <w:r w:rsidRPr="00AD3D5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9" w:type="pct"/>
            <w:noWrap/>
            <w:hideMark/>
          </w:tcPr>
          <w:p w:rsidR="00A05A52" w:rsidRPr="00721332" w:rsidRDefault="00A05A52" w:rsidP="00A05A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133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45782" w:rsidRPr="000541D2" w:rsidRDefault="00245782" w:rsidP="00245782">
      <w:pPr>
        <w:rPr>
          <w:color w:val="000000"/>
          <w:sz w:val="20"/>
          <w:szCs w:val="20"/>
        </w:rPr>
      </w:pPr>
    </w:p>
    <w:p w:rsidR="00245782" w:rsidRDefault="00245782" w:rsidP="00245782">
      <w:pPr>
        <w:tabs>
          <w:tab w:val="left" w:pos="4962"/>
        </w:tabs>
        <w:rPr>
          <w:color w:val="000000"/>
          <w:sz w:val="16"/>
          <w:szCs w:val="16"/>
        </w:rPr>
      </w:pPr>
    </w:p>
    <w:sectPr w:rsidR="00245782" w:rsidSect="00245782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101" w:rsidRDefault="00B16101">
      <w:r>
        <w:separator/>
      </w:r>
    </w:p>
  </w:endnote>
  <w:endnote w:type="continuationSeparator" w:id="0">
    <w:p w:rsidR="00B16101" w:rsidRDefault="00B1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101" w:rsidRDefault="00B16101">
      <w:r>
        <w:separator/>
      </w:r>
    </w:p>
  </w:footnote>
  <w:footnote w:type="continuationSeparator" w:id="0">
    <w:p w:rsidR="00B16101" w:rsidRDefault="00B1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3ACE">
      <w:rPr>
        <w:noProof/>
      </w:rPr>
      <w:t>8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578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CE"/>
    <w:rsid w:val="00483AD9"/>
    <w:rsid w:val="00485A83"/>
    <w:rsid w:val="00485C95"/>
    <w:rsid w:val="00485F74"/>
    <w:rsid w:val="004861A3"/>
    <w:rsid w:val="004869F5"/>
    <w:rsid w:val="004901B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332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5A52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qFormat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2026-02-09T09:46:00Z</dcterms:created>
  <dcterms:modified xsi:type="dcterms:W3CDTF">2026-02-09T10:10:00Z</dcterms:modified>
</cp:coreProperties>
</file>