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AB" w:rsidRPr="00B15A06" w:rsidRDefault="00936DAB" w:rsidP="00936DAB">
      <w:pPr>
        <w:spacing w:after="0" w:line="0" w:lineRule="atLeast"/>
        <w:jc w:val="center"/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  <w:r w:rsidRPr="00B15A06"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  <w:t xml:space="preserve">ПОЛОЖЕНИЕ </w:t>
      </w:r>
    </w:p>
    <w:p w:rsidR="00936DAB" w:rsidRPr="00B15A06" w:rsidRDefault="00936DAB" w:rsidP="00936DA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Cs/>
          <w:color w:val="244061" w:themeColor="accent1" w:themeShade="80"/>
          <w:sz w:val="28"/>
          <w:szCs w:val="28"/>
        </w:rPr>
      </w:pPr>
      <w:r w:rsidRPr="00B15A06"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  <w:t xml:space="preserve">О ПОСТОЯННОЙ КОМИССИИ ДУМЫ КОНДИНСКОГО РАЙОНА ПО СОЦИАЛЬНЫМ ВОПРОСАМ И ПРАВОПОРЯДКУ </w:t>
      </w:r>
    </w:p>
    <w:p w:rsidR="00936DAB" w:rsidRPr="00B15A06" w:rsidRDefault="00936DAB" w:rsidP="00936DAB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3"/>
      </w:tblGrid>
      <w:tr w:rsidR="00936DAB" w:rsidRPr="00B15A06" w:rsidTr="00006673">
        <w:tc>
          <w:tcPr>
            <w:tcW w:w="2088" w:type="dxa"/>
          </w:tcPr>
          <w:p w:rsidR="00936DAB" w:rsidRPr="00B15A06" w:rsidRDefault="00936DAB" w:rsidP="00006673">
            <w:pPr>
              <w:pStyle w:val="1"/>
              <w:spacing w:before="0" w:after="0" w:line="0" w:lineRule="atLeast"/>
              <w:ind w:firstLine="720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06">
              <w:rPr>
                <w:rFonts w:ascii="Times New Roman" w:hAnsi="Times New Roman" w:cs="Times New Roman"/>
                <w:sz w:val="28"/>
                <w:szCs w:val="28"/>
              </w:rPr>
              <w:t xml:space="preserve">Статья 1. </w:t>
            </w:r>
          </w:p>
        </w:tc>
        <w:tc>
          <w:tcPr>
            <w:tcW w:w="7483" w:type="dxa"/>
          </w:tcPr>
          <w:p w:rsidR="00936DAB" w:rsidRPr="00E45102" w:rsidRDefault="00936DAB" w:rsidP="00006673">
            <w:pPr>
              <w:pStyle w:val="1"/>
              <w:spacing w:before="0" w:after="0" w:line="0" w:lineRule="atLeast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02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</w:tr>
    </w:tbl>
    <w:p w:rsidR="00936DAB" w:rsidRPr="00B15A06" w:rsidRDefault="00936DAB" w:rsidP="00936DAB">
      <w:pPr>
        <w:spacing w:after="0" w:line="0" w:lineRule="atLeast"/>
        <w:rPr>
          <w:rFonts w:ascii="Times New Roman" w:eastAsia="Arial Unicode MS" w:hAnsi="Times New Roman"/>
        </w:rPr>
      </w:pPr>
    </w:p>
    <w:p w:rsidR="00936DAB" w:rsidRPr="00B15A06" w:rsidRDefault="00936DAB" w:rsidP="00936DAB">
      <w:pPr>
        <w:tabs>
          <w:tab w:val="left" w:pos="90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1. Постоянная комиссия Думы Кондинского района по социальным вопросам и правопорядку (далее - Комиссия) является постоянно действующим органом Думы Кондинского района (далее - Дума). </w:t>
      </w:r>
    </w:p>
    <w:p w:rsidR="00936DAB" w:rsidRPr="00B15A06" w:rsidRDefault="00936DAB" w:rsidP="00936DAB">
      <w:pPr>
        <w:tabs>
          <w:tab w:val="left" w:pos="90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2. Комиссия осуществляет свои функции непрерывно, как во время сессии Думы, так и в период между ними. </w:t>
      </w:r>
    </w:p>
    <w:p w:rsidR="00936DAB" w:rsidRPr="00B15A06" w:rsidRDefault="00936DAB" w:rsidP="00936DAB">
      <w:pPr>
        <w:pStyle w:val="a3"/>
        <w:tabs>
          <w:tab w:val="left" w:pos="90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- Югры, Уставом Кондинского района, Регламентом работы Думы, и настоящим Положением.</w:t>
      </w:r>
    </w:p>
    <w:p w:rsidR="00936DAB" w:rsidRPr="00B15A06" w:rsidRDefault="00936DAB" w:rsidP="00936DAB">
      <w:pPr>
        <w:pStyle w:val="a3"/>
        <w:tabs>
          <w:tab w:val="left" w:pos="90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 xml:space="preserve">4. Деятельность Комиссии основывается на принципах законности, коллегиальности и ответственности за принимаемые решения. </w:t>
      </w:r>
    </w:p>
    <w:p w:rsidR="00936DAB" w:rsidRPr="00B15A06" w:rsidRDefault="00936DAB" w:rsidP="00936DA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 xml:space="preserve">5. Работа Комиссии осуществляется в соответствии с квартальным планом работы Комиссии, утвержденным председателем Думы                          по представлению председателя Комиссии. </w:t>
      </w:r>
    </w:p>
    <w:p w:rsidR="00936DAB" w:rsidRPr="00B15A06" w:rsidRDefault="00936DAB" w:rsidP="00936DA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>6. Правовое, организационное, информационное, материально-техническое обеспечение деятельности Комиссии осуществляет аппарат Думы.</w:t>
      </w:r>
    </w:p>
    <w:p w:rsidR="00936DAB" w:rsidRPr="00B15A06" w:rsidRDefault="00936DAB" w:rsidP="00936DA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3"/>
      </w:tblGrid>
      <w:tr w:rsidR="00936DAB" w:rsidRPr="00B15A06" w:rsidTr="00006673">
        <w:tc>
          <w:tcPr>
            <w:tcW w:w="2088" w:type="dxa"/>
          </w:tcPr>
          <w:p w:rsidR="00936DAB" w:rsidRPr="00B15A06" w:rsidRDefault="00936DAB" w:rsidP="00006673">
            <w:pPr>
              <w:pStyle w:val="1"/>
              <w:spacing w:before="0" w:after="0" w:line="0" w:lineRule="atLeast"/>
              <w:ind w:firstLine="720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06">
              <w:rPr>
                <w:rFonts w:ascii="Times New Roman" w:hAnsi="Times New Roman" w:cs="Times New Roman"/>
                <w:sz w:val="28"/>
                <w:szCs w:val="28"/>
              </w:rPr>
              <w:t xml:space="preserve">Статья 2. </w:t>
            </w:r>
          </w:p>
        </w:tc>
        <w:tc>
          <w:tcPr>
            <w:tcW w:w="7483" w:type="dxa"/>
          </w:tcPr>
          <w:p w:rsidR="00936DAB" w:rsidRPr="00E45102" w:rsidRDefault="00936DAB" w:rsidP="00006673">
            <w:pPr>
              <w:pStyle w:val="1"/>
              <w:spacing w:before="0" w:after="0" w:line="0" w:lineRule="atLeast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0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ведения Комиссии</w:t>
            </w:r>
          </w:p>
        </w:tc>
      </w:tr>
    </w:tbl>
    <w:p w:rsidR="00936DAB" w:rsidRPr="00B15A06" w:rsidRDefault="00936DAB" w:rsidP="00936DA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</w:p>
    <w:p w:rsidR="00936DAB" w:rsidRPr="00B15A06" w:rsidRDefault="00936DAB" w:rsidP="00936DA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 xml:space="preserve">1. К ведению Комиссии относятся вопросы, связанные </w:t>
      </w:r>
      <w:proofErr w:type="gramStart"/>
      <w:r w:rsidRPr="00B15A06">
        <w:rPr>
          <w:sz w:val="28"/>
          <w:szCs w:val="28"/>
        </w:rPr>
        <w:t>с</w:t>
      </w:r>
      <w:proofErr w:type="gramEnd"/>
      <w:r w:rsidRPr="00B15A06">
        <w:rPr>
          <w:sz w:val="28"/>
          <w:szCs w:val="28"/>
        </w:rPr>
        <w:t>: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1) участием в предупреждении и ликвидации последствий чрезвычайных ситуаций на территории муниципального района; 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2) участием в профилактике терроризма и экстремизма, а также                       в минимизации и (или) ликвидации последствий проявлений терроризма               и экстремизма территории муниципального района;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3) разработкой и осуществлением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                    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</w:p>
    <w:p w:rsidR="00936DAB" w:rsidRPr="00B15A06" w:rsidRDefault="00936DAB" w:rsidP="00936DAB">
      <w:pPr>
        <w:tabs>
          <w:tab w:val="left" w:pos="709"/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4) организацией охраны общественного порядка на территории муниципального района муниципальной милицией;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5) предоставлением помещений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A06">
        <w:rPr>
          <w:rFonts w:ascii="Times New Roman" w:hAnsi="Times New Roman"/>
          <w:sz w:val="28"/>
          <w:szCs w:val="28"/>
        </w:rPr>
        <w:lastRenderedPageBreak/>
        <w:t>6) организацией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                               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организацией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B15A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A06">
        <w:rPr>
          <w:rFonts w:ascii="Times New Roman" w:hAnsi="Times New Roman"/>
          <w:sz w:val="28"/>
          <w:szCs w:val="28"/>
        </w:rPr>
        <w:t xml:space="preserve">Ханты-Мансийского автономного округа-Югра), созданием условий для осуществления присмотра и ухода за детьми, содержанием детей в муниципальных образовательных организациях,                   а также организацией отдыха детей в каникулярное время; </w:t>
      </w:r>
      <w:proofErr w:type="gramEnd"/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A06">
        <w:rPr>
          <w:rFonts w:ascii="Times New Roman" w:hAnsi="Times New Roman"/>
          <w:sz w:val="28"/>
          <w:szCs w:val="28"/>
        </w:rPr>
        <w:t xml:space="preserve">7) созданием условий для оказания медицинской помощи населению   на территории Кондинского района (за исключением территорий поселений, включенных в утвержденный Правительством Российской Федерации </w:t>
      </w:r>
      <w:hyperlink r:id="rId5" w:history="1">
        <w:r w:rsidRPr="00B15A06">
          <w:rPr>
            <w:rFonts w:ascii="Times New Roman" w:hAnsi="Times New Roman"/>
            <w:sz w:val="28"/>
            <w:szCs w:val="28"/>
          </w:rPr>
          <w:t>перечень</w:t>
        </w:r>
      </w:hyperlink>
      <w:r w:rsidRPr="00B15A06">
        <w:rPr>
          <w:rFonts w:ascii="Times New Roman" w:hAnsi="Times New Roman"/>
          <w:sz w:val="28"/>
          <w:szCs w:val="28"/>
        </w:rPr>
        <w:t xml:space="preserve"> территорий, население которых обеспечивается медицинской помощью в медицинских организациях, подведомственных </w:t>
      </w:r>
      <w:hyperlink r:id="rId6" w:history="1">
        <w:r w:rsidRPr="00B15A06">
          <w:rPr>
            <w:rFonts w:ascii="Times New Roman" w:hAnsi="Times New Roman"/>
            <w:sz w:val="28"/>
            <w:szCs w:val="28"/>
          </w:rPr>
          <w:t>федеральному органу</w:t>
        </w:r>
      </w:hyperlink>
      <w:r w:rsidRPr="00B15A06">
        <w:rPr>
          <w:rFonts w:ascii="Times New Roman" w:hAnsi="Times New Roman"/>
          <w:sz w:val="28"/>
          <w:szCs w:val="28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 </w:t>
      </w:r>
      <w:proofErr w:type="gramEnd"/>
    </w:p>
    <w:p w:rsidR="00936DAB" w:rsidRPr="00B15A06" w:rsidRDefault="00936DAB" w:rsidP="00936DAB">
      <w:pPr>
        <w:tabs>
          <w:tab w:val="left" w:pos="851"/>
          <w:tab w:val="left" w:pos="993"/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8) организацией библиотечного обслуживания населения </w:t>
      </w:r>
      <w:proofErr w:type="spellStart"/>
      <w:r w:rsidRPr="00B15A06">
        <w:rPr>
          <w:rFonts w:ascii="Times New Roman" w:hAnsi="Times New Roman"/>
          <w:sz w:val="28"/>
          <w:szCs w:val="28"/>
        </w:rPr>
        <w:t>межпоселенческими</w:t>
      </w:r>
      <w:proofErr w:type="spellEnd"/>
      <w:r w:rsidRPr="00B15A06">
        <w:rPr>
          <w:rFonts w:ascii="Times New Roman" w:hAnsi="Times New Roman"/>
          <w:sz w:val="28"/>
          <w:szCs w:val="28"/>
        </w:rPr>
        <w:t xml:space="preserve"> библиотеками, комплектованием и обеспечением сохранности их библиотечных фондов;</w:t>
      </w:r>
    </w:p>
    <w:p w:rsidR="00936DAB" w:rsidRPr="00B15A06" w:rsidRDefault="00936DAB" w:rsidP="00936DAB">
      <w:pPr>
        <w:pStyle w:val="HTML"/>
        <w:tabs>
          <w:tab w:val="clear" w:pos="916"/>
          <w:tab w:val="clear" w:pos="1832"/>
          <w:tab w:val="left" w:pos="0"/>
          <w:tab w:val="left" w:pos="1080"/>
        </w:tabs>
        <w:spacing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A06">
        <w:rPr>
          <w:rFonts w:ascii="Times New Roman" w:hAnsi="Times New Roman" w:cs="Times New Roman"/>
          <w:sz w:val="28"/>
          <w:szCs w:val="28"/>
        </w:rPr>
        <w:t>9) созданием условий для обеспечения поселений,  входящих в состав    района,  услугами  по  организации досуга и услугами организаций культуры;</w:t>
      </w:r>
    </w:p>
    <w:p w:rsidR="00936DAB" w:rsidRPr="00B15A06" w:rsidRDefault="00936DAB" w:rsidP="00936DAB">
      <w:pPr>
        <w:pStyle w:val="HTML"/>
        <w:tabs>
          <w:tab w:val="clear" w:pos="916"/>
          <w:tab w:val="num" w:pos="0"/>
          <w:tab w:val="left" w:pos="360"/>
          <w:tab w:val="left" w:pos="1080"/>
        </w:tabs>
        <w:spacing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A06">
        <w:rPr>
          <w:rFonts w:ascii="Times New Roman" w:hAnsi="Times New Roman" w:cs="Times New Roman"/>
          <w:sz w:val="28"/>
          <w:szCs w:val="28"/>
        </w:rPr>
        <w:t>10) созданием  условий  для  развития  местного традиционного народного  художественного  творчества  в  поселениях,  входящих  в состав района;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11) организацией и осуществлением мероприятий по территориальной обороне и  гражданской обороне, защите населения и территории муниципального района от чрезвычайных ситуаций природного                            и техногенного характера; 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12) созданием, развитием и обеспечением охраны лечебно-оздоровительных местностей и курортов местного значения на территории муниципального района, а также осуществлением муниципального контроля в области использования и охраны особо охраняемых природных территорий местного значения; 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13) организацией и осуществлением мероприятий по мобилизационной подготовке муниципальных предприятий и учреждений, находящихся               на территории муниципального района;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14) осуществлением мероприятий по обеспечению безопасности людей на водных объектах, охране их жизни и здоровья;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lastRenderedPageBreak/>
        <w:t>15) обеспечением условий для развития на территории муниципального района  физической культуры, школьного спорта и массового спорта, организацией  проведения официальных физкультурно-оздоровительных               и спортивных мероприятий муниципального района;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16) организацией и осуществлением мероприятий </w:t>
      </w:r>
      <w:proofErr w:type="spellStart"/>
      <w:r w:rsidRPr="00B15A06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B15A06">
        <w:rPr>
          <w:rFonts w:ascii="Times New Roman" w:hAnsi="Times New Roman"/>
          <w:sz w:val="28"/>
          <w:szCs w:val="28"/>
        </w:rPr>
        <w:t xml:space="preserve"> характера по работе с детьми и молодежью;</w:t>
      </w:r>
    </w:p>
    <w:p w:rsidR="00936DAB" w:rsidRPr="00B15A06" w:rsidRDefault="00936DAB" w:rsidP="00936DAB">
      <w:pPr>
        <w:tabs>
          <w:tab w:val="left" w:pos="0"/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51011"/>
      <w:r w:rsidRPr="00B15A06">
        <w:rPr>
          <w:rFonts w:ascii="Times New Roman" w:hAnsi="Times New Roman"/>
          <w:sz w:val="28"/>
          <w:szCs w:val="28"/>
        </w:rPr>
        <w:t>17)</w:t>
      </w:r>
      <w:r w:rsidRPr="00B15A06">
        <w:rPr>
          <w:rFonts w:ascii="Times New Roman" w:hAnsi="Times New Roman"/>
          <w:sz w:val="28"/>
          <w:szCs w:val="28"/>
        </w:rPr>
        <w:tab/>
        <w:t>созданием музеев муниципального района;</w:t>
      </w:r>
      <w:bookmarkStart w:id="2" w:name="sub_151012"/>
      <w:bookmarkEnd w:id="1"/>
    </w:p>
    <w:bookmarkEnd w:id="2"/>
    <w:p w:rsidR="00936DAB" w:rsidRPr="00A64B0D" w:rsidRDefault="00936DAB" w:rsidP="00936DAB">
      <w:pPr>
        <w:tabs>
          <w:tab w:val="left" w:pos="180"/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64B0D">
        <w:rPr>
          <w:rStyle w:val="a9"/>
          <w:rFonts w:ascii="Times New Roman" w:hAnsi="Times New Roman"/>
          <w:color w:val="auto"/>
          <w:sz w:val="28"/>
          <w:szCs w:val="28"/>
        </w:rPr>
        <w:t>18) участием в осуществлении деятельности по опеке                                    и попечительству</w:t>
      </w:r>
      <w:bookmarkStart w:id="3" w:name="sub_151014"/>
      <w:r w:rsidRPr="00A64B0D">
        <w:rPr>
          <w:rFonts w:ascii="Times New Roman" w:hAnsi="Times New Roman"/>
          <w:sz w:val="28"/>
          <w:szCs w:val="28"/>
        </w:rPr>
        <w:t>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19) созданием условий для осуществления деятельности, связанной              с реализацией прав местных национально - культурных автономий на территории муниципального образования;</w:t>
      </w:r>
      <w:bookmarkEnd w:id="3"/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20) оказанием содействия национально - 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21) осуществлением функций учредителя муниципальных образовательных организаций высшего образования, находящихся                      в их ведении по состоянию на 31 декабря 2008 года; 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22) созданием условий для развития туризма;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23) оказанием поддержки общественным наблюдательным комиссиям, осуществляющим общественный </w:t>
      </w:r>
      <w:proofErr w:type="gramStart"/>
      <w:r w:rsidRPr="00B15A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5A06">
        <w:rPr>
          <w:rFonts w:ascii="Times New Roman" w:hAnsi="Times New Roman"/>
          <w:sz w:val="28"/>
          <w:szCs w:val="28"/>
        </w:rPr>
        <w:t xml:space="preserve"> обеспечением прав человека            и содействие  лицам, находящимся в местах принудительного содержания;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24) оказанием поддержки общественным объединениям инвалидов,             а также созданным общероссийскими общественными объединениями инвалидов организациям в соответствии с </w:t>
      </w:r>
      <w:hyperlink r:id="rId7" w:history="1">
        <w:r w:rsidRPr="00A64B0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B15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15A06">
        <w:rPr>
          <w:rFonts w:ascii="Times New Roman" w:hAnsi="Times New Roman"/>
          <w:sz w:val="28"/>
          <w:szCs w:val="28"/>
        </w:rPr>
        <w:t xml:space="preserve">от 24 ноября 1995 года № 181-ФЗ «О социальной защите инвалидов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15A06">
        <w:rPr>
          <w:rFonts w:ascii="Times New Roman" w:hAnsi="Times New Roman"/>
          <w:sz w:val="28"/>
          <w:szCs w:val="28"/>
        </w:rPr>
        <w:t>в Российской Федерации»;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25) осуществлением мероприятий, предусмотренных Федеральным законом «О донорстве крови и ее компонентов»;</w:t>
      </w:r>
    </w:p>
    <w:p w:rsidR="00936DAB" w:rsidRPr="00B15A06" w:rsidRDefault="00936DAB" w:rsidP="00936DAB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eastAsiaTheme="minorHAnsi" w:hAnsi="Times New Roman"/>
          <w:sz w:val="28"/>
          <w:szCs w:val="28"/>
          <w:lang w:eastAsia="en-US"/>
        </w:rPr>
        <w:t xml:space="preserve">26) созданием условий для организации </w:t>
      </w:r>
      <w:proofErr w:type="gramStart"/>
      <w:r w:rsidRPr="00B15A06">
        <w:rPr>
          <w:rFonts w:ascii="Times New Roman" w:eastAsiaTheme="minorHAnsi" w:hAnsi="Times New Roman"/>
          <w:sz w:val="28"/>
          <w:szCs w:val="28"/>
          <w:lang w:eastAsia="en-US"/>
        </w:rPr>
        <w:t>проведения независимой оценки качества оказания услуг</w:t>
      </w:r>
      <w:proofErr w:type="gramEnd"/>
      <w:r w:rsidRPr="00B15A0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организациями в порядке и на условиях, которые установлены федеральными законами.</w:t>
      </w:r>
      <w:r w:rsidRPr="00B15A06">
        <w:rPr>
          <w:rFonts w:ascii="Times New Roman" w:hAnsi="Times New Roman"/>
          <w:sz w:val="28"/>
          <w:szCs w:val="28"/>
        </w:rPr>
        <w:t xml:space="preserve"> </w:t>
      </w:r>
    </w:p>
    <w:p w:rsidR="00936DAB" w:rsidRPr="00B15A06" w:rsidRDefault="00936DAB" w:rsidP="00936DA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</w:rPr>
        <w:t>2. Иные вопросы, отнесенные к её ведению в пределах полномочий Думы, определенных федеральными законами, законами Ханты-Мансийского автономного округа - Югры и Уставом Кондинского района.</w:t>
      </w:r>
      <w:r w:rsidRPr="00B15A06">
        <w:rPr>
          <w:rFonts w:ascii="Times New Roman" w:hAnsi="Times New Roman"/>
          <w:sz w:val="28"/>
          <w:szCs w:val="28"/>
        </w:rPr>
        <w:t xml:space="preserve"> </w:t>
      </w:r>
    </w:p>
    <w:p w:rsidR="00936DAB" w:rsidRPr="00B15A06" w:rsidRDefault="00936DAB" w:rsidP="00936DA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3"/>
      </w:tblGrid>
      <w:tr w:rsidR="00936DAB" w:rsidRPr="00B15A06" w:rsidTr="00006673">
        <w:tc>
          <w:tcPr>
            <w:tcW w:w="2088" w:type="dxa"/>
          </w:tcPr>
          <w:p w:rsidR="00936DAB" w:rsidRPr="00B15A06" w:rsidRDefault="00936DAB" w:rsidP="00006673">
            <w:pPr>
              <w:pStyle w:val="1"/>
              <w:spacing w:before="0" w:after="0" w:line="0" w:lineRule="atLeast"/>
              <w:ind w:firstLine="720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06">
              <w:rPr>
                <w:rFonts w:ascii="Times New Roman" w:hAnsi="Times New Roman" w:cs="Times New Roman"/>
                <w:sz w:val="28"/>
                <w:szCs w:val="28"/>
              </w:rPr>
              <w:t xml:space="preserve">Статья 3. </w:t>
            </w:r>
          </w:p>
        </w:tc>
        <w:tc>
          <w:tcPr>
            <w:tcW w:w="7483" w:type="dxa"/>
          </w:tcPr>
          <w:p w:rsidR="00936DAB" w:rsidRPr="00E45102" w:rsidRDefault="00936DAB" w:rsidP="00006673">
            <w:pPr>
              <w:pStyle w:val="1"/>
              <w:spacing w:before="0" w:after="0" w:line="0" w:lineRule="atLeast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0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Комиссии</w:t>
            </w:r>
          </w:p>
        </w:tc>
      </w:tr>
    </w:tbl>
    <w:p w:rsidR="00936DAB" w:rsidRPr="00B15A06" w:rsidRDefault="00936DAB" w:rsidP="00936DA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6DAB" w:rsidRPr="00B15A06" w:rsidRDefault="00936DAB" w:rsidP="00936DA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В структуру Комиссии входят председатель, секретарь и члены Комиссии. </w:t>
      </w:r>
    </w:p>
    <w:p w:rsidR="00936DAB" w:rsidRPr="00B15A06" w:rsidRDefault="00936DAB" w:rsidP="00936DAB">
      <w:pPr>
        <w:tabs>
          <w:tab w:val="left" w:pos="1260"/>
        </w:tabs>
        <w:spacing w:after="0" w:line="0" w:lineRule="atLeast"/>
        <w:ind w:firstLine="720"/>
        <w:jc w:val="right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схема</w:t>
      </w:r>
    </w:p>
    <w:p w:rsidR="00936DAB" w:rsidRPr="00B15A06" w:rsidRDefault="00936DAB" w:rsidP="00936DAB">
      <w:pPr>
        <w:tabs>
          <w:tab w:val="left" w:pos="1260"/>
        </w:tabs>
        <w:spacing w:after="0" w:line="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260"/>
        <w:gridCol w:w="4320"/>
      </w:tblGrid>
      <w:tr w:rsidR="00936DAB" w:rsidRPr="00B15A06" w:rsidTr="00006673">
        <w:trPr>
          <w:jc w:val="center"/>
        </w:trPr>
        <w:tc>
          <w:tcPr>
            <w:tcW w:w="2808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26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A7C0D" wp14:editId="2C45AA6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27305</wp:posOffset>
                      </wp:positionV>
                      <wp:extent cx="685800" cy="914400"/>
                      <wp:effectExtent l="0" t="0" r="19050" b="19050"/>
                      <wp:wrapNone/>
                      <wp:docPr id="7" name="Соединительная лини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91440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7" o:spid="_x0000_s1026" type="#_x0000_t34" style="position:absolute;margin-left:-5.85pt;margin-top:2.15pt;width:54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432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DAB" w:rsidRPr="00B15A06" w:rsidTr="00006673">
        <w:trPr>
          <w:trHeight w:val="88"/>
          <w:jc w:val="center"/>
        </w:trPr>
        <w:tc>
          <w:tcPr>
            <w:tcW w:w="2808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72DA7" wp14:editId="338F194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75565</wp:posOffset>
                      </wp:positionV>
                      <wp:extent cx="339090" cy="0"/>
                      <wp:effectExtent l="0" t="0" r="2286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.95pt" to="48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"/>
                  </w:pict>
                </mc:Fallback>
              </mc:AlternateContent>
            </w:r>
          </w:p>
        </w:tc>
        <w:tc>
          <w:tcPr>
            <w:tcW w:w="432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936DAB" w:rsidRPr="00B15A06" w:rsidTr="00006673">
        <w:trPr>
          <w:jc w:val="center"/>
        </w:trPr>
        <w:tc>
          <w:tcPr>
            <w:tcW w:w="2808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DAB" w:rsidRPr="00B15A06" w:rsidTr="00006673">
        <w:trPr>
          <w:jc w:val="center"/>
        </w:trPr>
        <w:tc>
          <w:tcPr>
            <w:tcW w:w="2808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36DAB" w:rsidRPr="00B15A06" w:rsidRDefault="00936DA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</w:tbl>
    <w:p w:rsidR="00936DAB" w:rsidRPr="00B15A06" w:rsidRDefault="00936DAB" w:rsidP="00936DAB">
      <w:pPr>
        <w:tabs>
          <w:tab w:val="left" w:pos="126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936DAB" w:rsidRPr="00B15A06" w:rsidRDefault="00936DAB" w:rsidP="00936DAB">
      <w:pPr>
        <w:spacing w:after="0" w:line="0" w:lineRule="atLeast"/>
        <w:rPr>
          <w:rFonts w:ascii="Times New Roman" w:hAnsi="Times New Roman"/>
        </w:rPr>
      </w:pPr>
    </w:p>
    <w:p w:rsidR="00E45102" w:rsidRDefault="00E45102" w:rsidP="00B15A0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sectPr w:rsidR="00E4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CE"/>
    <w:rsid w:val="000462A4"/>
    <w:rsid w:val="000902CE"/>
    <w:rsid w:val="000F780E"/>
    <w:rsid w:val="001D1599"/>
    <w:rsid w:val="006650BC"/>
    <w:rsid w:val="00936DAB"/>
    <w:rsid w:val="00A64B0D"/>
    <w:rsid w:val="00B15A06"/>
    <w:rsid w:val="00C01AB7"/>
    <w:rsid w:val="00E45102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0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15A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15A06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B15A0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1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15A0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B15A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B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1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5A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15A06"/>
    <w:rPr>
      <w:color w:val="008000"/>
      <w:sz w:val="20"/>
      <w:szCs w:val="20"/>
      <w:u w:val="single"/>
    </w:rPr>
  </w:style>
  <w:style w:type="character" w:customStyle="1" w:styleId="a9">
    <w:name w:val="Не вступил в силу"/>
    <w:basedOn w:val="a0"/>
    <w:uiPriority w:val="99"/>
    <w:rsid w:val="00B15A06"/>
    <w:rPr>
      <w:color w:val="00808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0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15A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15A06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B15A0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1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15A0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B15A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B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1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5A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15A06"/>
    <w:rPr>
      <w:color w:val="008000"/>
      <w:sz w:val="20"/>
      <w:szCs w:val="20"/>
      <w:u w:val="single"/>
    </w:rPr>
  </w:style>
  <w:style w:type="character" w:customStyle="1" w:styleId="a9">
    <w:name w:val="Не вступил в силу"/>
    <w:basedOn w:val="a0"/>
    <w:uiPriority w:val="99"/>
    <w:rsid w:val="00B15A06"/>
    <w:rPr>
      <w:color w:val="00808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64504.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9622.1000" TargetMode="External"/><Relationship Id="rId5" Type="http://schemas.openxmlformats.org/officeDocument/2006/relationships/hyperlink" Target="garantF1://6225497.2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2</cp:revision>
  <cp:lastPrinted>2016-03-15T06:41:00Z</cp:lastPrinted>
  <dcterms:created xsi:type="dcterms:W3CDTF">2024-06-21T09:41:00Z</dcterms:created>
  <dcterms:modified xsi:type="dcterms:W3CDTF">2024-06-21T09:41:00Z</dcterms:modified>
</cp:coreProperties>
</file>