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9AD" w:rsidRPr="00BA49AD" w:rsidRDefault="00BA49AD" w:rsidP="00BA49AD">
      <w:pPr>
        <w:jc w:val="center"/>
      </w:pPr>
      <w:r w:rsidRPr="00BA49AD">
        <w:t>Пояснительная записка</w:t>
      </w:r>
    </w:p>
    <w:p w:rsidR="00BA49AD" w:rsidRPr="00BA49AD" w:rsidRDefault="00BA49AD" w:rsidP="00BA49AD">
      <w:pPr>
        <w:jc w:val="center"/>
      </w:pPr>
      <w:r w:rsidRPr="00BA49AD">
        <w:t xml:space="preserve">к проекту решения Думы Кондинского района </w:t>
      </w:r>
    </w:p>
    <w:p w:rsidR="00BA49AD" w:rsidRPr="00BA49AD" w:rsidRDefault="00BA49AD" w:rsidP="00BA49AD">
      <w:pPr>
        <w:jc w:val="center"/>
      </w:pPr>
      <w:r w:rsidRPr="00BA49AD">
        <w:t>«О Стратегии  социально-экономического развития Кондинского района Ханты-Мансийского автономного округа - Югры на период до 2036 года»</w:t>
      </w:r>
    </w:p>
    <w:p w:rsidR="00BA49AD" w:rsidRPr="00BA49AD" w:rsidRDefault="00BA49AD" w:rsidP="00BA49AD">
      <w:pPr>
        <w:ind w:firstLine="708"/>
        <w:jc w:val="both"/>
      </w:pPr>
    </w:p>
    <w:p w:rsidR="00BA49AD" w:rsidRPr="00BA49AD" w:rsidRDefault="00BA49AD" w:rsidP="00BA49AD">
      <w:pPr>
        <w:ind w:firstLine="709"/>
        <w:jc w:val="both"/>
      </w:pPr>
      <w:r w:rsidRPr="00BA49AD">
        <w:t>В соответствии с пунктом 20 действующего Порядка разработки, корректировки, осуществления мониторинга и контроля реализации стратегии социально-экономического развития Кондинского района Ханты-Мансийского автономного округа – Югры, утвержденного постановлением администрации Кондинского района от 14 января 2016 года № 51 «О Порядке разработки, корректировки, осуществления мониторинга и контроля реализации стратегии социально-экономического развития Кондинского района Ханты-Мансийского автономного округа – Югры» (с изменениями), Стратегия утверждается Думой Кондинского района.</w:t>
      </w:r>
    </w:p>
    <w:p w:rsidR="00BA49AD" w:rsidRPr="00BA49AD" w:rsidRDefault="00BA49AD" w:rsidP="00BA49AD">
      <w:pPr>
        <w:ind w:firstLine="708"/>
        <w:jc w:val="both"/>
      </w:pPr>
      <w:r w:rsidRPr="00BA49AD">
        <w:t>На основании вышеизложенного подготовлен проект решения Думы Кондинского района «О Стратегии социально-экономического развития Кондинского района Ханты-Мансийского автономного округа – Югры на период до 2036 года».</w:t>
      </w:r>
    </w:p>
    <w:p w:rsidR="00BA49AD" w:rsidRPr="00BA49AD" w:rsidRDefault="00BA49AD" w:rsidP="00BA49AD">
      <w:pPr>
        <w:ind w:firstLine="708"/>
        <w:jc w:val="both"/>
      </w:pPr>
      <w:r w:rsidRPr="00BA49AD">
        <w:t xml:space="preserve">Целью пересмотра Стратегии является актуализация приоритетов долгосрочного развития в новых экономических условиях, определение и корректировка путей обеспечения устойчивого повышения качества жизни и благосостояния граждан, проживающих в Кондинском районе, развитие экономики и социальной сферы территории, укрепление ее конкурентных позиций среди муниципальных образований Югры, синхронизация долгосрочных приоритетов развития с </w:t>
      </w:r>
      <w:r w:rsidRPr="00BA49AD">
        <w:rPr>
          <w:bCs/>
        </w:rPr>
        <w:t xml:space="preserve">автономным округом </w:t>
      </w:r>
      <w:r w:rsidRPr="00BA49AD">
        <w:t>и Российской Федерацией, учет общественного мнения граждан.</w:t>
      </w:r>
    </w:p>
    <w:p w:rsidR="00BA49AD" w:rsidRPr="00BA49AD" w:rsidRDefault="00BA49AD" w:rsidP="00BA49AD">
      <w:pPr>
        <w:ind w:firstLine="708"/>
        <w:jc w:val="both"/>
      </w:pPr>
      <w:r w:rsidRPr="00BA49AD">
        <w:t>Стратегическая цель развития Кондинского района заключается в повышении качества жизни населения путем эффективного развития реального сектора экономики, основанной на инновациях и конкурентных преимуществах, формирования благоприятной социальной среды и брендирования территории, развития гражданской инициативы и местного самоуправления.</w:t>
      </w:r>
    </w:p>
    <w:p w:rsidR="00BA49AD" w:rsidRPr="00BA49AD" w:rsidRDefault="00BA49AD" w:rsidP="00BA49AD">
      <w:pPr>
        <w:ind w:firstLine="708"/>
        <w:jc w:val="both"/>
        <w:rPr>
          <w:b/>
          <w:i/>
        </w:rPr>
      </w:pPr>
      <w:r w:rsidRPr="00BA49AD">
        <w:rPr>
          <w:b/>
          <w:i/>
        </w:rPr>
        <w:t>Основные изменения в направлениях и механизмах Стратегии:</w:t>
      </w:r>
    </w:p>
    <w:p w:rsidR="00BA49AD" w:rsidRPr="00BA49AD" w:rsidRDefault="00BA49AD" w:rsidP="00BA49AD">
      <w:pPr>
        <w:ind w:firstLine="708"/>
        <w:jc w:val="both"/>
      </w:pPr>
      <w:r w:rsidRPr="00BA49AD">
        <w:t>В проекте Стратегии предусмотрена реализация четырех флагманских проектов, которые затрагивают всех жителей района; «Продовольственное самообеспечение Кондинского района!», «Продвижение бренда Кондинского района», «Развитие придорожного сервиса в Кондинском районе», экологический проект «Конда – край чистых рос!».</w:t>
      </w:r>
    </w:p>
    <w:p w:rsidR="00BA49AD" w:rsidRPr="00BA49AD" w:rsidRDefault="00BA49AD" w:rsidP="00BA49AD">
      <w:pPr>
        <w:ind w:firstLine="708"/>
        <w:jc w:val="both"/>
      </w:pPr>
      <w:r w:rsidRPr="00BA49AD">
        <w:t>В проект Стратегии добавлены новые направления развития «гражданское общество», «молодежная политика», «туризм», «развитие бренда территории», «развитие агломерации Урай-Междуреченский», «развитие опорных населенных пунктов».</w:t>
      </w:r>
    </w:p>
    <w:p w:rsidR="00BA49AD" w:rsidRPr="00BA49AD" w:rsidRDefault="00BA49AD" w:rsidP="00BA49AD">
      <w:pPr>
        <w:ind w:firstLine="708"/>
        <w:jc w:val="both"/>
      </w:pPr>
      <w:r w:rsidRPr="00BA49AD">
        <w:t>Остальные позиции в Стратегии – 2036 сохранены.</w:t>
      </w:r>
    </w:p>
    <w:p w:rsidR="00BA49AD" w:rsidRPr="00BA49AD" w:rsidRDefault="00BA49AD" w:rsidP="00BA49AD">
      <w:pPr>
        <w:ind w:firstLine="708"/>
        <w:jc w:val="both"/>
      </w:pPr>
      <w:r w:rsidRPr="00BA49AD">
        <w:t>Траектория долгосрочного развития района лежит между сценарием длительного сохранения существующей структуры экономики, медленных ее изменений (консервативный) и сценарием преобразования (базовый). В зависимости от внешних условий в  долгосрочной перспективе возможны два альтернативных сценария развития социально-экономической сферы района. Однозначно мы должны понимать, что от макроэкономических показателей в стране и непосредственно нашей активности, зависит по какому сценарию будет развиваться Кондинский район. Естественно без финансовых средств развиваться невозможно, но мы принимаем решения как их привлечь и в каких объемах. В настоящее время используются только внутренние ресурсы района и автономного округа в развитии Кондинского района. Важно продолжить работу по внешнему привлечению финансовых средств в район, повышать инвестиционную привлекательность территории района, в этом направлении поделана подготовительная работа, которая в будущем принесет свои результаты.</w:t>
      </w:r>
    </w:p>
    <w:p w:rsidR="00BA49AD" w:rsidRPr="00BA49AD" w:rsidRDefault="00BA49AD" w:rsidP="00BA49AD">
      <w:pPr>
        <w:ind w:firstLine="708"/>
        <w:jc w:val="both"/>
      </w:pPr>
      <w:r w:rsidRPr="00BA49AD">
        <w:lastRenderedPageBreak/>
        <w:t>Стратегия генерирует в себе перспективные и приоритетные направления развития района, механизм в рамках действующего законодательства РФ реализации будет реализовываться в рамках муниципальных программ с участием софинансирования государственных программ и привлечением внебюджетных средств.</w:t>
      </w:r>
    </w:p>
    <w:p w:rsidR="00BA49AD" w:rsidRPr="00BA49AD" w:rsidRDefault="00BA49AD" w:rsidP="00BA49AD">
      <w:pPr>
        <w:ind w:firstLine="708"/>
        <w:jc w:val="both"/>
      </w:pPr>
      <w:r w:rsidRPr="00BA49AD">
        <w:t xml:space="preserve">Целевые показатели стратегии отражают базовый сценарий и предусматривают: стабильный рост численности постоянного населения </w:t>
      </w:r>
      <w:r w:rsidRPr="00BA49AD">
        <w:rPr>
          <w:i/>
        </w:rPr>
        <w:t>(к 2036 году увеличение на 6,3%),</w:t>
      </w:r>
      <w:r w:rsidRPr="00BA49AD">
        <w:t xml:space="preserve"> увеличение продолжительности жизни на 6,5 лет; увеличение доли граждан систематически занимающихся физической культурой до 72%;увеличение занятых в экономике 1,5 тыс. человек, рост заработной платы </w:t>
      </w:r>
      <w:r w:rsidRPr="00BA49AD">
        <w:rPr>
          <w:i/>
        </w:rPr>
        <w:t xml:space="preserve">(к 2036 году увеличение 1,6 раза), </w:t>
      </w:r>
      <w:r w:rsidRPr="00BA49AD">
        <w:t>снижение уровня безработицы до 1,62%; увеличение объема инвестиций в основной капитал в 2,5 раза; увеличение объема отгруженной продукции более чем в 2 раза.</w:t>
      </w:r>
    </w:p>
    <w:p w:rsidR="00BA49AD" w:rsidRPr="00BA49AD" w:rsidRDefault="00BA49AD" w:rsidP="00BA49AD">
      <w:pPr>
        <w:ind w:firstLine="708"/>
        <w:jc w:val="both"/>
      </w:pPr>
      <w:r w:rsidRPr="00BA49AD">
        <w:t xml:space="preserve">По проекту решения назначены  публичные слушания 17.01.2024, согласно действующего законодательства РФ.  </w:t>
      </w:r>
    </w:p>
    <w:p w:rsidR="00BA49AD" w:rsidRPr="00BA49AD" w:rsidRDefault="00BA49AD" w:rsidP="00BA49AD">
      <w:pPr>
        <w:ind w:firstLine="708"/>
        <w:jc w:val="both"/>
      </w:pPr>
      <w:r w:rsidRPr="00BA49AD">
        <w:t>Проект решения размещен на официальном сайте органов местного самоуправления Кондинского района в разделе «антикоррупционная экспертиза», направлен в Прокуратуру Кондинского района.</w:t>
      </w:r>
    </w:p>
    <w:p w:rsidR="00BA49AD" w:rsidRPr="00BA49AD" w:rsidRDefault="00BA49AD" w:rsidP="00BA49AD">
      <w:pPr>
        <w:ind w:firstLine="708"/>
        <w:jc w:val="both"/>
      </w:pPr>
      <w:r w:rsidRPr="00BA49AD">
        <w:t xml:space="preserve">Разработчик проекта решения комитет экономического развития администрации Кондинского района, </w:t>
      </w:r>
      <w:hyperlink r:id="rId7" w:history="1">
        <w:r w:rsidRPr="00BA49AD">
          <w:rPr>
            <w:color w:val="0000FF"/>
            <w:u w:val="single"/>
          </w:rPr>
          <w:t>ekonomika@admkonda.ru</w:t>
        </w:r>
      </w:hyperlink>
      <w:r w:rsidRPr="00BA49AD">
        <w:t xml:space="preserve"> .</w:t>
      </w:r>
    </w:p>
    <w:p w:rsidR="00BA49AD" w:rsidRPr="00BA49AD" w:rsidRDefault="00BA49AD" w:rsidP="00BA49AD">
      <w:pPr>
        <w:ind w:firstLine="708"/>
        <w:jc w:val="both"/>
      </w:pPr>
      <w:r w:rsidRPr="00BA49AD">
        <w:t xml:space="preserve">В соответствии с пунктом 1.5 Порядка проведения оценки регулирующего воздействия проектов муниципальных нормативных правовых актов администрации Кондинского района и Думы Кондинского района, и экспертизы муниципальных нормативных правовых актов администрации Кондинского района и Думы Кондинского района, утвержденного постановлением администрации Кондинского района от 28 сентября 2015 года № 1213 (с изменениями от 17.05.2023 года), сообщаем, что проект «О Стратегии  социально-экономического развития   Кондинского района Ханты-Мансийского автономного округа - Югры на период до 2036 года» </w:t>
      </w:r>
    </w:p>
    <w:p w:rsidR="00BA49AD" w:rsidRPr="00BA49AD" w:rsidRDefault="00BA49AD" w:rsidP="00BA49AD">
      <w:pPr>
        <w:ind w:firstLine="708"/>
        <w:jc w:val="both"/>
      </w:pPr>
      <w:r w:rsidRPr="00BA49AD">
        <w:t>не содержит положений:</w:t>
      </w:r>
    </w:p>
    <w:p w:rsidR="00BA49AD" w:rsidRPr="00BA49AD" w:rsidRDefault="00BA49AD" w:rsidP="00BA49AD">
      <w:pPr>
        <w:ind w:firstLine="708"/>
        <w:jc w:val="both"/>
      </w:pPr>
      <w:r w:rsidRPr="00BA49AD">
        <w:t>- устанавливающих новые или изменяющие ранее предусмотренные муниципальными нормативными правовыми актами обязательные требования, связанные с осуществлением предпринимательской     и иной экономической деятельности,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оценки соответствия продукции, иных форм оценок и экспертиз;</w:t>
      </w:r>
    </w:p>
    <w:p w:rsidR="00BA49AD" w:rsidRPr="00BA49AD" w:rsidRDefault="00BA49AD" w:rsidP="00BA49AD">
      <w:pPr>
        <w:ind w:firstLine="708"/>
        <w:jc w:val="both"/>
      </w:pPr>
      <w:r w:rsidRPr="00BA49AD">
        <w:t>- устанавливающих новые или изменяющие ранее предусмотренные муниципальными нормативными правовыми актами обязанности и запреты для субъектов предпринимательской и инвестиционной деятельности;</w:t>
      </w:r>
    </w:p>
    <w:p w:rsidR="00BA49AD" w:rsidRPr="00BA49AD" w:rsidRDefault="00BA49AD" w:rsidP="00BA49AD">
      <w:pPr>
        <w:ind w:firstLine="708"/>
        <w:jc w:val="both"/>
        <w:rPr>
          <w:i/>
        </w:rPr>
      </w:pPr>
      <w:r w:rsidRPr="00BA49AD">
        <w:t>- устанавливающих или изменяющие ответственность за нарушение муниципальных нормативных правовых актов, затрагивающих вопросы осуществления предпринимательской и иной экономической деятельности.</w:t>
      </w:r>
    </w:p>
    <w:p w:rsidR="00BA49AD" w:rsidRPr="00BA49AD" w:rsidRDefault="00BA49AD" w:rsidP="00BA49AD">
      <w:pPr>
        <w:ind w:firstLine="708"/>
        <w:jc w:val="both"/>
        <w:rPr>
          <w:i/>
        </w:rPr>
      </w:pPr>
    </w:p>
    <w:p w:rsidR="00BA49AD" w:rsidRPr="00BA49AD" w:rsidRDefault="00BA49AD" w:rsidP="00BA49AD">
      <w:pPr>
        <w:jc w:val="both"/>
      </w:pPr>
    </w:p>
    <w:p w:rsidR="00BA49AD" w:rsidRPr="00BA49AD" w:rsidRDefault="00BA49AD" w:rsidP="00BA49AD">
      <w:pPr>
        <w:jc w:val="both"/>
      </w:pPr>
      <w:r w:rsidRPr="00BA49AD">
        <w:t>Председатель комитета</w:t>
      </w:r>
    </w:p>
    <w:p w:rsidR="00BA49AD" w:rsidRPr="00BA49AD" w:rsidRDefault="00BA49AD" w:rsidP="00BA49AD">
      <w:pPr>
        <w:jc w:val="both"/>
      </w:pPr>
      <w:r w:rsidRPr="00BA49AD">
        <w:t>экономического развития                                                                           Е. Е. Петрова</w:t>
      </w:r>
    </w:p>
    <w:p w:rsidR="00BA49AD" w:rsidRPr="00BA49AD" w:rsidRDefault="00BA49AD" w:rsidP="00BA49AD">
      <w:pPr>
        <w:jc w:val="both"/>
      </w:pPr>
    </w:p>
    <w:p w:rsidR="00BA49AD" w:rsidRPr="00BA49AD" w:rsidRDefault="00BA49AD" w:rsidP="00BA49AD">
      <w:pPr>
        <w:jc w:val="both"/>
      </w:pPr>
    </w:p>
    <w:p w:rsidR="00BA49AD" w:rsidRPr="00BA49AD" w:rsidRDefault="00BA49AD" w:rsidP="00BA49AD">
      <w:pPr>
        <w:jc w:val="both"/>
      </w:pPr>
    </w:p>
    <w:p w:rsidR="00BA49AD" w:rsidRPr="00BA49AD" w:rsidRDefault="00BA49AD" w:rsidP="00BA49AD">
      <w:pPr>
        <w:jc w:val="both"/>
      </w:pPr>
    </w:p>
    <w:p w:rsidR="00BA49AD" w:rsidRPr="00BA49AD" w:rsidRDefault="00BA49AD" w:rsidP="00BA49AD">
      <w:pPr>
        <w:jc w:val="both"/>
      </w:pPr>
      <w:bookmarkStart w:id="0" w:name="_GoBack"/>
      <w:bookmarkEnd w:id="0"/>
      <w:r w:rsidRPr="00BA49AD">
        <w:t>Исполнитель:</w:t>
      </w:r>
    </w:p>
    <w:p w:rsidR="00BA49AD" w:rsidRPr="00BA49AD" w:rsidRDefault="00BA49AD" w:rsidP="00BA49AD">
      <w:pPr>
        <w:jc w:val="both"/>
      </w:pPr>
      <w:r w:rsidRPr="00BA49AD">
        <w:t>Заместитель председателя комитета</w:t>
      </w:r>
    </w:p>
    <w:p w:rsidR="00BA49AD" w:rsidRPr="00BA49AD" w:rsidRDefault="00BA49AD" w:rsidP="00BA49AD">
      <w:pPr>
        <w:jc w:val="both"/>
      </w:pPr>
      <w:r w:rsidRPr="00BA49AD">
        <w:t>экономического развития</w:t>
      </w:r>
    </w:p>
    <w:p w:rsidR="00BA49AD" w:rsidRPr="00BA49AD" w:rsidRDefault="00BA49AD" w:rsidP="00BA49AD">
      <w:pPr>
        <w:jc w:val="both"/>
      </w:pPr>
      <w:r w:rsidRPr="00BA49AD">
        <w:t>Каспшицкая Т.В.</w:t>
      </w:r>
    </w:p>
    <w:p w:rsidR="00BA49AD" w:rsidRPr="00BA49AD" w:rsidRDefault="00BA49AD" w:rsidP="00BA49AD">
      <w:pPr>
        <w:jc w:val="both"/>
      </w:pPr>
      <w:r w:rsidRPr="00BA49AD">
        <w:t>тел. 41-121</w:t>
      </w:r>
    </w:p>
    <w:p w:rsidR="00BA49AD" w:rsidRDefault="00BA49AD">
      <w:pPr>
        <w:spacing w:line="0" w:lineRule="atLeast"/>
        <w:jc w:val="right"/>
        <w:rPr>
          <w:szCs w:val="28"/>
          <w:highlight w:val="yellow"/>
        </w:rPr>
        <w:sectPr w:rsidR="00BA49AD" w:rsidSect="00BA49AD">
          <w:headerReference w:type="default" r:id="rId8"/>
          <w:footerReference w:type="default" r:id="rId9"/>
          <w:pgSz w:w="11906" w:h="16838"/>
          <w:pgMar w:top="1134" w:right="850" w:bottom="1134" w:left="1701" w:header="709" w:footer="709" w:gutter="0"/>
          <w:pgNumType w:start="1"/>
          <w:cols w:space="720"/>
          <w:titlePg/>
          <w:docGrid w:linePitch="360"/>
        </w:sectPr>
      </w:pPr>
    </w:p>
    <w:p w:rsidR="00CF0324" w:rsidRDefault="00CF0324">
      <w:pPr>
        <w:spacing w:line="0" w:lineRule="atLeast"/>
        <w:jc w:val="right"/>
        <w:rPr>
          <w:szCs w:val="28"/>
          <w:highlight w:val="yellow"/>
        </w:rPr>
      </w:pPr>
    </w:p>
    <w:p w:rsidR="00CF0324" w:rsidRDefault="00124A10">
      <w:pPr>
        <w:spacing w:line="0" w:lineRule="atLeast"/>
        <w:jc w:val="right"/>
        <w:rPr>
          <w:szCs w:val="28"/>
        </w:rPr>
      </w:pPr>
      <w:r>
        <w:rPr>
          <w:szCs w:val="28"/>
        </w:rPr>
        <w:t>ПРОЕКТ</w:t>
      </w:r>
    </w:p>
    <w:p w:rsidR="00CF0324" w:rsidRDefault="00124A10">
      <w:pPr>
        <w:rPr>
          <w:sz w:val="28"/>
          <w:szCs w:val="28"/>
        </w:rPr>
      </w:pPr>
      <w:r>
        <w:rPr>
          <w:sz w:val="16"/>
          <w:szCs w:val="16"/>
        </w:rPr>
        <w:t xml:space="preserve"> </w:t>
      </w:r>
    </w:p>
    <w:p w:rsidR="00CF0324" w:rsidRDefault="00124A10">
      <w:pPr>
        <w:jc w:val="center"/>
        <w:rPr>
          <w:b/>
          <w:sz w:val="28"/>
          <w:szCs w:val="28"/>
        </w:rPr>
      </w:pPr>
      <w:r>
        <w:rPr>
          <w:b/>
          <w:sz w:val="28"/>
          <w:szCs w:val="28"/>
        </w:rPr>
        <w:t>ХАНТЫ-МАНСИЙСКИЙ АВТОНОМНЫЙ ОКРУГ – ЮГРА</w:t>
      </w:r>
    </w:p>
    <w:p w:rsidR="00CF0324" w:rsidRDefault="00124A10">
      <w:pPr>
        <w:jc w:val="center"/>
        <w:rPr>
          <w:b/>
          <w:sz w:val="28"/>
          <w:szCs w:val="28"/>
        </w:rPr>
      </w:pPr>
      <w:r>
        <w:rPr>
          <w:b/>
          <w:sz w:val="28"/>
          <w:szCs w:val="28"/>
        </w:rPr>
        <w:t>ДУМА КОНДИНСКОГО РАЙОНА</w:t>
      </w:r>
    </w:p>
    <w:p w:rsidR="00CF0324" w:rsidRDefault="00CF0324">
      <w:pPr>
        <w:jc w:val="center"/>
        <w:rPr>
          <w:b/>
          <w:sz w:val="28"/>
          <w:szCs w:val="28"/>
        </w:rPr>
      </w:pPr>
    </w:p>
    <w:p w:rsidR="00CF0324" w:rsidRDefault="00124A10">
      <w:pPr>
        <w:spacing w:line="0" w:lineRule="atLeast"/>
        <w:jc w:val="center"/>
        <w:rPr>
          <w:b/>
          <w:sz w:val="28"/>
          <w:szCs w:val="28"/>
        </w:rPr>
      </w:pPr>
      <w:r>
        <w:rPr>
          <w:b/>
          <w:sz w:val="28"/>
          <w:szCs w:val="28"/>
        </w:rPr>
        <w:t>РЕШЕНИЕ</w:t>
      </w:r>
    </w:p>
    <w:p w:rsidR="00CF0324" w:rsidRDefault="00124A10">
      <w:pPr>
        <w:pStyle w:val="ConsTitle"/>
        <w:widowControl/>
        <w:spacing w:line="0" w:lineRule="atLeast"/>
        <w:ind w:right="0"/>
        <w:rPr>
          <w:rFonts w:ascii="Times New Roman" w:hAnsi="Times New Roman"/>
          <w:sz w:val="28"/>
          <w:szCs w:val="28"/>
        </w:rPr>
      </w:pPr>
      <w:r>
        <w:rPr>
          <w:rFonts w:ascii="Times New Roman" w:hAnsi="Times New Roman"/>
          <w:sz w:val="28"/>
          <w:szCs w:val="28"/>
        </w:rPr>
        <w:t xml:space="preserve">                                                                                                                     </w:t>
      </w:r>
    </w:p>
    <w:p w:rsidR="00CF0324" w:rsidRDefault="00124A10">
      <w:pPr>
        <w:shd w:val="clear" w:color="auto" w:fill="FFFFFF"/>
        <w:spacing w:line="0" w:lineRule="atLeast"/>
        <w:jc w:val="center"/>
        <w:rPr>
          <w:b/>
          <w:sz w:val="27"/>
          <w:szCs w:val="27"/>
        </w:rPr>
      </w:pPr>
      <w:r>
        <w:rPr>
          <w:b/>
          <w:sz w:val="27"/>
          <w:szCs w:val="27"/>
        </w:rPr>
        <w:t xml:space="preserve">О стратегии социально-экономического развития </w:t>
      </w:r>
    </w:p>
    <w:p w:rsidR="00CF0324" w:rsidRDefault="00124A10">
      <w:pPr>
        <w:shd w:val="clear" w:color="auto" w:fill="FFFFFF"/>
        <w:spacing w:line="0" w:lineRule="atLeast"/>
        <w:jc w:val="center"/>
        <w:rPr>
          <w:b/>
          <w:sz w:val="27"/>
          <w:szCs w:val="27"/>
        </w:rPr>
      </w:pPr>
      <w:r>
        <w:rPr>
          <w:b/>
          <w:sz w:val="27"/>
          <w:szCs w:val="27"/>
        </w:rPr>
        <w:t xml:space="preserve">Кондинского района Ханты-Мансийского автономного </w:t>
      </w:r>
    </w:p>
    <w:p w:rsidR="00CF0324" w:rsidRDefault="00124A10">
      <w:pPr>
        <w:shd w:val="clear" w:color="auto" w:fill="FFFFFF"/>
        <w:spacing w:line="0" w:lineRule="atLeast"/>
        <w:jc w:val="center"/>
        <w:rPr>
          <w:b/>
          <w:sz w:val="27"/>
          <w:szCs w:val="27"/>
        </w:rPr>
      </w:pPr>
      <w:r>
        <w:rPr>
          <w:b/>
          <w:sz w:val="27"/>
          <w:szCs w:val="27"/>
        </w:rPr>
        <w:t>округа – Югры на период до 2036 года</w:t>
      </w:r>
    </w:p>
    <w:p w:rsidR="00CF0324" w:rsidRDefault="00CF0324">
      <w:pPr>
        <w:spacing w:line="0" w:lineRule="atLeast"/>
        <w:rPr>
          <w:b/>
          <w:sz w:val="27"/>
          <w:szCs w:val="27"/>
        </w:rPr>
      </w:pPr>
    </w:p>
    <w:p w:rsidR="00CF0324" w:rsidRDefault="00124A10">
      <w:pPr>
        <w:spacing w:line="0" w:lineRule="atLeast"/>
        <w:ind w:firstLine="720"/>
        <w:jc w:val="both"/>
        <w:rPr>
          <w:b/>
          <w:sz w:val="27"/>
          <w:szCs w:val="27"/>
        </w:rPr>
      </w:pPr>
      <w:r>
        <w:rPr>
          <w:sz w:val="27"/>
          <w:szCs w:val="27"/>
        </w:rPr>
        <w:t>В соответствии с пунктом 2 статьи 39 Федерального закона от 28 июня 2014 года № 172-ФЗ «О стратегическом планировании в Российской Федерации», руководствуясь подпунктом 4 пункта 1 статьи 18 Устава Кондинского муниципального района, постановлением администрации Кондинского района от 14 января 2016 года № 51 «О Порядке разработки, корректировки, осуществления мониторинга и контроля реализации  стратегии социально-экономического развития Кондинского района Ханты-Мансийского автономного округа – Югры» (с изменениями), Дума Кондинского района решила</w:t>
      </w:r>
      <w:r>
        <w:rPr>
          <w:b/>
          <w:sz w:val="27"/>
          <w:szCs w:val="27"/>
        </w:rPr>
        <w:t>:</w:t>
      </w:r>
    </w:p>
    <w:p w:rsidR="00CF0324" w:rsidRDefault="00124A10">
      <w:pPr>
        <w:shd w:val="clear" w:color="auto" w:fill="FFFFFF"/>
        <w:spacing w:line="0" w:lineRule="atLeast"/>
        <w:ind w:firstLine="568"/>
        <w:jc w:val="both"/>
        <w:rPr>
          <w:sz w:val="27"/>
          <w:szCs w:val="27"/>
        </w:rPr>
      </w:pPr>
      <w:r>
        <w:rPr>
          <w:sz w:val="27"/>
          <w:szCs w:val="27"/>
        </w:rPr>
        <w:t>1. Утвердить Стратегию социально - экономического развития Кондинского района Ханты-Мансийского автономного округа – Югры на период до 2036 года, согласно приложению.</w:t>
      </w:r>
    </w:p>
    <w:p w:rsidR="00CF0324" w:rsidRDefault="00124A10">
      <w:pPr>
        <w:shd w:val="clear" w:color="auto" w:fill="FFFFFF"/>
        <w:spacing w:line="0" w:lineRule="atLeast"/>
        <w:ind w:firstLine="568"/>
        <w:jc w:val="both"/>
        <w:rPr>
          <w:sz w:val="27"/>
          <w:szCs w:val="27"/>
        </w:rPr>
      </w:pPr>
      <w:r>
        <w:rPr>
          <w:sz w:val="27"/>
          <w:szCs w:val="27"/>
        </w:rPr>
        <w:t>2. Признать утратившим силу решение Думы Кондинского района от 05 сентября 2017 года № 297 «О стратегии социально-экономического развития Кондинского района Ханты-Мансийского автономного округа – Югры на период до 2030 года».</w:t>
      </w:r>
    </w:p>
    <w:p w:rsidR="00CF0324" w:rsidRDefault="00124A10">
      <w:pPr>
        <w:tabs>
          <w:tab w:val="left" w:pos="1000"/>
        </w:tabs>
        <w:spacing w:line="0" w:lineRule="atLeast"/>
        <w:ind w:firstLine="568"/>
        <w:jc w:val="both"/>
        <w:rPr>
          <w:sz w:val="27"/>
          <w:szCs w:val="27"/>
        </w:rPr>
      </w:pPr>
      <w:r>
        <w:rPr>
          <w:sz w:val="27"/>
          <w:szCs w:val="27"/>
        </w:rPr>
        <w:t xml:space="preserve">3. </w:t>
      </w:r>
      <w:r>
        <w:rPr>
          <w:bCs/>
          <w:color w:val="000000"/>
          <w:sz w:val="27"/>
          <w:szCs w:val="27"/>
        </w:rPr>
        <w:t>Обнародовать настоящее решение в соответствии с решением Думы Кондинского района от 27 февраля 2017 года № 215 «</w:t>
      </w:r>
      <w:r>
        <w:rPr>
          <w:sz w:val="27"/>
          <w:szCs w:val="27"/>
        </w:rPr>
        <w:t>Об утверждении Порядка опубликования (</w:t>
      </w:r>
      <w:r>
        <w:rPr>
          <w:bCs/>
          <w:sz w:val="27"/>
          <w:szCs w:val="27"/>
        </w:rPr>
        <w:t>обнародования) муниципальных правовых актов и другой официальной информации</w:t>
      </w:r>
      <w:r>
        <w:rPr>
          <w:sz w:val="27"/>
          <w:szCs w:val="27"/>
        </w:rPr>
        <w:t xml:space="preserve"> органов местного самоуправления муниципального образования Кондинский район </w:t>
      </w:r>
      <w:r>
        <w:rPr>
          <w:bCs/>
          <w:color w:val="000000"/>
          <w:sz w:val="27"/>
          <w:szCs w:val="27"/>
        </w:rPr>
        <w:t>и разместить на официальном сайте органов местного самоуправления Кондинского района.</w:t>
      </w:r>
    </w:p>
    <w:p w:rsidR="00CF0324" w:rsidRDefault="00124A10">
      <w:pPr>
        <w:tabs>
          <w:tab w:val="left" w:pos="1000"/>
        </w:tabs>
        <w:spacing w:line="0" w:lineRule="atLeast"/>
        <w:ind w:firstLine="568"/>
        <w:jc w:val="both"/>
        <w:rPr>
          <w:sz w:val="27"/>
          <w:szCs w:val="27"/>
        </w:rPr>
      </w:pPr>
      <w:r>
        <w:rPr>
          <w:sz w:val="27"/>
          <w:szCs w:val="27"/>
        </w:rPr>
        <w:t>4. Настоящее решение вступает в силу после его обн</w:t>
      </w:r>
      <w:r w:rsidR="00C047D3">
        <w:rPr>
          <w:sz w:val="27"/>
          <w:szCs w:val="27"/>
        </w:rPr>
        <w:t>а</w:t>
      </w:r>
      <w:r>
        <w:rPr>
          <w:sz w:val="27"/>
          <w:szCs w:val="27"/>
        </w:rPr>
        <w:t>родования.</w:t>
      </w:r>
    </w:p>
    <w:p w:rsidR="00CF0324" w:rsidRDefault="00124A10">
      <w:pPr>
        <w:tabs>
          <w:tab w:val="left" w:pos="1000"/>
        </w:tabs>
        <w:spacing w:line="0" w:lineRule="atLeast"/>
        <w:ind w:firstLine="568"/>
        <w:jc w:val="both"/>
        <w:rPr>
          <w:sz w:val="27"/>
          <w:szCs w:val="27"/>
        </w:rPr>
      </w:pPr>
      <w:r>
        <w:rPr>
          <w:sz w:val="27"/>
          <w:szCs w:val="27"/>
        </w:rPr>
        <w:t>5. Контроль за выполнением настоящего решения возложить на председателя  Думы Кондинского района Р.В. Бринстера и главу Кондинского района  А.А. Мухина в соответствии с их компетенцией.</w:t>
      </w:r>
    </w:p>
    <w:p w:rsidR="00CF0324" w:rsidRDefault="00CF0324">
      <w:pPr>
        <w:spacing w:line="0" w:lineRule="atLeast"/>
        <w:jc w:val="both"/>
        <w:rPr>
          <w:sz w:val="27"/>
          <w:szCs w:val="27"/>
        </w:rPr>
      </w:pPr>
    </w:p>
    <w:p w:rsidR="00CF0324" w:rsidRDefault="00CF0324">
      <w:pPr>
        <w:spacing w:line="0" w:lineRule="atLeast"/>
        <w:jc w:val="both"/>
        <w:rPr>
          <w:sz w:val="27"/>
          <w:szCs w:val="27"/>
        </w:rPr>
      </w:pPr>
    </w:p>
    <w:p w:rsidR="00CF0324" w:rsidRDefault="00124A10">
      <w:pPr>
        <w:spacing w:line="0" w:lineRule="atLeast"/>
        <w:jc w:val="both"/>
        <w:rPr>
          <w:sz w:val="27"/>
          <w:szCs w:val="27"/>
        </w:rPr>
      </w:pPr>
      <w:r>
        <w:rPr>
          <w:sz w:val="27"/>
          <w:szCs w:val="27"/>
        </w:rPr>
        <w:t>Председатель Думы Кондинского района                                       Р.В. Бринстер</w:t>
      </w:r>
    </w:p>
    <w:p w:rsidR="00CF0324" w:rsidRDefault="00CF0324">
      <w:pPr>
        <w:spacing w:line="0" w:lineRule="atLeast"/>
        <w:jc w:val="both"/>
        <w:rPr>
          <w:sz w:val="27"/>
          <w:szCs w:val="27"/>
        </w:rPr>
      </w:pPr>
    </w:p>
    <w:p w:rsidR="00CF0324" w:rsidRDefault="00124A10">
      <w:pPr>
        <w:spacing w:line="0" w:lineRule="atLeast"/>
        <w:jc w:val="both"/>
        <w:rPr>
          <w:sz w:val="27"/>
          <w:szCs w:val="27"/>
        </w:rPr>
      </w:pPr>
      <w:r>
        <w:rPr>
          <w:sz w:val="27"/>
          <w:szCs w:val="27"/>
        </w:rPr>
        <w:t>Глава Кондинского района                                                              А.А. Мухин</w:t>
      </w:r>
    </w:p>
    <w:p w:rsidR="00CF0324" w:rsidRDefault="00CF0324">
      <w:pPr>
        <w:spacing w:line="0" w:lineRule="atLeast"/>
        <w:jc w:val="both"/>
        <w:rPr>
          <w:sz w:val="27"/>
          <w:szCs w:val="27"/>
        </w:rPr>
      </w:pPr>
    </w:p>
    <w:p w:rsidR="00CF0324" w:rsidRDefault="00124A10">
      <w:pPr>
        <w:spacing w:line="0" w:lineRule="atLeast"/>
        <w:jc w:val="both"/>
        <w:rPr>
          <w:sz w:val="27"/>
          <w:szCs w:val="27"/>
        </w:rPr>
      </w:pPr>
      <w:r>
        <w:rPr>
          <w:sz w:val="27"/>
          <w:szCs w:val="27"/>
        </w:rPr>
        <w:t>пгт. Междуреченский</w:t>
      </w:r>
    </w:p>
    <w:p w:rsidR="00CF0324" w:rsidRDefault="00124A10">
      <w:pPr>
        <w:spacing w:line="0" w:lineRule="atLeast"/>
        <w:jc w:val="both"/>
        <w:rPr>
          <w:sz w:val="27"/>
          <w:szCs w:val="27"/>
        </w:rPr>
      </w:pPr>
      <w:r>
        <w:rPr>
          <w:sz w:val="27"/>
          <w:szCs w:val="27"/>
        </w:rPr>
        <w:t>__ _________  2024 года</w:t>
      </w:r>
    </w:p>
    <w:p w:rsidR="00CF0324" w:rsidRDefault="00124A10">
      <w:pPr>
        <w:spacing w:line="0" w:lineRule="atLeast"/>
        <w:rPr>
          <w:sz w:val="26"/>
          <w:szCs w:val="26"/>
        </w:rPr>
        <w:sectPr w:rsidR="00CF0324">
          <w:pgSz w:w="11906" w:h="16838"/>
          <w:pgMar w:top="1134" w:right="851" w:bottom="993" w:left="1701" w:header="709" w:footer="709" w:gutter="0"/>
          <w:pgNumType w:start="1"/>
          <w:cols w:space="720"/>
          <w:titlePg/>
          <w:docGrid w:linePitch="360"/>
        </w:sectPr>
      </w:pPr>
      <w:r>
        <w:rPr>
          <w:sz w:val="27"/>
          <w:szCs w:val="27"/>
        </w:rPr>
        <w:t>№ ___</w:t>
      </w:r>
    </w:p>
    <w:p w:rsidR="00CF0324" w:rsidRDefault="00124A10">
      <w:pPr>
        <w:widowControl w:val="0"/>
        <w:tabs>
          <w:tab w:val="left" w:pos="5954"/>
        </w:tabs>
        <w:ind w:left="5664"/>
      </w:pPr>
      <w:r>
        <w:lastRenderedPageBreak/>
        <w:t xml:space="preserve">Приложение  к решению </w:t>
      </w:r>
    </w:p>
    <w:p w:rsidR="00CF0324" w:rsidRDefault="00124A10">
      <w:pPr>
        <w:widowControl w:val="0"/>
        <w:tabs>
          <w:tab w:val="left" w:pos="5954"/>
        </w:tabs>
        <w:ind w:left="5664"/>
      </w:pPr>
      <w:r>
        <w:t xml:space="preserve">Думы Кондинского района </w:t>
      </w:r>
    </w:p>
    <w:p w:rsidR="00CF0324" w:rsidRDefault="00124A10">
      <w:pPr>
        <w:widowControl w:val="0"/>
        <w:tabs>
          <w:tab w:val="left" w:pos="5954"/>
        </w:tabs>
        <w:ind w:left="5664"/>
      </w:pPr>
      <w:r>
        <w:t>от  __________2024 года  №___</w:t>
      </w:r>
    </w:p>
    <w:p w:rsidR="00CF0324" w:rsidRDefault="00CF0324">
      <w:pPr>
        <w:widowControl w:val="0"/>
        <w:tabs>
          <w:tab w:val="left" w:pos="6663"/>
        </w:tabs>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124A10">
      <w:pPr>
        <w:widowControl w:val="0"/>
        <w:jc w:val="center"/>
        <w:rPr>
          <w:b/>
          <w:sz w:val="40"/>
          <w:szCs w:val="40"/>
        </w:rPr>
      </w:pPr>
      <w:r>
        <w:rPr>
          <w:b/>
          <w:sz w:val="40"/>
          <w:szCs w:val="40"/>
        </w:rPr>
        <w:t>СТРАТЕГИЯ</w:t>
      </w:r>
    </w:p>
    <w:p w:rsidR="00CF0324" w:rsidRDefault="00124A10">
      <w:pPr>
        <w:widowControl w:val="0"/>
        <w:jc w:val="center"/>
        <w:rPr>
          <w:b/>
          <w:sz w:val="40"/>
          <w:szCs w:val="40"/>
        </w:rPr>
      </w:pPr>
      <w:r>
        <w:rPr>
          <w:b/>
          <w:sz w:val="40"/>
          <w:szCs w:val="40"/>
        </w:rPr>
        <w:t>СОЦИАЛЬНО-ЭКОНОМИЧЕСКОГО РАЗВИТИЯ КОНДИНСКОГО РАЙОНА ХАНТЫ-МАНСИЙСКОГО АВТОНОМНОГО</w:t>
      </w:r>
    </w:p>
    <w:p w:rsidR="00CF0324" w:rsidRDefault="00124A10">
      <w:pPr>
        <w:widowControl w:val="0"/>
        <w:jc w:val="center"/>
        <w:rPr>
          <w:sz w:val="40"/>
          <w:szCs w:val="40"/>
        </w:rPr>
      </w:pPr>
      <w:r>
        <w:rPr>
          <w:b/>
          <w:sz w:val="40"/>
          <w:szCs w:val="40"/>
        </w:rPr>
        <w:t xml:space="preserve">ОКРУГА – ЮГРЫ НА ПЕРИОД ДО 2036 ГОДА </w:t>
      </w: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CF0324">
      <w:pPr>
        <w:widowControl w:val="0"/>
        <w:rPr>
          <w:sz w:val="28"/>
          <w:szCs w:val="28"/>
        </w:rPr>
      </w:pPr>
    </w:p>
    <w:p w:rsidR="00CF0324" w:rsidRDefault="00124A10">
      <w:pPr>
        <w:pStyle w:val="aff4"/>
        <w:widowControl w:val="0"/>
        <w:rPr>
          <w:sz w:val="28"/>
          <w:szCs w:val="28"/>
          <w:lang w:val="ru-RU"/>
        </w:rPr>
      </w:pPr>
      <w:r>
        <w:rPr>
          <w:sz w:val="28"/>
          <w:szCs w:val="28"/>
          <w:lang w:val="ru-RU"/>
        </w:rPr>
        <w:t xml:space="preserve">пгт. Междуреченский, </w:t>
      </w:r>
      <w:r>
        <w:rPr>
          <w:sz w:val="28"/>
          <w:szCs w:val="28"/>
        </w:rPr>
        <w:t>20</w:t>
      </w:r>
      <w:r>
        <w:rPr>
          <w:sz w:val="28"/>
          <w:szCs w:val="28"/>
          <w:lang w:val="ru-RU"/>
        </w:rPr>
        <w:t>24</w:t>
      </w:r>
    </w:p>
    <w:p w:rsidR="00CF0324" w:rsidRDefault="00CF0324">
      <w:pPr>
        <w:rPr>
          <w:sz w:val="28"/>
          <w:szCs w:val="28"/>
        </w:rPr>
        <w:sectPr w:rsidR="00CF0324">
          <w:pgSz w:w="11906" w:h="16838"/>
          <w:pgMar w:top="1134" w:right="851" w:bottom="1134" w:left="1701" w:header="709" w:footer="709" w:gutter="0"/>
          <w:pgNumType w:start="1"/>
          <w:cols w:space="720"/>
          <w:titlePg/>
          <w:docGrid w:linePitch="360"/>
        </w:sectPr>
      </w:pPr>
    </w:p>
    <w:p w:rsidR="00CF0324" w:rsidRDefault="00124A10">
      <w:pPr>
        <w:pStyle w:val="af6"/>
        <w:jc w:val="center"/>
      </w:pPr>
      <w:r>
        <w:lastRenderedPageBreak/>
        <w:t>Оглавление</w:t>
      </w:r>
    </w:p>
    <w:p w:rsidR="00CF0324" w:rsidRDefault="00124A10">
      <w:pPr>
        <w:pStyle w:val="12"/>
        <w:spacing w:line="276" w:lineRule="auto"/>
      </w:pPr>
      <w:r>
        <w:fldChar w:fldCharType="begin"/>
      </w:r>
      <w:r>
        <w:instrText xml:space="preserve"> TOC \o "1-3" \h \z \u </w:instrText>
      </w:r>
      <w:r>
        <w:fldChar w:fldCharType="separate"/>
      </w:r>
      <w:hyperlink w:anchor="_Toc1" w:tooltip="#_Toc1" w:history="1">
        <w:r>
          <w:rPr>
            <w:rStyle w:val="af"/>
          </w:rPr>
          <w:t>ВВЕДЕНИЕ</w:t>
        </w:r>
        <w:r>
          <w:tab/>
        </w:r>
        <w:r>
          <w:fldChar w:fldCharType="begin"/>
        </w:r>
        <w:r>
          <w:instrText>PAGEREF _Toc1 \h</w:instrText>
        </w:r>
        <w:r>
          <w:fldChar w:fldCharType="separate"/>
        </w:r>
        <w:r>
          <w:t>6</w:t>
        </w:r>
        <w:r>
          <w:fldChar w:fldCharType="end"/>
        </w:r>
      </w:hyperlink>
    </w:p>
    <w:p w:rsidR="00CF0324" w:rsidRDefault="00BA49AD">
      <w:pPr>
        <w:pStyle w:val="12"/>
        <w:spacing w:line="276" w:lineRule="auto"/>
      </w:pPr>
      <w:hyperlink w:anchor="_Toc2" w:tooltip="#_Toc2" w:history="1">
        <w:r w:rsidR="00124A10">
          <w:rPr>
            <w:rStyle w:val="af"/>
          </w:rPr>
          <w:t>КОНДИНСКИЙ РАЙОН ХАНТЫ-МАНСИЙСКОГО АВТОНОМНОГО ОКРУГА-ЮГРЫ (КРАТКАЯ СПРАВКА)</w:t>
        </w:r>
        <w:r w:rsidR="00124A10">
          <w:tab/>
        </w:r>
        <w:r w:rsidR="00124A10">
          <w:fldChar w:fldCharType="begin"/>
        </w:r>
        <w:r w:rsidR="00124A10">
          <w:instrText>PAGEREF _Toc2 \h</w:instrText>
        </w:r>
        <w:r w:rsidR="00124A10">
          <w:fldChar w:fldCharType="separate"/>
        </w:r>
        <w:r w:rsidR="00124A10">
          <w:t>8</w:t>
        </w:r>
        <w:r w:rsidR="00124A10">
          <w:fldChar w:fldCharType="end"/>
        </w:r>
      </w:hyperlink>
    </w:p>
    <w:p w:rsidR="00CF0324" w:rsidRDefault="00BA49AD">
      <w:pPr>
        <w:pStyle w:val="12"/>
        <w:spacing w:line="276" w:lineRule="auto"/>
      </w:pPr>
      <w:hyperlink w:anchor="_Toc3" w:tooltip="#_Toc3" w:history="1">
        <w:r w:rsidR="00124A10">
          <w:rPr>
            <w:rStyle w:val="af"/>
          </w:rPr>
          <w:t>РАЗДЕЛ 1. АНАЛИЗ СОЦИАЛЬНО-ЭКОНОМИЧЕСКОГО РАЗВИТИЯ МУНИЦИПАЛЬНОГО ОБРАЗОВАНИЯ КОНДИНСКИЙ РАЙОНХАНТЫ-МАНСИЙСКОГО АВТОНОМНОГО ОКРУГА – ЮГРЫ В 2016-2022 ГОДЫ</w:t>
        </w:r>
        <w:r w:rsidR="00124A10">
          <w:tab/>
        </w:r>
        <w:r w:rsidR="00124A10">
          <w:fldChar w:fldCharType="begin"/>
        </w:r>
        <w:r w:rsidR="00124A10">
          <w:instrText>PAGEREF _Toc3 \h</w:instrText>
        </w:r>
        <w:r w:rsidR="00124A10">
          <w:fldChar w:fldCharType="separate"/>
        </w:r>
        <w:r w:rsidR="00124A10">
          <w:t>11</w:t>
        </w:r>
        <w:r w:rsidR="00124A10">
          <w:fldChar w:fldCharType="end"/>
        </w:r>
      </w:hyperlink>
    </w:p>
    <w:p w:rsidR="00CF0324" w:rsidRDefault="00BA49AD">
      <w:pPr>
        <w:pStyle w:val="23"/>
        <w:tabs>
          <w:tab w:val="right" w:leader="dot" w:pos="9344"/>
        </w:tabs>
        <w:spacing w:line="276" w:lineRule="auto"/>
        <w:rPr>
          <w:i/>
        </w:rPr>
      </w:pPr>
      <w:hyperlink w:anchor="_Toc4" w:tooltip="#_Toc4" w:history="1">
        <w:r w:rsidR="00124A10">
          <w:rPr>
            <w:rStyle w:val="af"/>
            <w:i/>
          </w:rPr>
          <w:t>1.1. Демографическая ситуация и уровень жизни</w:t>
        </w:r>
        <w:r w:rsidR="00124A10">
          <w:tab/>
        </w:r>
        <w:r w:rsidR="00124A10">
          <w:fldChar w:fldCharType="begin"/>
        </w:r>
        <w:r w:rsidR="00124A10">
          <w:instrText>PAGEREF _Toc4 \h</w:instrText>
        </w:r>
        <w:r w:rsidR="00124A10">
          <w:fldChar w:fldCharType="separate"/>
        </w:r>
        <w:r w:rsidR="00124A10">
          <w:t>11</w:t>
        </w:r>
        <w:r w:rsidR="00124A10">
          <w:fldChar w:fldCharType="end"/>
        </w:r>
      </w:hyperlink>
    </w:p>
    <w:p w:rsidR="00CF0324" w:rsidRDefault="00BA49AD">
      <w:pPr>
        <w:pStyle w:val="23"/>
        <w:tabs>
          <w:tab w:val="right" w:leader="dot" w:pos="9344"/>
        </w:tabs>
        <w:spacing w:line="276" w:lineRule="auto"/>
        <w:rPr>
          <w:i/>
        </w:rPr>
      </w:pPr>
      <w:hyperlink w:anchor="_Toc5" w:tooltip="#_Toc5" w:history="1">
        <w:r w:rsidR="00124A10">
          <w:rPr>
            <w:rStyle w:val="af"/>
            <w:i/>
          </w:rPr>
          <w:t>1.2.Рынок труда, занятость населения, кадровое обеспечение</w:t>
        </w:r>
        <w:r w:rsidR="00124A10">
          <w:tab/>
        </w:r>
        <w:r w:rsidR="00124A10">
          <w:fldChar w:fldCharType="begin"/>
        </w:r>
        <w:r w:rsidR="00124A10">
          <w:instrText>PAGEREF _Toc5 \h</w:instrText>
        </w:r>
        <w:r w:rsidR="00124A10">
          <w:fldChar w:fldCharType="separate"/>
        </w:r>
        <w:r w:rsidR="00124A10">
          <w:t>17</w:t>
        </w:r>
        <w:r w:rsidR="00124A10">
          <w:fldChar w:fldCharType="end"/>
        </w:r>
      </w:hyperlink>
    </w:p>
    <w:p w:rsidR="00CF0324" w:rsidRDefault="00BA49AD">
      <w:pPr>
        <w:pStyle w:val="23"/>
        <w:tabs>
          <w:tab w:val="right" w:leader="dot" w:pos="9344"/>
        </w:tabs>
        <w:spacing w:line="276" w:lineRule="auto"/>
        <w:rPr>
          <w:i/>
        </w:rPr>
      </w:pPr>
      <w:hyperlink w:anchor="_Toc6" w:tooltip="#_Toc6" w:history="1">
        <w:r w:rsidR="00124A10">
          <w:rPr>
            <w:rStyle w:val="af"/>
            <w:i/>
          </w:rPr>
          <w:t>1.3. Гражданское общество</w:t>
        </w:r>
        <w:r w:rsidR="00124A10">
          <w:tab/>
        </w:r>
        <w:r w:rsidR="00124A10">
          <w:fldChar w:fldCharType="begin"/>
        </w:r>
        <w:r w:rsidR="00124A10">
          <w:instrText>PAGEREF _Toc6 \h</w:instrText>
        </w:r>
        <w:r w:rsidR="00124A10">
          <w:fldChar w:fldCharType="separate"/>
        </w:r>
        <w:r w:rsidR="00124A10">
          <w:t>23</w:t>
        </w:r>
        <w:r w:rsidR="00124A10">
          <w:fldChar w:fldCharType="end"/>
        </w:r>
      </w:hyperlink>
    </w:p>
    <w:p w:rsidR="00CF0324" w:rsidRDefault="00BA49AD">
      <w:pPr>
        <w:pStyle w:val="23"/>
        <w:tabs>
          <w:tab w:val="right" w:leader="dot" w:pos="9344"/>
        </w:tabs>
        <w:spacing w:line="276" w:lineRule="auto"/>
        <w:rPr>
          <w:i/>
        </w:rPr>
      </w:pPr>
      <w:hyperlink w:anchor="_Toc7" w:tooltip="#_Toc7" w:history="1">
        <w:r w:rsidR="00124A10">
          <w:rPr>
            <w:rStyle w:val="af"/>
            <w:i/>
          </w:rPr>
          <w:t>1.4. Промышленность</w:t>
        </w:r>
        <w:r w:rsidR="00124A10">
          <w:tab/>
        </w:r>
        <w:r w:rsidR="00124A10">
          <w:fldChar w:fldCharType="begin"/>
        </w:r>
        <w:r w:rsidR="00124A10">
          <w:instrText>PAGEREF _Toc7 \h</w:instrText>
        </w:r>
        <w:r w:rsidR="00124A10">
          <w:fldChar w:fldCharType="separate"/>
        </w:r>
        <w:r w:rsidR="00124A10">
          <w:t>25</w:t>
        </w:r>
        <w:r w:rsidR="00124A10">
          <w:fldChar w:fldCharType="end"/>
        </w:r>
      </w:hyperlink>
    </w:p>
    <w:p w:rsidR="00CF0324" w:rsidRDefault="00BA49AD">
      <w:pPr>
        <w:pStyle w:val="23"/>
        <w:tabs>
          <w:tab w:val="right" w:leader="dot" w:pos="9344"/>
        </w:tabs>
        <w:spacing w:line="276" w:lineRule="auto"/>
        <w:rPr>
          <w:i/>
        </w:rPr>
      </w:pPr>
      <w:hyperlink w:anchor="_Toc8" w:tooltip="#_Toc8" w:history="1">
        <w:r w:rsidR="00124A10">
          <w:rPr>
            <w:rStyle w:val="af"/>
            <w:i/>
          </w:rPr>
          <w:t>1.5. Агропромышленный комплекс</w:t>
        </w:r>
        <w:r w:rsidR="00124A10">
          <w:tab/>
        </w:r>
        <w:r w:rsidR="00124A10">
          <w:fldChar w:fldCharType="begin"/>
        </w:r>
        <w:r w:rsidR="00124A10">
          <w:instrText>PAGEREF _Toc8 \h</w:instrText>
        </w:r>
        <w:r w:rsidR="00124A10">
          <w:fldChar w:fldCharType="separate"/>
        </w:r>
        <w:r w:rsidR="00124A10">
          <w:t>28</w:t>
        </w:r>
        <w:r w:rsidR="00124A10">
          <w:fldChar w:fldCharType="end"/>
        </w:r>
      </w:hyperlink>
    </w:p>
    <w:p w:rsidR="00CF0324" w:rsidRDefault="00BA49AD">
      <w:pPr>
        <w:pStyle w:val="23"/>
        <w:tabs>
          <w:tab w:val="right" w:leader="dot" w:pos="9344"/>
        </w:tabs>
        <w:spacing w:line="276" w:lineRule="auto"/>
        <w:rPr>
          <w:i/>
        </w:rPr>
      </w:pPr>
      <w:hyperlink w:anchor="_Toc9" w:tooltip="#_Toc9" w:history="1">
        <w:r w:rsidR="00124A10">
          <w:rPr>
            <w:rStyle w:val="af"/>
            <w:i/>
          </w:rPr>
          <w:t>1.6. Туризм</w:t>
        </w:r>
        <w:r w:rsidR="00124A10">
          <w:tab/>
        </w:r>
        <w:r w:rsidR="00124A10">
          <w:fldChar w:fldCharType="begin"/>
        </w:r>
        <w:r w:rsidR="00124A10">
          <w:instrText>PAGEREF _Toc9 \h</w:instrText>
        </w:r>
        <w:r w:rsidR="00124A10">
          <w:fldChar w:fldCharType="separate"/>
        </w:r>
        <w:r w:rsidR="00124A10">
          <w:t>30</w:t>
        </w:r>
        <w:r w:rsidR="00124A10">
          <w:fldChar w:fldCharType="end"/>
        </w:r>
      </w:hyperlink>
    </w:p>
    <w:p w:rsidR="00CF0324" w:rsidRDefault="00BA49AD">
      <w:pPr>
        <w:pStyle w:val="23"/>
        <w:tabs>
          <w:tab w:val="right" w:leader="dot" w:pos="9344"/>
        </w:tabs>
        <w:spacing w:line="276" w:lineRule="auto"/>
        <w:rPr>
          <w:i/>
        </w:rPr>
      </w:pPr>
      <w:hyperlink w:anchor="_Toc10" w:tooltip="#_Toc10" w:history="1">
        <w:r w:rsidR="00124A10">
          <w:rPr>
            <w:rStyle w:val="af"/>
            <w:i/>
          </w:rPr>
          <w:t>1.7.Пространственное развитие</w:t>
        </w:r>
        <w:r w:rsidR="00124A10">
          <w:tab/>
        </w:r>
        <w:r w:rsidR="00124A10">
          <w:fldChar w:fldCharType="begin"/>
        </w:r>
        <w:r w:rsidR="00124A10">
          <w:instrText>PAGEREF _Toc10 \h</w:instrText>
        </w:r>
        <w:r w:rsidR="00124A10">
          <w:fldChar w:fldCharType="separate"/>
        </w:r>
        <w:r w:rsidR="00124A10">
          <w:t>34</w:t>
        </w:r>
        <w:r w:rsidR="00124A10">
          <w:fldChar w:fldCharType="end"/>
        </w:r>
      </w:hyperlink>
    </w:p>
    <w:p w:rsidR="00CF0324" w:rsidRDefault="00BA49AD">
      <w:pPr>
        <w:pStyle w:val="23"/>
        <w:tabs>
          <w:tab w:val="right" w:leader="dot" w:pos="9344"/>
        </w:tabs>
        <w:spacing w:line="276" w:lineRule="auto"/>
        <w:rPr>
          <w:i/>
        </w:rPr>
      </w:pPr>
      <w:hyperlink w:anchor="_Toc11" w:tooltip="#_Toc11" w:history="1">
        <w:r w:rsidR="00124A10">
          <w:rPr>
            <w:rStyle w:val="af"/>
            <w:i/>
          </w:rPr>
          <w:t>1.8. Инвестиционная деятельность</w:t>
        </w:r>
        <w:r w:rsidR="00124A10">
          <w:tab/>
        </w:r>
        <w:r w:rsidR="00124A10">
          <w:fldChar w:fldCharType="begin"/>
        </w:r>
        <w:r w:rsidR="00124A10">
          <w:instrText>PAGEREF _Toc11 \h</w:instrText>
        </w:r>
        <w:r w:rsidR="00124A10">
          <w:fldChar w:fldCharType="separate"/>
        </w:r>
        <w:r w:rsidR="00124A10">
          <w:t>40</w:t>
        </w:r>
        <w:r w:rsidR="00124A10">
          <w:fldChar w:fldCharType="end"/>
        </w:r>
      </w:hyperlink>
    </w:p>
    <w:p w:rsidR="00CF0324" w:rsidRDefault="00BA49AD">
      <w:pPr>
        <w:pStyle w:val="23"/>
        <w:tabs>
          <w:tab w:val="right" w:leader="dot" w:pos="9344"/>
        </w:tabs>
        <w:spacing w:line="276" w:lineRule="auto"/>
        <w:rPr>
          <w:i/>
        </w:rPr>
      </w:pPr>
      <w:hyperlink w:anchor="_Toc12" w:tooltip="#_Toc12" w:history="1">
        <w:r w:rsidR="00124A10">
          <w:rPr>
            <w:rStyle w:val="af"/>
            <w:i/>
          </w:rPr>
          <w:t>1.9. Жилищно-коммунальное хозяйство (ЖКХ)</w:t>
        </w:r>
        <w:r w:rsidR="00124A10">
          <w:tab/>
        </w:r>
        <w:r w:rsidR="00124A10">
          <w:fldChar w:fldCharType="begin"/>
        </w:r>
        <w:r w:rsidR="00124A10">
          <w:instrText>PAGEREF _Toc12 \h</w:instrText>
        </w:r>
        <w:r w:rsidR="00124A10">
          <w:fldChar w:fldCharType="separate"/>
        </w:r>
        <w:r w:rsidR="00124A10">
          <w:t>42</w:t>
        </w:r>
        <w:r w:rsidR="00124A10">
          <w:fldChar w:fldCharType="end"/>
        </w:r>
      </w:hyperlink>
    </w:p>
    <w:p w:rsidR="00CF0324" w:rsidRDefault="00BA49AD">
      <w:pPr>
        <w:pStyle w:val="23"/>
        <w:tabs>
          <w:tab w:val="right" w:leader="dot" w:pos="9344"/>
        </w:tabs>
        <w:spacing w:line="276" w:lineRule="auto"/>
        <w:rPr>
          <w:i/>
        </w:rPr>
      </w:pPr>
      <w:hyperlink w:anchor="_Toc13" w:tooltip="#_Toc13" w:history="1">
        <w:r w:rsidR="00124A10">
          <w:rPr>
            <w:rStyle w:val="af"/>
            <w:i/>
          </w:rPr>
          <w:t>1.10. Строительство</w:t>
        </w:r>
        <w:r w:rsidR="00124A10">
          <w:tab/>
        </w:r>
        <w:r w:rsidR="00124A10">
          <w:fldChar w:fldCharType="begin"/>
        </w:r>
        <w:r w:rsidR="00124A10">
          <w:instrText>PAGEREF _Toc13 \h</w:instrText>
        </w:r>
        <w:r w:rsidR="00124A10">
          <w:fldChar w:fldCharType="separate"/>
        </w:r>
        <w:r w:rsidR="00124A10">
          <w:t>45</w:t>
        </w:r>
        <w:r w:rsidR="00124A10">
          <w:fldChar w:fldCharType="end"/>
        </w:r>
      </w:hyperlink>
    </w:p>
    <w:p w:rsidR="00CF0324" w:rsidRDefault="00BA49AD">
      <w:pPr>
        <w:pStyle w:val="23"/>
        <w:tabs>
          <w:tab w:val="right" w:leader="dot" w:pos="9344"/>
        </w:tabs>
        <w:spacing w:line="276" w:lineRule="auto"/>
        <w:rPr>
          <w:i/>
        </w:rPr>
      </w:pPr>
      <w:hyperlink w:anchor="_Toc14" w:tooltip="#_Toc14" w:history="1">
        <w:r w:rsidR="00124A10">
          <w:rPr>
            <w:rStyle w:val="af"/>
            <w:i/>
          </w:rPr>
          <w:t>1.11. Потребительский рынок</w:t>
        </w:r>
        <w:r w:rsidR="00124A10">
          <w:tab/>
        </w:r>
        <w:r w:rsidR="00124A10">
          <w:fldChar w:fldCharType="begin"/>
        </w:r>
        <w:r w:rsidR="00124A10">
          <w:instrText>PAGEREF _Toc14 \h</w:instrText>
        </w:r>
        <w:r w:rsidR="00124A10">
          <w:fldChar w:fldCharType="separate"/>
        </w:r>
        <w:r w:rsidR="00124A10">
          <w:t>46</w:t>
        </w:r>
        <w:r w:rsidR="00124A10">
          <w:fldChar w:fldCharType="end"/>
        </w:r>
      </w:hyperlink>
    </w:p>
    <w:p w:rsidR="00CF0324" w:rsidRDefault="00BA49AD">
      <w:pPr>
        <w:pStyle w:val="23"/>
        <w:tabs>
          <w:tab w:val="right" w:leader="dot" w:pos="9344"/>
        </w:tabs>
        <w:spacing w:line="276" w:lineRule="auto"/>
        <w:rPr>
          <w:i/>
        </w:rPr>
      </w:pPr>
      <w:hyperlink w:anchor="_Toc15" w:tooltip="#_Toc15" w:history="1">
        <w:r w:rsidR="00124A10">
          <w:rPr>
            <w:rStyle w:val="af"/>
            <w:i/>
          </w:rPr>
          <w:t>1.12. Малое и среднее предпринимательство</w:t>
        </w:r>
        <w:r w:rsidR="00124A10">
          <w:tab/>
        </w:r>
        <w:r w:rsidR="00124A10">
          <w:fldChar w:fldCharType="begin"/>
        </w:r>
        <w:r w:rsidR="00124A10">
          <w:instrText>PAGEREF _Toc15 \h</w:instrText>
        </w:r>
        <w:r w:rsidR="00124A10">
          <w:fldChar w:fldCharType="separate"/>
        </w:r>
        <w:r w:rsidR="00124A10">
          <w:t>48</w:t>
        </w:r>
        <w:r w:rsidR="00124A10">
          <w:fldChar w:fldCharType="end"/>
        </w:r>
      </w:hyperlink>
    </w:p>
    <w:p w:rsidR="00CF0324" w:rsidRDefault="00BA49AD">
      <w:pPr>
        <w:pStyle w:val="23"/>
        <w:tabs>
          <w:tab w:val="right" w:leader="dot" w:pos="9344"/>
        </w:tabs>
        <w:spacing w:line="276" w:lineRule="auto"/>
        <w:rPr>
          <w:i/>
        </w:rPr>
      </w:pPr>
      <w:hyperlink w:anchor="_Toc16" w:tooltip="#_Toc16" w:history="1">
        <w:r w:rsidR="00124A10">
          <w:rPr>
            <w:rStyle w:val="af"/>
            <w:i/>
          </w:rPr>
          <w:t>1.13. Социальная сфера</w:t>
        </w:r>
        <w:r w:rsidR="00124A10">
          <w:tab/>
        </w:r>
        <w:r w:rsidR="00124A10">
          <w:fldChar w:fldCharType="begin"/>
        </w:r>
        <w:r w:rsidR="00124A10">
          <w:instrText>PAGEREF _Toc16 \h</w:instrText>
        </w:r>
        <w:r w:rsidR="00124A10">
          <w:fldChar w:fldCharType="separate"/>
        </w:r>
        <w:r w:rsidR="00124A10">
          <w:t>51</w:t>
        </w:r>
        <w:r w:rsidR="00124A10">
          <w:fldChar w:fldCharType="end"/>
        </w:r>
      </w:hyperlink>
    </w:p>
    <w:p w:rsidR="00CF0324" w:rsidRDefault="00BA49AD">
      <w:pPr>
        <w:pStyle w:val="32"/>
        <w:tabs>
          <w:tab w:val="right" w:leader="dot" w:pos="9344"/>
        </w:tabs>
        <w:spacing w:line="276" w:lineRule="auto"/>
        <w:rPr>
          <w:i/>
        </w:rPr>
      </w:pPr>
      <w:hyperlink w:anchor="_Toc17" w:tooltip="#_Toc17" w:history="1">
        <w:r w:rsidR="00124A10">
          <w:rPr>
            <w:rStyle w:val="af"/>
            <w:i/>
          </w:rPr>
          <w:t>1.13.1. Дошкольное и общее образование</w:t>
        </w:r>
        <w:r w:rsidR="00124A10">
          <w:tab/>
        </w:r>
        <w:r w:rsidR="00124A10">
          <w:fldChar w:fldCharType="begin"/>
        </w:r>
        <w:r w:rsidR="00124A10">
          <w:instrText>PAGEREF _Toc17 \h</w:instrText>
        </w:r>
        <w:r w:rsidR="00124A10">
          <w:fldChar w:fldCharType="separate"/>
        </w:r>
        <w:r w:rsidR="00124A10">
          <w:t>51</w:t>
        </w:r>
        <w:r w:rsidR="00124A10">
          <w:fldChar w:fldCharType="end"/>
        </w:r>
      </w:hyperlink>
    </w:p>
    <w:p w:rsidR="00CF0324" w:rsidRDefault="00BA49AD">
      <w:pPr>
        <w:pStyle w:val="32"/>
        <w:tabs>
          <w:tab w:val="right" w:leader="dot" w:pos="9344"/>
        </w:tabs>
        <w:spacing w:line="276" w:lineRule="auto"/>
        <w:rPr>
          <w:i/>
        </w:rPr>
      </w:pPr>
      <w:hyperlink w:anchor="_Toc18" w:tooltip="#_Toc18" w:history="1">
        <w:r w:rsidR="00124A10">
          <w:rPr>
            <w:rStyle w:val="af"/>
            <w:i/>
          </w:rPr>
          <w:t>1.13.2. Здравоохранение</w:t>
        </w:r>
        <w:r w:rsidR="00124A10">
          <w:tab/>
        </w:r>
        <w:r w:rsidR="00124A10">
          <w:fldChar w:fldCharType="begin"/>
        </w:r>
        <w:r w:rsidR="00124A10">
          <w:instrText>PAGEREF _Toc18 \h</w:instrText>
        </w:r>
        <w:r w:rsidR="00124A10">
          <w:fldChar w:fldCharType="separate"/>
        </w:r>
        <w:r w:rsidR="00124A10">
          <w:t>55</w:t>
        </w:r>
        <w:r w:rsidR="00124A10">
          <w:fldChar w:fldCharType="end"/>
        </w:r>
      </w:hyperlink>
    </w:p>
    <w:p w:rsidR="00CF0324" w:rsidRDefault="00BA49AD">
      <w:pPr>
        <w:pStyle w:val="32"/>
        <w:tabs>
          <w:tab w:val="right" w:leader="dot" w:pos="9344"/>
        </w:tabs>
        <w:spacing w:line="276" w:lineRule="auto"/>
        <w:rPr>
          <w:i/>
        </w:rPr>
      </w:pPr>
      <w:hyperlink w:anchor="_Toc19" w:tooltip="#_Toc19" w:history="1">
        <w:r w:rsidR="00124A10">
          <w:rPr>
            <w:rStyle w:val="af"/>
            <w:i/>
          </w:rPr>
          <w:t>1.13.3. Культура</w:t>
        </w:r>
        <w:r w:rsidR="00124A10">
          <w:tab/>
        </w:r>
        <w:r w:rsidR="00124A10">
          <w:fldChar w:fldCharType="begin"/>
        </w:r>
        <w:r w:rsidR="00124A10">
          <w:instrText>PAGEREF _Toc19 \h</w:instrText>
        </w:r>
        <w:r w:rsidR="00124A10">
          <w:fldChar w:fldCharType="separate"/>
        </w:r>
        <w:r w:rsidR="00124A10">
          <w:t>57</w:t>
        </w:r>
        <w:r w:rsidR="00124A10">
          <w:fldChar w:fldCharType="end"/>
        </w:r>
      </w:hyperlink>
    </w:p>
    <w:p w:rsidR="00CF0324" w:rsidRDefault="00BA49AD">
      <w:pPr>
        <w:pStyle w:val="32"/>
        <w:tabs>
          <w:tab w:val="right" w:leader="dot" w:pos="9344"/>
        </w:tabs>
        <w:spacing w:line="276" w:lineRule="auto"/>
        <w:rPr>
          <w:i/>
        </w:rPr>
      </w:pPr>
      <w:hyperlink w:anchor="_Toc20" w:tooltip="#_Toc20" w:history="1">
        <w:r w:rsidR="00124A10">
          <w:rPr>
            <w:rStyle w:val="af"/>
            <w:i/>
          </w:rPr>
          <w:t>1.13.4. Физическая культура и спорт</w:t>
        </w:r>
        <w:r w:rsidR="00124A10">
          <w:tab/>
        </w:r>
        <w:r w:rsidR="00124A10">
          <w:fldChar w:fldCharType="begin"/>
        </w:r>
        <w:r w:rsidR="00124A10">
          <w:instrText>PAGEREF _Toc20 \h</w:instrText>
        </w:r>
        <w:r w:rsidR="00124A10">
          <w:fldChar w:fldCharType="separate"/>
        </w:r>
        <w:r w:rsidR="00124A10">
          <w:t>58</w:t>
        </w:r>
        <w:r w:rsidR="00124A10">
          <w:fldChar w:fldCharType="end"/>
        </w:r>
      </w:hyperlink>
    </w:p>
    <w:p w:rsidR="00CF0324" w:rsidRDefault="00BA49AD">
      <w:pPr>
        <w:pStyle w:val="23"/>
        <w:tabs>
          <w:tab w:val="right" w:leader="dot" w:pos="9344"/>
        </w:tabs>
        <w:spacing w:line="276" w:lineRule="auto"/>
        <w:rPr>
          <w:i/>
        </w:rPr>
      </w:pPr>
      <w:hyperlink w:anchor="_Toc21" w:tooltip="#_Toc21" w:history="1">
        <w:r w:rsidR="00124A10">
          <w:rPr>
            <w:rStyle w:val="af"/>
            <w:i/>
          </w:rPr>
          <w:t>1.14.Транспорт и связь</w:t>
        </w:r>
        <w:r w:rsidR="00124A10">
          <w:tab/>
        </w:r>
        <w:r w:rsidR="00124A10">
          <w:fldChar w:fldCharType="begin"/>
        </w:r>
        <w:r w:rsidR="00124A10">
          <w:instrText>PAGEREF _Toc21 \h</w:instrText>
        </w:r>
        <w:r w:rsidR="00124A10">
          <w:fldChar w:fldCharType="separate"/>
        </w:r>
        <w:r w:rsidR="00124A10">
          <w:t>60</w:t>
        </w:r>
        <w:r w:rsidR="00124A10">
          <w:fldChar w:fldCharType="end"/>
        </w:r>
      </w:hyperlink>
    </w:p>
    <w:p w:rsidR="00CF0324" w:rsidRDefault="00BA49AD">
      <w:pPr>
        <w:pStyle w:val="23"/>
        <w:tabs>
          <w:tab w:val="right" w:leader="dot" w:pos="9344"/>
        </w:tabs>
        <w:spacing w:line="276" w:lineRule="auto"/>
        <w:rPr>
          <w:i/>
        </w:rPr>
      </w:pPr>
      <w:hyperlink w:anchor="_Toc22" w:tooltip="#_Toc22" w:history="1">
        <w:r w:rsidR="00124A10">
          <w:rPr>
            <w:rStyle w:val="af"/>
            <w:i/>
          </w:rPr>
          <w:t>1.14.1. Транспортный комплекс</w:t>
        </w:r>
        <w:r w:rsidR="00124A10">
          <w:tab/>
        </w:r>
        <w:r w:rsidR="00124A10">
          <w:fldChar w:fldCharType="begin"/>
        </w:r>
        <w:r w:rsidR="00124A10">
          <w:instrText>PAGEREF _Toc22 \h</w:instrText>
        </w:r>
        <w:r w:rsidR="00124A10">
          <w:fldChar w:fldCharType="separate"/>
        </w:r>
        <w:r w:rsidR="00124A10">
          <w:t>60</w:t>
        </w:r>
        <w:r w:rsidR="00124A10">
          <w:fldChar w:fldCharType="end"/>
        </w:r>
      </w:hyperlink>
    </w:p>
    <w:p w:rsidR="00CF0324" w:rsidRDefault="00BA49AD">
      <w:pPr>
        <w:pStyle w:val="23"/>
        <w:tabs>
          <w:tab w:val="right" w:leader="dot" w:pos="9344"/>
        </w:tabs>
        <w:spacing w:line="276" w:lineRule="auto"/>
        <w:rPr>
          <w:i/>
        </w:rPr>
      </w:pPr>
      <w:hyperlink w:anchor="_Toc23" w:tooltip="#_Toc23" w:history="1">
        <w:r w:rsidR="00124A10">
          <w:rPr>
            <w:rStyle w:val="af"/>
            <w:i/>
          </w:rPr>
          <w:t>1.14.2. Информационное общество</w:t>
        </w:r>
        <w:r w:rsidR="00124A10">
          <w:tab/>
        </w:r>
        <w:r w:rsidR="00124A10">
          <w:fldChar w:fldCharType="begin"/>
        </w:r>
        <w:r w:rsidR="00124A10">
          <w:instrText>PAGEREF _Toc23 \h</w:instrText>
        </w:r>
        <w:r w:rsidR="00124A10">
          <w:fldChar w:fldCharType="separate"/>
        </w:r>
        <w:r w:rsidR="00124A10">
          <w:t>61</w:t>
        </w:r>
        <w:r w:rsidR="00124A10">
          <w:fldChar w:fldCharType="end"/>
        </w:r>
      </w:hyperlink>
    </w:p>
    <w:p w:rsidR="00CF0324" w:rsidRDefault="00BA49AD">
      <w:pPr>
        <w:pStyle w:val="23"/>
        <w:tabs>
          <w:tab w:val="right" w:leader="dot" w:pos="9344"/>
        </w:tabs>
        <w:spacing w:line="276" w:lineRule="auto"/>
        <w:rPr>
          <w:i/>
        </w:rPr>
      </w:pPr>
      <w:hyperlink w:anchor="_Toc24" w:tooltip="#_Toc24" w:history="1">
        <w:r w:rsidR="00124A10">
          <w:rPr>
            <w:rStyle w:val="af"/>
            <w:i/>
          </w:rPr>
          <w:t>1.15. Местное самоуправление</w:t>
        </w:r>
        <w:r w:rsidR="00124A10">
          <w:tab/>
        </w:r>
        <w:r w:rsidR="00124A10">
          <w:fldChar w:fldCharType="begin"/>
        </w:r>
        <w:r w:rsidR="00124A10">
          <w:instrText>PAGEREF _Toc24 \h</w:instrText>
        </w:r>
        <w:r w:rsidR="00124A10">
          <w:fldChar w:fldCharType="separate"/>
        </w:r>
        <w:r w:rsidR="00124A10">
          <w:t>62</w:t>
        </w:r>
        <w:r w:rsidR="00124A10">
          <w:fldChar w:fldCharType="end"/>
        </w:r>
      </w:hyperlink>
    </w:p>
    <w:p w:rsidR="00CF0324" w:rsidRDefault="00BA49AD">
      <w:pPr>
        <w:pStyle w:val="23"/>
        <w:tabs>
          <w:tab w:val="right" w:leader="dot" w:pos="9344"/>
        </w:tabs>
        <w:spacing w:line="276" w:lineRule="auto"/>
        <w:rPr>
          <w:i/>
        </w:rPr>
      </w:pPr>
      <w:hyperlink w:anchor="_Toc25" w:tooltip="#_Toc25" w:history="1">
        <w:r w:rsidR="00124A10">
          <w:rPr>
            <w:rStyle w:val="af"/>
            <w:i/>
          </w:rPr>
          <w:t>1.16. Исполнение бюджета</w:t>
        </w:r>
        <w:r w:rsidR="00124A10">
          <w:tab/>
        </w:r>
        <w:r w:rsidR="00124A10">
          <w:fldChar w:fldCharType="begin"/>
        </w:r>
        <w:r w:rsidR="00124A10">
          <w:instrText>PAGEREF _Toc25 \h</w:instrText>
        </w:r>
        <w:r w:rsidR="00124A10">
          <w:fldChar w:fldCharType="separate"/>
        </w:r>
        <w:r w:rsidR="00124A10">
          <w:t>64</w:t>
        </w:r>
        <w:r w:rsidR="00124A10">
          <w:fldChar w:fldCharType="end"/>
        </w:r>
      </w:hyperlink>
    </w:p>
    <w:p w:rsidR="00CF0324" w:rsidRDefault="00BA49AD">
      <w:pPr>
        <w:pStyle w:val="23"/>
        <w:tabs>
          <w:tab w:val="right" w:leader="dot" w:pos="9344"/>
        </w:tabs>
        <w:spacing w:line="276" w:lineRule="auto"/>
        <w:rPr>
          <w:i/>
        </w:rPr>
      </w:pPr>
      <w:hyperlink w:anchor="_Toc26" w:tooltip="#_Toc26" w:history="1">
        <w:r w:rsidR="00124A10">
          <w:rPr>
            <w:rStyle w:val="af"/>
            <w:i/>
          </w:rPr>
          <w:t>1.17. Экология и охрана окружающей среды</w:t>
        </w:r>
        <w:r w:rsidR="00124A10">
          <w:tab/>
        </w:r>
        <w:r w:rsidR="00124A10">
          <w:fldChar w:fldCharType="begin"/>
        </w:r>
        <w:r w:rsidR="00124A10">
          <w:instrText>PAGEREF _Toc26 \h</w:instrText>
        </w:r>
        <w:r w:rsidR="00124A10">
          <w:fldChar w:fldCharType="separate"/>
        </w:r>
        <w:r w:rsidR="00124A10">
          <w:t>65</w:t>
        </w:r>
        <w:r w:rsidR="00124A10">
          <w:fldChar w:fldCharType="end"/>
        </w:r>
      </w:hyperlink>
    </w:p>
    <w:p w:rsidR="00CF0324" w:rsidRDefault="00BA49AD">
      <w:pPr>
        <w:pStyle w:val="23"/>
        <w:tabs>
          <w:tab w:val="right" w:leader="dot" w:pos="9344"/>
        </w:tabs>
        <w:spacing w:line="276" w:lineRule="auto"/>
        <w:rPr>
          <w:i/>
        </w:rPr>
      </w:pPr>
      <w:hyperlink w:anchor="_Toc27" w:tooltip="#_Toc27" w:history="1">
        <w:r w:rsidR="00124A10">
          <w:rPr>
            <w:rStyle w:val="af"/>
            <w:i/>
          </w:rPr>
          <w:t>1.18. Социальное самочувствие</w:t>
        </w:r>
        <w:r w:rsidR="00124A10">
          <w:tab/>
        </w:r>
        <w:r w:rsidR="00124A10">
          <w:fldChar w:fldCharType="begin"/>
        </w:r>
        <w:r w:rsidR="00124A10">
          <w:instrText>PAGEREF _Toc27 \h</w:instrText>
        </w:r>
        <w:r w:rsidR="00124A10">
          <w:fldChar w:fldCharType="separate"/>
        </w:r>
        <w:r w:rsidR="00124A10">
          <w:t>67</w:t>
        </w:r>
        <w:r w:rsidR="00124A10">
          <w:fldChar w:fldCharType="end"/>
        </w:r>
      </w:hyperlink>
    </w:p>
    <w:p w:rsidR="00CF0324" w:rsidRDefault="00BA49AD">
      <w:pPr>
        <w:pStyle w:val="12"/>
        <w:spacing w:line="276" w:lineRule="auto"/>
      </w:pPr>
      <w:hyperlink w:anchor="_Toc28" w:tooltip="#_Toc28" w:history="1">
        <w:r w:rsidR="00124A10">
          <w:rPr>
            <w:rStyle w:val="af"/>
          </w:rPr>
          <w:t xml:space="preserve">РАЗДЕЛ 2. АНАЛИЗ И ОЦЕНКА ВНЕШНИХ И ВНУТРЕННИХ ОГРАНИЧЕНИЙ РАЗВИТИЯ, </w:t>
        </w:r>
        <w:r w:rsidR="00124A10">
          <w:rPr>
            <w:rStyle w:val="af"/>
            <w:lang w:val="en-US"/>
          </w:rPr>
          <w:t>SWOT</w:t>
        </w:r>
        <w:r w:rsidR="00124A10">
          <w:rPr>
            <w:rStyle w:val="af"/>
          </w:rPr>
          <w:t xml:space="preserve">-АНАЛИЗ, </w:t>
        </w:r>
        <w:r w:rsidR="00124A10">
          <w:rPr>
            <w:rStyle w:val="af"/>
            <w:lang w:val="en-US"/>
          </w:rPr>
          <w:t>PEST</w:t>
        </w:r>
        <w:r w:rsidR="00124A10">
          <w:rPr>
            <w:rStyle w:val="af"/>
          </w:rPr>
          <w:t xml:space="preserve">-АНАЛИЗ, КОНКУРЕНТНЫЕ ПРЕИМУЩЕСТВА КОНДИНСКОГО РАЙОНА </w:t>
        </w:r>
        <w:r w:rsidR="00124A10">
          <w:tab/>
        </w:r>
        <w:r w:rsidR="00124A10">
          <w:fldChar w:fldCharType="begin"/>
        </w:r>
        <w:r w:rsidR="00124A10">
          <w:instrText>PAGEREF _Toc28 \h</w:instrText>
        </w:r>
        <w:r w:rsidR="00124A10">
          <w:fldChar w:fldCharType="separate"/>
        </w:r>
        <w:r w:rsidR="00124A10">
          <w:t>70</w:t>
        </w:r>
        <w:r w:rsidR="00124A10">
          <w:fldChar w:fldCharType="end"/>
        </w:r>
      </w:hyperlink>
    </w:p>
    <w:p w:rsidR="00CF0324" w:rsidRDefault="00BA49AD">
      <w:pPr>
        <w:pStyle w:val="12"/>
        <w:spacing w:line="276" w:lineRule="auto"/>
      </w:pPr>
      <w:hyperlink w:anchor="_Toc29" w:tooltip="#_Toc29" w:history="1">
        <w:r w:rsidR="00124A10">
          <w:rPr>
            <w:rStyle w:val="af"/>
          </w:rPr>
          <w:t>2.1. SWOT-анализ</w:t>
        </w:r>
        <w:r w:rsidR="00124A10">
          <w:tab/>
        </w:r>
        <w:r w:rsidR="00124A10">
          <w:fldChar w:fldCharType="begin"/>
        </w:r>
        <w:r w:rsidR="00124A10">
          <w:instrText>PAGEREF _Toc29 \h</w:instrText>
        </w:r>
        <w:r w:rsidR="00124A10">
          <w:fldChar w:fldCharType="separate"/>
        </w:r>
        <w:r w:rsidR="00124A10">
          <w:t>70</w:t>
        </w:r>
        <w:r w:rsidR="00124A10">
          <w:fldChar w:fldCharType="end"/>
        </w:r>
      </w:hyperlink>
    </w:p>
    <w:p w:rsidR="00CF0324" w:rsidRDefault="00BA49AD">
      <w:pPr>
        <w:pStyle w:val="12"/>
        <w:spacing w:line="276" w:lineRule="auto"/>
      </w:pPr>
      <w:hyperlink w:anchor="_Toc30" w:tooltip="#_Toc30" w:history="1">
        <w:r w:rsidR="00124A10">
          <w:rPr>
            <w:rStyle w:val="af"/>
          </w:rPr>
          <w:t>2.2. PEST-анализ</w:t>
        </w:r>
        <w:r w:rsidR="00124A10">
          <w:tab/>
        </w:r>
        <w:r w:rsidR="00124A10">
          <w:fldChar w:fldCharType="begin"/>
        </w:r>
        <w:r w:rsidR="00124A10">
          <w:instrText>PAGEREF _Toc30 \h</w:instrText>
        </w:r>
        <w:r w:rsidR="00124A10">
          <w:fldChar w:fldCharType="separate"/>
        </w:r>
        <w:r w:rsidR="00124A10">
          <w:t>79</w:t>
        </w:r>
        <w:r w:rsidR="00124A10">
          <w:fldChar w:fldCharType="end"/>
        </w:r>
      </w:hyperlink>
    </w:p>
    <w:p w:rsidR="00CF0324" w:rsidRDefault="00BA49AD">
      <w:pPr>
        <w:pStyle w:val="12"/>
        <w:spacing w:line="276" w:lineRule="auto"/>
      </w:pPr>
      <w:hyperlink w:anchor="_Toc31" w:tooltip="#_Toc31" w:history="1">
        <w:r w:rsidR="00124A10">
          <w:rPr>
            <w:rStyle w:val="af"/>
          </w:rPr>
          <w:t>2.3. Конкурентные преимущества</w:t>
        </w:r>
        <w:r w:rsidR="00124A10">
          <w:tab/>
        </w:r>
        <w:r w:rsidR="00124A10">
          <w:fldChar w:fldCharType="begin"/>
        </w:r>
        <w:r w:rsidR="00124A10">
          <w:instrText>PAGEREF _Toc31 \h</w:instrText>
        </w:r>
        <w:r w:rsidR="00124A10">
          <w:fldChar w:fldCharType="separate"/>
        </w:r>
        <w:r w:rsidR="00124A10">
          <w:t>81</w:t>
        </w:r>
        <w:r w:rsidR="00124A10">
          <w:fldChar w:fldCharType="end"/>
        </w:r>
      </w:hyperlink>
    </w:p>
    <w:p w:rsidR="00CF0324" w:rsidRDefault="00BA49AD">
      <w:pPr>
        <w:pStyle w:val="12"/>
        <w:spacing w:line="276" w:lineRule="auto"/>
      </w:pPr>
      <w:hyperlink w:anchor="_Toc32" w:tooltip="#_Toc32" w:history="1">
        <w:r w:rsidR="00124A10">
          <w:rPr>
            <w:rStyle w:val="af"/>
          </w:rPr>
          <w:t>РАЗДЕЛ 3. ЦЕЛИ И ЗАДАЧИ СТРАТЕГИИ СОЦИАЛЬНО-ЭКОНОМИЧЕСКОГО РАЗВИТИЯ КОНДИНСКОГО РАЙОНА ХАНТЫ-МАНСИЙСКОГО АВТОНОМНОГО ОКРУГА-ЮГРЫ  НА ПЕРИОД ДО 2036 ГОДА</w:t>
        </w:r>
        <w:r w:rsidR="00124A10">
          <w:tab/>
        </w:r>
        <w:r w:rsidR="00124A10">
          <w:fldChar w:fldCharType="begin"/>
        </w:r>
        <w:r w:rsidR="00124A10">
          <w:instrText>PAGEREF _Toc32 \h</w:instrText>
        </w:r>
        <w:r w:rsidR="00124A10">
          <w:fldChar w:fldCharType="separate"/>
        </w:r>
        <w:r w:rsidR="00124A10">
          <w:t>82</w:t>
        </w:r>
        <w:r w:rsidR="00124A10">
          <w:fldChar w:fldCharType="end"/>
        </w:r>
      </w:hyperlink>
    </w:p>
    <w:p w:rsidR="00CF0324" w:rsidRDefault="00BA49AD">
      <w:pPr>
        <w:pStyle w:val="12"/>
        <w:spacing w:line="276" w:lineRule="auto"/>
      </w:pPr>
      <w:hyperlink w:anchor="_Toc33" w:tooltip="#_Toc33" w:history="1">
        <w:r w:rsidR="00124A10">
          <w:rPr>
            <w:rStyle w:val="af"/>
          </w:rPr>
          <w:t>РАЗДЕЛ 4. СЦЕНАРИИ РАЗВИТИЯ КОНДИНСКОГО РАЙОНА ХАНТЫ-МАНСИЙСКОГО АВТОНОМНОГО ОКРУГА-ЮГРЫ</w:t>
        </w:r>
        <w:r w:rsidR="00124A10">
          <w:tab/>
        </w:r>
        <w:r w:rsidR="00124A10">
          <w:fldChar w:fldCharType="begin"/>
        </w:r>
        <w:r w:rsidR="00124A10">
          <w:instrText>PAGEREF _Toc33 \h</w:instrText>
        </w:r>
        <w:r w:rsidR="00124A10">
          <w:fldChar w:fldCharType="separate"/>
        </w:r>
        <w:r w:rsidR="00124A10">
          <w:t>84</w:t>
        </w:r>
        <w:r w:rsidR="00124A10">
          <w:fldChar w:fldCharType="end"/>
        </w:r>
      </w:hyperlink>
    </w:p>
    <w:p w:rsidR="00CF0324" w:rsidRDefault="00BA49AD">
      <w:pPr>
        <w:pStyle w:val="12"/>
        <w:spacing w:line="276" w:lineRule="auto"/>
      </w:pPr>
      <w:hyperlink w:anchor="_Toc34" w:tooltip="#_Toc34" w:history="1">
        <w:r w:rsidR="00124A10">
          <w:rPr>
            <w:rStyle w:val="af"/>
          </w:rPr>
          <w:t>4.1. КОНСЕРВАТИВНЫЙ СЦЕНАРИЙ</w:t>
        </w:r>
        <w:r w:rsidR="00124A10">
          <w:tab/>
        </w:r>
        <w:r w:rsidR="00124A10">
          <w:fldChar w:fldCharType="begin"/>
        </w:r>
        <w:r w:rsidR="00124A10">
          <w:instrText>PAGEREF _Toc34 \h</w:instrText>
        </w:r>
        <w:r w:rsidR="00124A10">
          <w:fldChar w:fldCharType="separate"/>
        </w:r>
        <w:r w:rsidR="00124A10">
          <w:t>84</w:t>
        </w:r>
        <w:r w:rsidR="00124A10">
          <w:fldChar w:fldCharType="end"/>
        </w:r>
      </w:hyperlink>
    </w:p>
    <w:p w:rsidR="00CF0324" w:rsidRDefault="00BA49AD">
      <w:pPr>
        <w:pStyle w:val="12"/>
        <w:spacing w:line="276" w:lineRule="auto"/>
      </w:pPr>
      <w:hyperlink w:anchor="_Toc35" w:tooltip="#_Toc35" w:history="1">
        <w:r w:rsidR="00124A10">
          <w:rPr>
            <w:rStyle w:val="af"/>
          </w:rPr>
          <w:t>4.2. БАЗОВЫЙ СЦЕНАРИЙ</w:t>
        </w:r>
        <w:r w:rsidR="00124A10">
          <w:tab/>
        </w:r>
        <w:r w:rsidR="00124A10">
          <w:fldChar w:fldCharType="begin"/>
        </w:r>
        <w:r w:rsidR="00124A10">
          <w:instrText>PAGEREF _Toc35 \h</w:instrText>
        </w:r>
        <w:r w:rsidR="00124A10">
          <w:fldChar w:fldCharType="separate"/>
        </w:r>
        <w:r w:rsidR="00124A10">
          <w:t>85</w:t>
        </w:r>
        <w:r w:rsidR="00124A10">
          <w:fldChar w:fldCharType="end"/>
        </w:r>
      </w:hyperlink>
    </w:p>
    <w:p w:rsidR="00CF0324" w:rsidRDefault="00BA49AD">
      <w:pPr>
        <w:pStyle w:val="12"/>
        <w:spacing w:line="276" w:lineRule="auto"/>
      </w:pPr>
      <w:hyperlink w:anchor="_Toc36" w:tooltip="#_Toc36" w:history="1">
        <w:r w:rsidR="00124A10">
          <w:rPr>
            <w:rStyle w:val="af"/>
          </w:rPr>
          <w:t>РАЗДЕЛ 5. ОСНОВНЫЕ НАПРАВЛЕНИЯ И ПРИОРИТЕТЫ РАЗВИТИЯ  ЧЕЛОВЕЧЕСКОГО КАПИТАЛА И СОЦИАЛЬНОЙ СФЕРЫ КОНДИНСКОГО РАЙОНА ХАНТЫ-МАНСИЙСКОГО АВТОНОМНОГО ОКРУГА-ЮГРЫ НА ПЕРИОД ДО 2036 ГОДА</w:t>
        </w:r>
        <w:r w:rsidR="00124A10">
          <w:tab/>
        </w:r>
        <w:r w:rsidR="00124A10">
          <w:fldChar w:fldCharType="begin"/>
        </w:r>
        <w:r w:rsidR="00124A10">
          <w:instrText>PAGEREF _Toc36 \h</w:instrText>
        </w:r>
        <w:r w:rsidR="00124A10">
          <w:fldChar w:fldCharType="separate"/>
        </w:r>
        <w:r w:rsidR="00124A10">
          <w:t>87</w:t>
        </w:r>
        <w:r w:rsidR="00124A10">
          <w:fldChar w:fldCharType="end"/>
        </w:r>
      </w:hyperlink>
    </w:p>
    <w:p w:rsidR="00CF0324" w:rsidRDefault="00BA49AD">
      <w:pPr>
        <w:pStyle w:val="12"/>
        <w:spacing w:line="276" w:lineRule="auto"/>
      </w:pPr>
      <w:hyperlink w:anchor="_Toc37" w:tooltip="#_Toc37" w:history="1">
        <w:r w:rsidR="00124A10">
          <w:rPr>
            <w:rStyle w:val="af"/>
          </w:rPr>
          <w:t>5.1. Уровень жизни населения</w:t>
        </w:r>
        <w:r w:rsidR="00124A10">
          <w:tab/>
        </w:r>
        <w:r w:rsidR="00124A10">
          <w:fldChar w:fldCharType="begin"/>
        </w:r>
        <w:r w:rsidR="00124A10">
          <w:instrText>PAGEREF _Toc37 \h</w:instrText>
        </w:r>
        <w:r w:rsidR="00124A10">
          <w:fldChar w:fldCharType="separate"/>
        </w:r>
        <w:r w:rsidR="00124A10">
          <w:t>88</w:t>
        </w:r>
        <w:r w:rsidR="00124A10">
          <w:fldChar w:fldCharType="end"/>
        </w:r>
      </w:hyperlink>
    </w:p>
    <w:p w:rsidR="00CF0324" w:rsidRDefault="00BA49AD">
      <w:pPr>
        <w:pStyle w:val="12"/>
        <w:spacing w:line="276" w:lineRule="auto"/>
      </w:pPr>
      <w:hyperlink w:anchor="_Toc38" w:tooltip="#_Toc38" w:history="1">
        <w:r w:rsidR="00124A10">
          <w:rPr>
            <w:rStyle w:val="af"/>
          </w:rPr>
          <w:t>5.2. Демографическая политика</w:t>
        </w:r>
        <w:r w:rsidR="00124A10">
          <w:tab/>
        </w:r>
        <w:r w:rsidR="00124A10">
          <w:fldChar w:fldCharType="begin"/>
        </w:r>
        <w:r w:rsidR="00124A10">
          <w:instrText>PAGEREF _Toc38 \h</w:instrText>
        </w:r>
        <w:r w:rsidR="00124A10">
          <w:fldChar w:fldCharType="separate"/>
        </w:r>
        <w:r w:rsidR="00124A10">
          <w:t>89</w:t>
        </w:r>
        <w:r w:rsidR="00124A10">
          <w:fldChar w:fldCharType="end"/>
        </w:r>
      </w:hyperlink>
    </w:p>
    <w:p w:rsidR="00CF0324" w:rsidRDefault="00BA49AD">
      <w:pPr>
        <w:pStyle w:val="12"/>
        <w:spacing w:line="276" w:lineRule="auto"/>
      </w:pPr>
      <w:hyperlink w:anchor="_Toc39" w:tooltip="#_Toc39" w:history="1">
        <w:r w:rsidR="00124A10">
          <w:rPr>
            <w:rStyle w:val="af"/>
          </w:rPr>
          <w:t>5.3. Развитие коренных малочисленных народов Севера</w:t>
        </w:r>
        <w:r w:rsidR="00124A10">
          <w:tab/>
        </w:r>
        <w:r w:rsidR="00124A10">
          <w:fldChar w:fldCharType="begin"/>
        </w:r>
        <w:r w:rsidR="00124A10">
          <w:instrText>PAGEREF _Toc39 \h</w:instrText>
        </w:r>
        <w:r w:rsidR="00124A10">
          <w:fldChar w:fldCharType="separate"/>
        </w:r>
        <w:r w:rsidR="00124A10">
          <w:t>90</w:t>
        </w:r>
        <w:r w:rsidR="00124A10">
          <w:fldChar w:fldCharType="end"/>
        </w:r>
      </w:hyperlink>
    </w:p>
    <w:p w:rsidR="00CF0324" w:rsidRDefault="00BA49AD">
      <w:pPr>
        <w:pStyle w:val="12"/>
        <w:spacing w:line="276" w:lineRule="auto"/>
      </w:pPr>
      <w:hyperlink w:anchor="_Toc40" w:tooltip="#_Toc40" w:history="1">
        <w:r w:rsidR="00124A10">
          <w:rPr>
            <w:rStyle w:val="af"/>
          </w:rPr>
          <w:t>5.4. Система здравоохранения</w:t>
        </w:r>
        <w:r w:rsidR="00124A10">
          <w:tab/>
        </w:r>
        <w:r w:rsidR="00124A10">
          <w:fldChar w:fldCharType="begin"/>
        </w:r>
        <w:r w:rsidR="00124A10">
          <w:instrText>PAGEREF _Toc40 \h</w:instrText>
        </w:r>
        <w:r w:rsidR="00124A10">
          <w:fldChar w:fldCharType="separate"/>
        </w:r>
        <w:r w:rsidR="00124A10">
          <w:t>91</w:t>
        </w:r>
        <w:r w:rsidR="00124A10">
          <w:fldChar w:fldCharType="end"/>
        </w:r>
      </w:hyperlink>
    </w:p>
    <w:p w:rsidR="00CF0324" w:rsidRDefault="00BA49AD">
      <w:pPr>
        <w:pStyle w:val="12"/>
        <w:spacing w:line="276" w:lineRule="auto"/>
      </w:pPr>
      <w:hyperlink w:anchor="_Toc41" w:tooltip="#_Toc41" w:history="1">
        <w:r w:rsidR="00124A10">
          <w:rPr>
            <w:rStyle w:val="af"/>
          </w:rPr>
          <w:t>5.5. Система образования</w:t>
        </w:r>
        <w:r w:rsidR="00124A10">
          <w:tab/>
        </w:r>
        <w:r w:rsidR="00124A10">
          <w:fldChar w:fldCharType="begin"/>
        </w:r>
        <w:r w:rsidR="00124A10">
          <w:instrText>PAGEREF _Toc41 \h</w:instrText>
        </w:r>
        <w:r w:rsidR="00124A10">
          <w:fldChar w:fldCharType="separate"/>
        </w:r>
        <w:r w:rsidR="00124A10">
          <w:t>93</w:t>
        </w:r>
        <w:r w:rsidR="00124A10">
          <w:fldChar w:fldCharType="end"/>
        </w:r>
      </w:hyperlink>
    </w:p>
    <w:p w:rsidR="00CF0324" w:rsidRDefault="00BA49AD">
      <w:pPr>
        <w:pStyle w:val="12"/>
        <w:spacing w:line="276" w:lineRule="auto"/>
      </w:pPr>
      <w:hyperlink w:anchor="_Toc42" w:tooltip="#_Toc42" w:history="1">
        <w:r w:rsidR="00124A10">
          <w:rPr>
            <w:rStyle w:val="af"/>
          </w:rPr>
          <w:t>5.6. Культура</w:t>
        </w:r>
        <w:r w:rsidR="00124A10">
          <w:tab/>
        </w:r>
        <w:r w:rsidR="00124A10">
          <w:fldChar w:fldCharType="begin"/>
        </w:r>
        <w:r w:rsidR="00124A10">
          <w:instrText>PAGEREF _Toc42 \h</w:instrText>
        </w:r>
        <w:r w:rsidR="00124A10">
          <w:fldChar w:fldCharType="separate"/>
        </w:r>
        <w:r w:rsidR="00124A10">
          <w:t>94</w:t>
        </w:r>
        <w:r w:rsidR="00124A10">
          <w:fldChar w:fldCharType="end"/>
        </w:r>
      </w:hyperlink>
    </w:p>
    <w:p w:rsidR="00CF0324" w:rsidRDefault="00BA49AD">
      <w:pPr>
        <w:pStyle w:val="12"/>
        <w:spacing w:line="276" w:lineRule="auto"/>
      </w:pPr>
      <w:hyperlink w:anchor="_Toc43" w:tooltip="#_Toc43" w:history="1">
        <w:r w:rsidR="00124A10">
          <w:rPr>
            <w:rStyle w:val="af"/>
          </w:rPr>
          <w:t>5.7. Молодежная политика</w:t>
        </w:r>
        <w:r w:rsidR="00124A10">
          <w:tab/>
        </w:r>
        <w:r w:rsidR="00124A10">
          <w:fldChar w:fldCharType="begin"/>
        </w:r>
        <w:r w:rsidR="00124A10">
          <w:instrText>PAGEREF _Toc43 \h</w:instrText>
        </w:r>
        <w:r w:rsidR="00124A10">
          <w:fldChar w:fldCharType="separate"/>
        </w:r>
        <w:r w:rsidR="00124A10">
          <w:t>95</w:t>
        </w:r>
        <w:r w:rsidR="00124A10">
          <w:fldChar w:fldCharType="end"/>
        </w:r>
      </w:hyperlink>
    </w:p>
    <w:p w:rsidR="00CF0324" w:rsidRDefault="00BA49AD">
      <w:pPr>
        <w:pStyle w:val="12"/>
        <w:spacing w:line="276" w:lineRule="auto"/>
      </w:pPr>
      <w:hyperlink w:anchor="_Toc44" w:tooltip="#_Toc44" w:history="1">
        <w:r w:rsidR="00124A10">
          <w:rPr>
            <w:rStyle w:val="af"/>
          </w:rPr>
          <w:t>5.8. Физическая культура и спорт</w:t>
        </w:r>
        <w:r w:rsidR="00124A10">
          <w:tab/>
        </w:r>
        <w:r w:rsidR="00124A10">
          <w:fldChar w:fldCharType="begin"/>
        </w:r>
        <w:r w:rsidR="00124A10">
          <w:instrText>PAGEREF _Toc44 \h</w:instrText>
        </w:r>
        <w:r w:rsidR="00124A10">
          <w:fldChar w:fldCharType="separate"/>
        </w:r>
        <w:r w:rsidR="00124A10">
          <w:t>95</w:t>
        </w:r>
        <w:r w:rsidR="00124A10">
          <w:fldChar w:fldCharType="end"/>
        </w:r>
      </w:hyperlink>
    </w:p>
    <w:p w:rsidR="00CF0324" w:rsidRDefault="00BA49AD">
      <w:pPr>
        <w:pStyle w:val="12"/>
        <w:spacing w:line="276" w:lineRule="auto"/>
      </w:pPr>
      <w:hyperlink w:anchor="_Toc45" w:tooltip="#_Toc45" w:history="1">
        <w:r w:rsidR="00124A10">
          <w:rPr>
            <w:rStyle w:val="af"/>
          </w:rPr>
          <w:t>5.9. Жилищная политика</w:t>
        </w:r>
        <w:r w:rsidR="00124A10">
          <w:tab/>
        </w:r>
        <w:r w:rsidR="00124A10">
          <w:fldChar w:fldCharType="begin"/>
        </w:r>
        <w:r w:rsidR="00124A10">
          <w:instrText>PAGEREF _Toc45 \h</w:instrText>
        </w:r>
        <w:r w:rsidR="00124A10">
          <w:fldChar w:fldCharType="separate"/>
        </w:r>
        <w:r w:rsidR="00124A10">
          <w:t>96</w:t>
        </w:r>
        <w:r w:rsidR="00124A10">
          <w:fldChar w:fldCharType="end"/>
        </w:r>
      </w:hyperlink>
    </w:p>
    <w:p w:rsidR="00CF0324" w:rsidRDefault="00BA49AD">
      <w:pPr>
        <w:pStyle w:val="12"/>
        <w:spacing w:line="276" w:lineRule="auto"/>
      </w:pPr>
      <w:hyperlink w:anchor="_Toc46" w:tooltip="#_Toc46" w:history="1">
        <w:r w:rsidR="00124A10">
          <w:rPr>
            <w:rStyle w:val="af"/>
          </w:rPr>
          <w:t>5.10. Гражданское общество</w:t>
        </w:r>
        <w:r w:rsidR="00124A10">
          <w:tab/>
        </w:r>
        <w:r w:rsidR="00124A10">
          <w:fldChar w:fldCharType="begin"/>
        </w:r>
        <w:r w:rsidR="00124A10">
          <w:instrText>PAGEREF _Toc46 \h</w:instrText>
        </w:r>
        <w:r w:rsidR="00124A10">
          <w:fldChar w:fldCharType="separate"/>
        </w:r>
        <w:r w:rsidR="00124A10">
          <w:t>97</w:t>
        </w:r>
        <w:r w:rsidR="00124A10">
          <w:fldChar w:fldCharType="end"/>
        </w:r>
      </w:hyperlink>
    </w:p>
    <w:p w:rsidR="00CF0324" w:rsidRDefault="00BA49AD">
      <w:pPr>
        <w:pStyle w:val="12"/>
        <w:spacing w:line="276" w:lineRule="auto"/>
      </w:pPr>
      <w:hyperlink w:anchor="_Toc47" w:tooltip="#_Toc47" w:history="1">
        <w:r w:rsidR="00124A10">
          <w:rPr>
            <w:rStyle w:val="af"/>
          </w:rPr>
          <w:t>РАЗДЕЛ 6. ОСНОВНЫЕ НАПРАВЛЕНИЯ И ПРИОРИТЕТЫ ЭКОНОМИЧЕСКОГО РАЗВИТИЯ КОНДИНСКОГО РАЙОНА ХАНТЫ-МАНСИЙСКОГО АВТОНОМНОГО ОКРУГА – ЮГРЫ НА ПЕРИОД ДО 2036 ГОДА</w:t>
        </w:r>
        <w:r w:rsidR="00124A10">
          <w:tab/>
        </w:r>
        <w:r w:rsidR="00124A10">
          <w:fldChar w:fldCharType="begin"/>
        </w:r>
        <w:r w:rsidR="00124A10">
          <w:instrText>PAGEREF _Toc47 \h</w:instrText>
        </w:r>
        <w:r w:rsidR="00124A10">
          <w:fldChar w:fldCharType="separate"/>
        </w:r>
        <w:r w:rsidR="00124A10">
          <w:t>99</w:t>
        </w:r>
        <w:r w:rsidR="00124A10">
          <w:fldChar w:fldCharType="end"/>
        </w:r>
      </w:hyperlink>
    </w:p>
    <w:p w:rsidR="00CF0324" w:rsidRDefault="00BA49AD">
      <w:pPr>
        <w:pStyle w:val="12"/>
        <w:spacing w:line="276" w:lineRule="auto"/>
      </w:pPr>
      <w:hyperlink w:anchor="_Toc48" w:tooltip="#_Toc48" w:history="1">
        <w:r w:rsidR="00124A10">
          <w:rPr>
            <w:rStyle w:val="af"/>
          </w:rPr>
          <w:t>6.1. РЕАЛЬНЫЙ СЕКТОР ЭКОНОМИКИ</w:t>
        </w:r>
        <w:r w:rsidR="00124A10">
          <w:tab/>
        </w:r>
        <w:r w:rsidR="00124A10">
          <w:fldChar w:fldCharType="begin"/>
        </w:r>
        <w:r w:rsidR="00124A10">
          <w:instrText>PAGEREF _Toc48 \h</w:instrText>
        </w:r>
        <w:r w:rsidR="00124A10">
          <w:fldChar w:fldCharType="separate"/>
        </w:r>
        <w:r w:rsidR="00124A10">
          <w:t>99</w:t>
        </w:r>
        <w:r w:rsidR="00124A10">
          <w:fldChar w:fldCharType="end"/>
        </w:r>
      </w:hyperlink>
    </w:p>
    <w:p w:rsidR="00CF0324" w:rsidRDefault="00BA49AD">
      <w:pPr>
        <w:pStyle w:val="12"/>
        <w:spacing w:line="276" w:lineRule="auto"/>
      </w:pPr>
      <w:hyperlink w:anchor="_Toc49" w:tooltip="#_Toc49" w:history="1">
        <w:r w:rsidR="00124A10">
          <w:rPr>
            <w:rStyle w:val="af"/>
          </w:rPr>
          <w:t>6.2. ИНВЕСТИЦИОННАЯ ПОЛИТИКА</w:t>
        </w:r>
        <w:r w:rsidR="00124A10">
          <w:tab/>
        </w:r>
        <w:r w:rsidR="00124A10">
          <w:fldChar w:fldCharType="begin"/>
        </w:r>
        <w:r w:rsidR="00124A10">
          <w:instrText>PAGEREF _Toc49 \h</w:instrText>
        </w:r>
        <w:r w:rsidR="00124A10">
          <w:fldChar w:fldCharType="separate"/>
        </w:r>
        <w:r w:rsidR="00124A10">
          <w:t>105</w:t>
        </w:r>
        <w:r w:rsidR="00124A10">
          <w:fldChar w:fldCharType="end"/>
        </w:r>
      </w:hyperlink>
    </w:p>
    <w:p w:rsidR="00CF0324" w:rsidRDefault="00BA49AD">
      <w:pPr>
        <w:pStyle w:val="12"/>
        <w:spacing w:line="276" w:lineRule="auto"/>
      </w:pPr>
      <w:hyperlink w:anchor="_Toc50" w:tooltip="#_Toc50" w:history="1">
        <w:r w:rsidR="00124A10">
          <w:rPr>
            <w:rStyle w:val="af"/>
          </w:rPr>
          <w:t>6.3. МОДЕРНИЗАЦИЯ ЖИЛИЩНО-КОММУНАЛЬНОГО ХОЗЯЙСТВА</w:t>
        </w:r>
        <w:r w:rsidR="00124A10">
          <w:tab/>
        </w:r>
        <w:r w:rsidR="00124A10">
          <w:fldChar w:fldCharType="begin"/>
        </w:r>
        <w:r w:rsidR="00124A10">
          <w:instrText>PAGEREF _Toc50 \h</w:instrText>
        </w:r>
        <w:r w:rsidR="00124A10">
          <w:fldChar w:fldCharType="separate"/>
        </w:r>
        <w:r w:rsidR="00124A10">
          <w:t>110</w:t>
        </w:r>
        <w:r w:rsidR="00124A10">
          <w:fldChar w:fldCharType="end"/>
        </w:r>
      </w:hyperlink>
    </w:p>
    <w:p w:rsidR="00CF0324" w:rsidRDefault="00BA49AD">
      <w:pPr>
        <w:pStyle w:val="12"/>
        <w:spacing w:line="276" w:lineRule="auto"/>
      </w:pPr>
      <w:hyperlink w:anchor="_Toc51" w:tooltip="#_Toc51" w:history="1">
        <w:r w:rsidR="00124A10">
          <w:rPr>
            <w:rStyle w:val="af"/>
          </w:rPr>
          <w:t>6.4. РЫНОК ТОВАРОВ И УСЛУГ</w:t>
        </w:r>
        <w:r w:rsidR="00124A10">
          <w:tab/>
        </w:r>
        <w:r w:rsidR="00124A10">
          <w:fldChar w:fldCharType="begin"/>
        </w:r>
        <w:r w:rsidR="00124A10">
          <w:instrText>PAGEREF _Toc51 \h</w:instrText>
        </w:r>
        <w:r w:rsidR="00124A10">
          <w:fldChar w:fldCharType="separate"/>
        </w:r>
        <w:r w:rsidR="00124A10">
          <w:t>113</w:t>
        </w:r>
        <w:r w:rsidR="00124A10">
          <w:fldChar w:fldCharType="end"/>
        </w:r>
      </w:hyperlink>
    </w:p>
    <w:p w:rsidR="00CF0324" w:rsidRDefault="00BA49AD">
      <w:pPr>
        <w:pStyle w:val="12"/>
        <w:spacing w:line="276" w:lineRule="auto"/>
      </w:pPr>
      <w:hyperlink w:anchor="_Toc52" w:tooltip="#_Toc52" w:history="1">
        <w:r w:rsidR="00124A10">
          <w:rPr>
            <w:rStyle w:val="af"/>
          </w:rPr>
          <w:t>6.5. МАЛОЕ И СРЕДНЕЕ ПРЕДПРИНИМАТЕЛЬСТВО</w:t>
        </w:r>
        <w:r w:rsidR="00124A10">
          <w:tab/>
        </w:r>
        <w:r w:rsidR="00124A10">
          <w:fldChar w:fldCharType="begin"/>
        </w:r>
        <w:r w:rsidR="00124A10">
          <w:instrText>PAGEREF _Toc52 \h</w:instrText>
        </w:r>
        <w:r w:rsidR="00124A10">
          <w:fldChar w:fldCharType="separate"/>
        </w:r>
        <w:r w:rsidR="00124A10">
          <w:t>116</w:t>
        </w:r>
        <w:r w:rsidR="00124A10">
          <w:fldChar w:fldCharType="end"/>
        </w:r>
      </w:hyperlink>
    </w:p>
    <w:p w:rsidR="00CF0324" w:rsidRDefault="00BA49AD">
      <w:pPr>
        <w:pStyle w:val="12"/>
        <w:spacing w:line="276" w:lineRule="auto"/>
      </w:pPr>
      <w:hyperlink w:anchor="_Toc53" w:tooltip="#_Toc53" w:history="1">
        <w:r w:rsidR="00124A10">
          <w:rPr>
            <w:rStyle w:val="af"/>
          </w:rPr>
          <w:t>6.6. ИНФОРМАЦИОННОЕ ОБЩЕСТВО</w:t>
        </w:r>
        <w:r w:rsidR="00124A10">
          <w:tab/>
        </w:r>
        <w:r w:rsidR="00124A10">
          <w:fldChar w:fldCharType="begin"/>
        </w:r>
        <w:r w:rsidR="00124A10">
          <w:instrText>PAGEREF _Toc53 \h</w:instrText>
        </w:r>
        <w:r w:rsidR="00124A10">
          <w:fldChar w:fldCharType="separate"/>
        </w:r>
        <w:r w:rsidR="00124A10">
          <w:t>119</w:t>
        </w:r>
        <w:r w:rsidR="00124A10">
          <w:fldChar w:fldCharType="end"/>
        </w:r>
      </w:hyperlink>
    </w:p>
    <w:p w:rsidR="00CF0324" w:rsidRDefault="00BA49AD">
      <w:pPr>
        <w:pStyle w:val="12"/>
        <w:spacing w:line="276" w:lineRule="auto"/>
      </w:pPr>
      <w:hyperlink w:anchor="_Toc54" w:tooltip="#_Toc54" w:history="1">
        <w:r w:rsidR="00124A10">
          <w:rPr>
            <w:rStyle w:val="af"/>
          </w:rPr>
          <w:t>6.7. ТУРИЗМ</w:t>
        </w:r>
        <w:r w:rsidR="00124A10">
          <w:tab/>
        </w:r>
        <w:r w:rsidR="00124A10">
          <w:fldChar w:fldCharType="begin"/>
        </w:r>
        <w:r w:rsidR="00124A10">
          <w:instrText>PAGEREF _Toc54 \h</w:instrText>
        </w:r>
        <w:r w:rsidR="00124A10">
          <w:fldChar w:fldCharType="separate"/>
        </w:r>
        <w:r w:rsidR="00124A10">
          <w:t>119</w:t>
        </w:r>
        <w:r w:rsidR="00124A10">
          <w:fldChar w:fldCharType="end"/>
        </w:r>
      </w:hyperlink>
    </w:p>
    <w:p w:rsidR="00CF0324" w:rsidRDefault="00BA49AD">
      <w:pPr>
        <w:pStyle w:val="12"/>
        <w:spacing w:line="276" w:lineRule="auto"/>
      </w:pPr>
      <w:hyperlink w:anchor="_Toc55" w:tooltip="#_Toc55" w:history="1">
        <w:r w:rsidR="00124A10">
          <w:rPr>
            <w:rStyle w:val="af"/>
          </w:rPr>
          <w:t>6.8. РАЗВИТИЕ БРЕНДА ТЕРРИТОРИИ КОНДИНСКОГО РАЙОНА</w:t>
        </w:r>
        <w:r w:rsidR="00124A10">
          <w:tab/>
        </w:r>
        <w:r w:rsidR="00124A10">
          <w:fldChar w:fldCharType="begin"/>
        </w:r>
        <w:r w:rsidR="00124A10">
          <w:instrText>PAGEREF _Toc55 \h</w:instrText>
        </w:r>
        <w:r w:rsidR="00124A10">
          <w:fldChar w:fldCharType="separate"/>
        </w:r>
        <w:r w:rsidR="00124A10">
          <w:t>120</w:t>
        </w:r>
        <w:r w:rsidR="00124A10">
          <w:fldChar w:fldCharType="end"/>
        </w:r>
      </w:hyperlink>
    </w:p>
    <w:p w:rsidR="00CF0324" w:rsidRDefault="00BA49AD">
      <w:pPr>
        <w:pStyle w:val="12"/>
        <w:spacing w:line="276" w:lineRule="auto"/>
      </w:pPr>
      <w:hyperlink w:anchor="_Toc56" w:tooltip="#_Toc56" w:history="1">
        <w:r w:rsidR="00124A10">
          <w:rPr>
            <w:rStyle w:val="af"/>
          </w:rPr>
          <w:t>РАЗДЕЛ 7. ОСНОВНЫЕ НАПРАВЛЕНИЯ И ПРИОРИТЕТЫ КАДРОВОГО ОБЕСПЕЧЕНИЯ ЭКОНОМИКИ КОНДИНСКОГО РАЙОНА ХАНТЫ-МАНСИЙСКОГО АВТОНОМНОГО ОКРУГА-ЮГРЫ НА ПЕРИОД ДО 2036 ГОДА</w:t>
        </w:r>
        <w:r w:rsidR="00124A10">
          <w:tab/>
        </w:r>
        <w:r w:rsidR="00124A10">
          <w:fldChar w:fldCharType="begin"/>
        </w:r>
        <w:r w:rsidR="00124A10">
          <w:instrText>PAGEREF _Toc56 \h</w:instrText>
        </w:r>
        <w:r w:rsidR="00124A10">
          <w:fldChar w:fldCharType="separate"/>
        </w:r>
        <w:r w:rsidR="00124A10">
          <w:t>121</w:t>
        </w:r>
        <w:r w:rsidR="00124A10">
          <w:fldChar w:fldCharType="end"/>
        </w:r>
      </w:hyperlink>
    </w:p>
    <w:p w:rsidR="00CF0324" w:rsidRDefault="00BA49AD">
      <w:pPr>
        <w:pStyle w:val="12"/>
        <w:spacing w:line="276" w:lineRule="auto"/>
      </w:pPr>
      <w:hyperlink w:anchor="_Toc57" w:tooltip="#_Toc57" w:history="1">
        <w:r w:rsidR="00124A10">
          <w:rPr>
            <w:rStyle w:val="af"/>
          </w:rPr>
          <w:t>7.1. Рынок труда и занятость населения</w:t>
        </w:r>
        <w:r w:rsidR="00124A10">
          <w:tab/>
        </w:r>
        <w:r w:rsidR="00124A10">
          <w:fldChar w:fldCharType="begin"/>
        </w:r>
        <w:r w:rsidR="00124A10">
          <w:instrText>PAGEREF _Toc57 \h</w:instrText>
        </w:r>
        <w:r w:rsidR="00124A10">
          <w:fldChar w:fldCharType="separate"/>
        </w:r>
        <w:r w:rsidR="00124A10">
          <w:t>121</w:t>
        </w:r>
        <w:r w:rsidR="00124A10">
          <w:fldChar w:fldCharType="end"/>
        </w:r>
      </w:hyperlink>
    </w:p>
    <w:p w:rsidR="00CF0324" w:rsidRDefault="00BA49AD">
      <w:pPr>
        <w:pStyle w:val="12"/>
        <w:spacing w:line="276" w:lineRule="auto"/>
      </w:pPr>
      <w:hyperlink w:anchor="_Toc58" w:tooltip="#_Toc58" w:history="1">
        <w:r w:rsidR="00124A10">
          <w:rPr>
            <w:rStyle w:val="af"/>
          </w:rPr>
          <w:t>7.2. Кадровое обеспечение социально-экономического развития</w:t>
        </w:r>
        <w:r w:rsidR="00124A10">
          <w:tab/>
        </w:r>
        <w:r w:rsidR="00124A10">
          <w:fldChar w:fldCharType="begin"/>
        </w:r>
        <w:r w:rsidR="00124A10">
          <w:instrText>PAGEREF _Toc58 \h</w:instrText>
        </w:r>
        <w:r w:rsidR="00124A10">
          <w:fldChar w:fldCharType="separate"/>
        </w:r>
        <w:r w:rsidR="00124A10">
          <w:t>121</w:t>
        </w:r>
        <w:r w:rsidR="00124A10">
          <w:fldChar w:fldCharType="end"/>
        </w:r>
      </w:hyperlink>
    </w:p>
    <w:p w:rsidR="00CF0324" w:rsidRDefault="00BA49AD">
      <w:pPr>
        <w:pStyle w:val="12"/>
        <w:spacing w:line="276" w:lineRule="auto"/>
      </w:pPr>
      <w:hyperlink w:anchor="_Toc59" w:tooltip="#_Toc59" w:history="1">
        <w:r w:rsidR="00124A10">
          <w:rPr>
            <w:rStyle w:val="af"/>
          </w:rPr>
          <w:t xml:space="preserve">РАЗДЕЛ 8. ОСНОВНЫЕ НАПРАВЛЕНИЯ И ПРИОРИТЕТЫ РАЦИОНАЛЬНОГО ПРИРОДОПОЛЬЗОВАНИЯ И ОБЕСПЕЧЕНИЯ ЭКОЛОГИЧЕСКОЙ БЕЗОПАСНОСТИ КОНДИНСКОГО РАЙОНА </w:t>
        </w:r>
        <w:r w:rsidR="00124A10">
          <w:rPr>
            <w:rStyle w:val="af"/>
            <w:bCs/>
          </w:rPr>
          <w:t>ХАНТЫ-МАНСИЙСКОГО АВТОНОМНОГО ОКРУГА-ЮГРЫ</w:t>
        </w:r>
        <w:r w:rsidR="00124A10">
          <w:rPr>
            <w:rStyle w:val="af"/>
          </w:rPr>
          <w:t xml:space="preserve"> НА ПЕРИОД ДО 2036 ГОДА</w:t>
        </w:r>
        <w:r w:rsidR="00124A10">
          <w:tab/>
        </w:r>
        <w:r w:rsidR="00124A10">
          <w:fldChar w:fldCharType="begin"/>
        </w:r>
        <w:r w:rsidR="00124A10">
          <w:instrText>PAGEREF _Toc59 \h</w:instrText>
        </w:r>
        <w:r w:rsidR="00124A10">
          <w:fldChar w:fldCharType="separate"/>
        </w:r>
        <w:r w:rsidR="00124A10">
          <w:t>123</w:t>
        </w:r>
        <w:r w:rsidR="00124A10">
          <w:fldChar w:fldCharType="end"/>
        </w:r>
      </w:hyperlink>
    </w:p>
    <w:p w:rsidR="00CF0324" w:rsidRDefault="00BA49AD">
      <w:pPr>
        <w:pStyle w:val="12"/>
        <w:spacing w:line="276" w:lineRule="auto"/>
      </w:pPr>
      <w:hyperlink w:anchor="_Toc60" w:tooltip="#_Toc60" w:history="1">
        <w:r w:rsidR="00124A10">
          <w:rPr>
            <w:rStyle w:val="af"/>
          </w:rPr>
          <w:t>8.1. Экологическая политика</w:t>
        </w:r>
        <w:r w:rsidR="00124A10">
          <w:tab/>
        </w:r>
        <w:r w:rsidR="00124A10">
          <w:fldChar w:fldCharType="begin"/>
        </w:r>
        <w:r w:rsidR="00124A10">
          <w:instrText>PAGEREF _Toc60 \h</w:instrText>
        </w:r>
        <w:r w:rsidR="00124A10">
          <w:fldChar w:fldCharType="separate"/>
        </w:r>
        <w:r w:rsidR="00124A10">
          <w:t>123</w:t>
        </w:r>
        <w:r w:rsidR="00124A10">
          <w:fldChar w:fldCharType="end"/>
        </w:r>
      </w:hyperlink>
    </w:p>
    <w:p w:rsidR="00CF0324" w:rsidRDefault="00BA49AD">
      <w:pPr>
        <w:pStyle w:val="12"/>
        <w:spacing w:line="276" w:lineRule="auto"/>
      </w:pPr>
      <w:hyperlink w:anchor="_Toc61" w:tooltip="#_Toc61" w:history="1">
        <w:r w:rsidR="00124A10">
          <w:rPr>
            <w:rStyle w:val="af"/>
          </w:rPr>
          <w:t xml:space="preserve">РАЗДЕЛ 9. ОСНОВНЫЕ НАПРАВЛЕНИЯ И ПРИОРИТЕТЫ ПРОСТРАНСТВЕННОГО РАЗВИТИЯ КОНДИНСКОГО РАЙОНА </w:t>
        </w:r>
        <w:r w:rsidR="00124A10">
          <w:rPr>
            <w:rStyle w:val="af"/>
            <w:bCs/>
          </w:rPr>
          <w:t>ХАНТЫ-МАНСИЙСКОГО АВТОНОМНОГО ОКРУГА-ЮГРЫ</w:t>
        </w:r>
        <w:r w:rsidR="00124A10">
          <w:rPr>
            <w:rStyle w:val="af"/>
          </w:rPr>
          <w:t xml:space="preserve"> НА ПЕРИОД ДО 2036 ГОДА</w:t>
        </w:r>
        <w:r w:rsidR="00124A10">
          <w:tab/>
        </w:r>
        <w:r w:rsidR="00124A10">
          <w:fldChar w:fldCharType="begin"/>
        </w:r>
        <w:r w:rsidR="00124A10">
          <w:instrText>PAGEREF _Toc61 \h</w:instrText>
        </w:r>
        <w:r w:rsidR="00124A10">
          <w:fldChar w:fldCharType="separate"/>
        </w:r>
        <w:r w:rsidR="00124A10">
          <w:t>125</w:t>
        </w:r>
        <w:r w:rsidR="00124A10">
          <w:fldChar w:fldCharType="end"/>
        </w:r>
      </w:hyperlink>
    </w:p>
    <w:p w:rsidR="00CF0324" w:rsidRDefault="00BA49AD">
      <w:pPr>
        <w:pStyle w:val="12"/>
        <w:spacing w:line="276" w:lineRule="auto"/>
      </w:pPr>
      <w:hyperlink w:anchor="_Toc62" w:tooltip="#_Toc62" w:history="1">
        <w:r w:rsidR="00124A10">
          <w:rPr>
            <w:rStyle w:val="af"/>
          </w:rPr>
          <w:t>9.1. ПОВЫШЕНИЕ СБАЛАНСИРОВАННОСТИ ТРАНСПОРТНО-ЛОГИСТИЧЕСКОЙ СИСТЕМЫ</w:t>
        </w:r>
        <w:r w:rsidR="00124A10">
          <w:tab/>
        </w:r>
        <w:r w:rsidR="00124A10">
          <w:fldChar w:fldCharType="begin"/>
        </w:r>
        <w:r w:rsidR="00124A10">
          <w:instrText>PAGEREF _Toc62 \h</w:instrText>
        </w:r>
        <w:r w:rsidR="00124A10">
          <w:fldChar w:fldCharType="separate"/>
        </w:r>
        <w:r w:rsidR="00124A10">
          <w:t>125</w:t>
        </w:r>
        <w:r w:rsidR="00124A10">
          <w:fldChar w:fldCharType="end"/>
        </w:r>
      </w:hyperlink>
    </w:p>
    <w:p w:rsidR="00CF0324" w:rsidRDefault="00BA49AD">
      <w:pPr>
        <w:pStyle w:val="12"/>
        <w:spacing w:line="276" w:lineRule="auto"/>
      </w:pPr>
      <w:hyperlink w:anchor="_Toc63" w:tooltip="#_Toc63" w:history="1">
        <w:r w:rsidR="00124A10">
          <w:rPr>
            <w:rStyle w:val="af"/>
          </w:rPr>
          <w:t>9.2. ТЕРРИТОРИАЛЬНОЕ ПЛАНИРОВАНИЕ И ГРАДОСТРОИТЕЛЬНОЕ РАЗВИТИЕ</w:t>
        </w:r>
        <w:r w:rsidR="00124A10">
          <w:tab/>
        </w:r>
        <w:r w:rsidR="00124A10">
          <w:fldChar w:fldCharType="begin"/>
        </w:r>
        <w:r w:rsidR="00124A10">
          <w:instrText>PAGEREF _Toc63 \h</w:instrText>
        </w:r>
        <w:r w:rsidR="00124A10">
          <w:fldChar w:fldCharType="separate"/>
        </w:r>
        <w:r w:rsidR="00124A10">
          <w:t>128</w:t>
        </w:r>
        <w:r w:rsidR="00124A10">
          <w:fldChar w:fldCharType="end"/>
        </w:r>
      </w:hyperlink>
    </w:p>
    <w:p w:rsidR="00CF0324" w:rsidRDefault="00BA49AD">
      <w:pPr>
        <w:pStyle w:val="12"/>
        <w:spacing w:line="276" w:lineRule="auto"/>
      </w:pPr>
      <w:hyperlink w:anchor="_Toc64" w:tooltip="#_Toc64" w:history="1">
        <w:r w:rsidR="00124A10">
          <w:rPr>
            <w:rStyle w:val="af"/>
          </w:rPr>
          <w:t>9.3. РАЗВИТИЕ ОПОРНЫХ НАСЕЛЕННЫХ ПУНКТОВ (СЕЛЬСКИХ АГЛОМЕРАЦИЙ) НА ТЕРРИТОРИИ КОНДИНСКОГО РАЙОНА</w:t>
        </w:r>
        <w:r w:rsidR="00124A10">
          <w:tab/>
        </w:r>
        <w:r w:rsidR="00124A10">
          <w:fldChar w:fldCharType="begin"/>
        </w:r>
        <w:r w:rsidR="00124A10">
          <w:instrText>PAGEREF _Toc64 \h</w:instrText>
        </w:r>
        <w:r w:rsidR="00124A10">
          <w:fldChar w:fldCharType="separate"/>
        </w:r>
        <w:r w:rsidR="00124A10">
          <w:t>132</w:t>
        </w:r>
        <w:r w:rsidR="00124A10">
          <w:fldChar w:fldCharType="end"/>
        </w:r>
      </w:hyperlink>
    </w:p>
    <w:p w:rsidR="00CF0324" w:rsidRDefault="00BA49AD">
      <w:pPr>
        <w:pStyle w:val="12"/>
        <w:spacing w:line="276" w:lineRule="auto"/>
      </w:pPr>
      <w:hyperlink w:anchor="_Toc65" w:tooltip="#_Toc65" w:history="1">
        <w:r w:rsidR="00124A10">
          <w:rPr>
            <w:rStyle w:val="af"/>
          </w:rPr>
          <w:t>9.4. РАЗВИТИЕ АГЛОМЕРАЦИИ «УРАЙ – КОНДИНСКИЙ РАЙОН»</w:t>
        </w:r>
        <w:r w:rsidR="00124A10">
          <w:tab/>
        </w:r>
        <w:r w:rsidR="00124A10">
          <w:fldChar w:fldCharType="begin"/>
        </w:r>
        <w:r w:rsidR="00124A10">
          <w:instrText>PAGEREF _Toc65 \h</w:instrText>
        </w:r>
        <w:r w:rsidR="00124A10">
          <w:fldChar w:fldCharType="separate"/>
        </w:r>
        <w:r w:rsidR="00124A10">
          <w:t>132</w:t>
        </w:r>
        <w:r w:rsidR="00124A10">
          <w:fldChar w:fldCharType="end"/>
        </w:r>
      </w:hyperlink>
    </w:p>
    <w:p w:rsidR="00CF0324" w:rsidRDefault="00BA49AD">
      <w:pPr>
        <w:pStyle w:val="12"/>
        <w:spacing w:line="276" w:lineRule="auto"/>
      </w:pPr>
      <w:hyperlink w:anchor="_Toc66" w:tooltip="#_Toc66" w:history="1">
        <w:r w:rsidR="00124A10">
          <w:rPr>
            <w:rStyle w:val="af"/>
          </w:rPr>
          <w:t>РАЗДЕЛ 10. ФЛАГМАНСКИЕ ПРОЕКТЫ РАЗВИТИЯ КОНДИНСКОГО РАЙОНА ХАНТЫ-МАНСИЙСКОГО АВТОНОМНОГО ОКРУГА-ЮГРЫ НА ПЕРИОД ДО 2036 ГОДА</w:t>
        </w:r>
        <w:r w:rsidR="00124A10">
          <w:tab/>
        </w:r>
        <w:r w:rsidR="00124A10">
          <w:fldChar w:fldCharType="begin"/>
        </w:r>
        <w:r w:rsidR="00124A10">
          <w:instrText>PAGEREF _Toc66 \h</w:instrText>
        </w:r>
        <w:r w:rsidR="00124A10">
          <w:fldChar w:fldCharType="separate"/>
        </w:r>
        <w:r w:rsidR="00124A10">
          <w:t>134</w:t>
        </w:r>
        <w:r w:rsidR="00124A10">
          <w:fldChar w:fldCharType="end"/>
        </w:r>
      </w:hyperlink>
    </w:p>
    <w:p w:rsidR="00CF0324" w:rsidRDefault="00BA49AD">
      <w:pPr>
        <w:pStyle w:val="23"/>
        <w:tabs>
          <w:tab w:val="right" w:leader="dot" w:pos="9344"/>
        </w:tabs>
        <w:spacing w:line="276" w:lineRule="auto"/>
      </w:pPr>
      <w:hyperlink w:anchor="_Toc67" w:tooltip="#_Toc67" w:history="1">
        <w:r w:rsidR="00124A10">
          <w:rPr>
            <w:rStyle w:val="af"/>
          </w:rPr>
          <w:t>10.1. Флагманский экологический проект «Конда – край чистых рос!»</w:t>
        </w:r>
        <w:r w:rsidR="00124A10">
          <w:tab/>
        </w:r>
        <w:r w:rsidR="00124A10">
          <w:fldChar w:fldCharType="begin"/>
        </w:r>
        <w:r w:rsidR="00124A10">
          <w:instrText>PAGEREF _Toc67 \h</w:instrText>
        </w:r>
        <w:r w:rsidR="00124A10">
          <w:fldChar w:fldCharType="separate"/>
        </w:r>
        <w:r w:rsidR="00124A10">
          <w:t>134</w:t>
        </w:r>
        <w:r w:rsidR="00124A10">
          <w:fldChar w:fldCharType="end"/>
        </w:r>
      </w:hyperlink>
    </w:p>
    <w:p w:rsidR="00CF0324" w:rsidRDefault="00BA49AD">
      <w:pPr>
        <w:pStyle w:val="23"/>
        <w:tabs>
          <w:tab w:val="right" w:leader="dot" w:pos="9344"/>
        </w:tabs>
        <w:spacing w:line="276" w:lineRule="auto"/>
      </w:pPr>
      <w:hyperlink w:anchor="_Toc68" w:tooltip="#_Toc68" w:history="1">
        <w:r w:rsidR="00124A10">
          <w:rPr>
            <w:rStyle w:val="af"/>
          </w:rPr>
          <w:t>10.2. Флагманский проект «Продовольственное самообеспечение Кондинского района!»</w:t>
        </w:r>
        <w:r w:rsidR="00124A10">
          <w:tab/>
        </w:r>
        <w:r w:rsidR="00124A10">
          <w:fldChar w:fldCharType="begin"/>
        </w:r>
        <w:r w:rsidR="00124A10">
          <w:instrText>PAGEREF _Toc68 \h</w:instrText>
        </w:r>
        <w:r w:rsidR="00124A10">
          <w:fldChar w:fldCharType="separate"/>
        </w:r>
        <w:r w:rsidR="00124A10">
          <w:t>135</w:t>
        </w:r>
        <w:r w:rsidR="00124A10">
          <w:fldChar w:fldCharType="end"/>
        </w:r>
      </w:hyperlink>
    </w:p>
    <w:p w:rsidR="00CF0324" w:rsidRDefault="00BA49AD">
      <w:pPr>
        <w:pStyle w:val="23"/>
        <w:tabs>
          <w:tab w:val="right" w:leader="dot" w:pos="9344"/>
        </w:tabs>
        <w:spacing w:line="276" w:lineRule="auto"/>
      </w:pPr>
      <w:hyperlink w:anchor="_Toc69" w:tooltip="#_Toc69" w:history="1">
        <w:r w:rsidR="00124A10">
          <w:rPr>
            <w:rStyle w:val="af"/>
          </w:rPr>
          <w:t>10.3. Флагманский проект «Продвижение бренда Кондинского района»</w:t>
        </w:r>
        <w:r w:rsidR="00124A10">
          <w:tab/>
        </w:r>
        <w:r w:rsidR="00124A10">
          <w:fldChar w:fldCharType="begin"/>
        </w:r>
        <w:r w:rsidR="00124A10">
          <w:instrText>PAGEREF _Toc69 \h</w:instrText>
        </w:r>
        <w:r w:rsidR="00124A10">
          <w:fldChar w:fldCharType="separate"/>
        </w:r>
        <w:r w:rsidR="00124A10">
          <w:t>136</w:t>
        </w:r>
        <w:r w:rsidR="00124A10">
          <w:fldChar w:fldCharType="end"/>
        </w:r>
      </w:hyperlink>
    </w:p>
    <w:p w:rsidR="00CF0324" w:rsidRDefault="00BA49AD">
      <w:pPr>
        <w:pStyle w:val="23"/>
        <w:tabs>
          <w:tab w:val="right" w:leader="dot" w:pos="9344"/>
        </w:tabs>
        <w:spacing w:line="276" w:lineRule="auto"/>
      </w:pPr>
      <w:hyperlink w:anchor="_Toc70" w:tooltip="#_Toc70" w:history="1">
        <w:r w:rsidR="00124A10">
          <w:rPr>
            <w:rStyle w:val="af"/>
          </w:rPr>
          <w:t>10.4. Флагманский проект «Развитие придорожного сервиса в Кондинском районе»</w:t>
        </w:r>
        <w:r w:rsidR="00124A10">
          <w:tab/>
        </w:r>
        <w:r w:rsidR="00124A10">
          <w:fldChar w:fldCharType="begin"/>
        </w:r>
        <w:r w:rsidR="00124A10">
          <w:instrText>PAGEREF _Toc70 \h</w:instrText>
        </w:r>
        <w:r w:rsidR="00124A10">
          <w:fldChar w:fldCharType="separate"/>
        </w:r>
        <w:r w:rsidR="00124A10">
          <w:t>136</w:t>
        </w:r>
        <w:r w:rsidR="00124A10">
          <w:fldChar w:fldCharType="end"/>
        </w:r>
      </w:hyperlink>
    </w:p>
    <w:p w:rsidR="00CF0324" w:rsidRDefault="00BA49AD">
      <w:pPr>
        <w:pStyle w:val="23"/>
        <w:tabs>
          <w:tab w:val="right" w:leader="dot" w:pos="9344"/>
        </w:tabs>
        <w:spacing w:line="276" w:lineRule="auto"/>
      </w:pPr>
      <w:hyperlink w:anchor="_Toc71" w:tooltip="#_Toc71" w:history="1">
        <w:r w:rsidR="00124A10">
          <w:rPr>
            <w:rStyle w:val="af"/>
          </w:rPr>
          <w:t>10.5. Флагманские инвестиционные проекты Кондинского района</w:t>
        </w:r>
        <w:r w:rsidR="00124A10">
          <w:tab/>
        </w:r>
        <w:r w:rsidR="00124A10">
          <w:fldChar w:fldCharType="begin"/>
        </w:r>
        <w:r w:rsidR="00124A10">
          <w:instrText>PAGEREF _Toc71 \h</w:instrText>
        </w:r>
        <w:r w:rsidR="00124A10">
          <w:fldChar w:fldCharType="separate"/>
        </w:r>
        <w:r w:rsidR="00124A10">
          <w:t>137</w:t>
        </w:r>
        <w:r w:rsidR="00124A10">
          <w:fldChar w:fldCharType="end"/>
        </w:r>
      </w:hyperlink>
    </w:p>
    <w:p w:rsidR="00CF0324" w:rsidRDefault="00BA49AD">
      <w:pPr>
        <w:pStyle w:val="12"/>
        <w:spacing w:line="276" w:lineRule="auto"/>
      </w:pPr>
      <w:hyperlink w:anchor="_Toc72" w:tooltip="#_Toc72" w:history="1">
        <w:r w:rsidR="00124A10">
          <w:rPr>
            <w:rStyle w:val="af"/>
          </w:rPr>
          <w:t xml:space="preserve">РАЗДЕЛ 11. НАПРАВЛЕНИЯ ДЕЯТЕЛЬНОСТИ ОРГАНОВ МЕСТНОГО САМОУПРАВЛЕНИЯ КОНДИНСКОГО РАЙОНА </w:t>
        </w:r>
        <w:r w:rsidR="00124A10">
          <w:rPr>
            <w:rStyle w:val="af"/>
            <w:bCs/>
          </w:rPr>
          <w:t>ХАНТЫ-МАНСИЙСКОГО АВТОНОМНОГО ОКРУГА-ЮГРЫ</w:t>
        </w:r>
        <w:r w:rsidR="00124A10">
          <w:rPr>
            <w:rStyle w:val="af"/>
          </w:rPr>
          <w:t xml:space="preserve"> НА ПЕРИОД ДО 2036 ГОДА</w:t>
        </w:r>
        <w:r w:rsidR="00124A10">
          <w:tab/>
        </w:r>
        <w:r w:rsidR="00124A10">
          <w:fldChar w:fldCharType="begin"/>
        </w:r>
        <w:r w:rsidR="00124A10">
          <w:instrText>PAGEREF _Toc72 \h</w:instrText>
        </w:r>
        <w:r w:rsidR="00124A10">
          <w:fldChar w:fldCharType="separate"/>
        </w:r>
        <w:r w:rsidR="00124A10">
          <w:t>139</w:t>
        </w:r>
        <w:r w:rsidR="00124A10">
          <w:fldChar w:fldCharType="end"/>
        </w:r>
      </w:hyperlink>
    </w:p>
    <w:p w:rsidR="00CF0324" w:rsidRDefault="00BA49AD">
      <w:pPr>
        <w:pStyle w:val="12"/>
        <w:spacing w:line="276" w:lineRule="auto"/>
      </w:pPr>
      <w:hyperlink w:anchor="_Toc73" w:tooltip="#_Toc73" w:history="1">
        <w:r w:rsidR="00124A10">
          <w:rPr>
            <w:rStyle w:val="af"/>
          </w:rPr>
          <w:t>11.1. МЕСТНОЕ САМОУПРАВЛЕНИЕ</w:t>
        </w:r>
        <w:r w:rsidR="00124A10">
          <w:tab/>
        </w:r>
        <w:r w:rsidR="00124A10">
          <w:fldChar w:fldCharType="begin"/>
        </w:r>
        <w:r w:rsidR="00124A10">
          <w:instrText>PAGEREF _Toc73 \h</w:instrText>
        </w:r>
        <w:r w:rsidR="00124A10">
          <w:fldChar w:fldCharType="separate"/>
        </w:r>
        <w:r w:rsidR="00124A10">
          <w:t>139</w:t>
        </w:r>
        <w:r w:rsidR="00124A10">
          <w:fldChar w:fldCharType="end"/>
        </w:r>
      </w:hyperlink>
    </w:p>
    <w:p w:rsidR="00CF0324" w:rsidRDefault="00BA49AD">
      <w:pPr>
        <w:pStyle w:val="12"/>
        <w:spacing w:line="276" w:lineRule="auto"/>
      </w:pPr>
      <w:hyperlink w:anchor="_Toc74" w:tooltip="#_Toc74" w:history="1">
        <w:r w:rsidR="00124A10">
          <w:rPr>
            <w:rStyle w:val="af"/>
          </w:rPr>
          <w:t>11.2. УПРАВЛЕНИЕ МУНИЦИПАЛЬНОЙ СОБСТВЕННОСТЬЮ</w:t>
        </w:r>
        <w:r w:rsidR="00124A10">
          <w:tab/>
        </w:r>
        <w:r w:rsidR="00124A10">
          <w:fldChar w:fldCharType="begin"/>
        </w:r>
        <w:r w:rsidR="00124A10">
          <w:instrText>PAGEREF _Toc74 \h</w:instrText>
        </w:r>
        <w:r w:rsidR="00124A10">
          <w:fldChar w:fldCharType="separate"/>
        </w:r>
        <w:r w:rsidR="00124A10">
          <w:t>140</w:t>
        </w:r>
        <w:r w:rsidR="00124A10">
          <w:fldChar w:fldCharType="end"/>
        </w:r>
      </w:hyperlink>
    </w:p>
    <w:p w:rsidR="00CF0324" w:rsidRDefault="00BA49AD">
      <w:pPr>
        <w:pStyle w:val="12"/>
        <w:spacing w:line="276" w:lineRule="auto"/>
      </w:pPr>
      <w:hyperlink w:anchor="_Toc75" w:tooltip="#_Toc75" w:history="1">
        <w:r w:rsidR="00124A10">
          <w:rPr>
            <w:rStyle w:val="af"/>
          </w:rPr>
          <w:t>11.3. БЮДЖЕТНАЯ ПОЛИТИКА</w:t>
        </w:r>
        <w:r w:rsidR="00124A10">
          <w:tab/>
        </w:r>
        <w:r w:rsidR="00124A10">
          <w:fldChar w:fldCharType="begin"/>
        </w:r>
        <w:r w:rsidR="00124A10">
          <w:instrText>PAGEREF _Toc75 \h</w:instrText>
        </w:r>
        <w:r w:rsidR="00124A10">
          <w:fldChar w:fldCharType="separate"/>
        </w:r>
        <w:r w:rsidR="00124A10">
          <w:t>141</w:t>
        </w:r>
        <w:r w:rsidR="00124A10">
          <w:fldChar w:fldCharType="end"/>
        </w:r>
      </w:hyperlink>
    </w:p>
    <w:p w:rsidR="00CF0324" w:rsidRDefault="00BA49AD">
      <w:pPr>
        <w:pStyle w:val="12"/>
        <w:spacing w:line="276" w:lineRule="auto"/>
      </w:pPr>
      <w:hyperlink w:anchor="_Toc76" w:tooltip="#_Toc76" w:history="1">
        <w:r w:rsidR="00124A10">
          <w:rPr>
            <w:rStyle w:val="af"/>
          </w:rPr>
          <w:t>РАЗДЕЛ 12. ПЕРСПЕКТИВЫ И ПРИОРИТЕТЫ РАЗВИТИЯ ГОРОДСКИХ И СЕЛЬСКИХ ПОСЕЛЕНИЙ КОНДИНСКОГО РАЙОНА ХАНТЫ-МАНСИЙСКОГО АВТОНОМНОГО ОКРУГА - ЮГРЫ В ПЕРИОД ДО 2036 ГОДА</w:t>
        </w:r>
        <w:r w:rsidR="00124A10">
          <w:tab/>
        </w:r>
        <w:r w:rsidR="00124A10">
          <w:fldChar w:fldCharType="begin"/>
        </w:r>
        <w:r w:rsidR="00124A10">
          <w:instrText>PAGEREF _Toc76 \h</w:instrText>
        </w:r>
        <w:r w:rsidR="00124A10">
          <w:fldChar w:fldCharType="separate"/>
        </w:r>
        <w:r w:rsidR="00124A10">
          <w:t>143</w:t>
        </w:r>
        <w:r w:rsidR="00124A10">
          <w:fldChar w:fldCharType="end"/>
        </w:r>
      </w:hyperlink>
    </w:p>
    <w:p w:rsidR="00CF0324" w:rsidRDefault="00BA49AD">
      <w:pPr>
        <w:pStyle w:val="12"/>
        <w:spacing w:line="276" w:lineRule="auto"/>
      </w:pPr>
      <w:hyperlink w:anchor="_Toc77" w:tooltip="#_Toc77" w:history="1">
        <w:r w:rsidR="00124A10">
          <w:rPr>
            <w:rStyle w:val="af"/>
          </w:rPr>
          <w:t>12.1. Городское поселение Междуреченский</w:t>
        </w:r>
        <w:r w:rsidR="00124A10">
          <w:tab/>
        </w:r>
        <w:r w:rsidR="00124A10">
          <w:fldChar w:fldCharType="begin"/>
        </w:r>
        <w:r w:rsidR="00124A10">
          <w:instrText>PAGEREF _Toc77 \h</w:instrText>
        </w:r>
        <w:r w:rsidR="00124A10">
          <w:fldChar w:fldCharType="separate"/>
        </w:r>
        <w:r w:rsidR="00124A10">
          <w:t>144</w:t>
        </w:r>
        <w:r w:rsidR="00124A10">
          <w:fldChar w:fldCharType="end"/>
        </w:r>
      </w:hyperlink>
    </w:p>
    <w:p w:rsidR="00CF0324" w:rsidRDefault="00BA49AD">
      <w:pPr>
        <w:pStyle w:val="12"/>
        <w:spacing w:line="276" w:lineRule="auto"/>
      </w:pPr>
      <w:hyperlink w:anchor="_Toc78" w:tooltip="#_Toc78" w:history="1">
        <w:r w:rsidR="00124A10">
          <w:rPr>
            <w:rStyle w:val="af"/>
          </w:rPr>
          <w:t>12.2. Городское поселение Мортка</w:t>
        </w:r>
        <w:r w:rsidR="00124A10">
          <w:tab/>
        </w:r>
        <w:r w:rsidR="00124A10">
          <w:fldChar w:fldCharType="begin"/>
        </w:r>
        <w:r w:rsidR="00124A10">
          <w:instrText>PAGEREF _Toc78 \h</w:instrText>
        </w:r>
        <w:r w:rsidR="00124A10">
          <w:fldChar w:fldCharType="separate"/>
        </w:r>
        <w:r w:rsidR="00124A10">
          <w:t>146</w:t>
        </w:r>
        <w:r w:rsidR="00124A10">
          <w:fldChar w:fldCharType="end"/>
        </w:r>
      </w:hyperlink>
    </w:p>
    <w:p w:rsidR="00CF0324" w:rsidRDefault="00BA49AD">
      <w:pPr>
        <w:pStyle w:val="12"/>
        <w:spacing w:line="276" w:lineRule="auto"/>
      </w:pPr>
      <w:hyperlink w:anchor="_Toc79" w:tooltip="#_Toc79" w:history="1">
        <w:r w:rsidR="00124A10">
          <w:rPr>
            <w:rStyle w:val="af"/>
          </w:rPr>
          <w:t>12.3. Городское поселение Кондинское</w:t>
        </w:r>
        <w:r w:rsidR="00124A10">
          <w:tab/>
        </w:r>
        <w:r w:rsidR="00124A10">
          <w:fldChar w:fldCharType="begin"/>
        </w:r>
        <w:r w:rsidR="00124A10">
          <w:instrText>PAGEREF _Toc79 \h</w:instrText>
        </w:r>
        <w:r w:rsidR="00124A10">
          <w:fldChar w:fldCharType="separate"/>
        </w:r>
        <w:r w:rsidR="00124A10">
          <w:t>147</w:t>
        </w:r>
        <w:r w:rsidR="00124A10">
          <w:fldChar w:fldCharType="end"/>
        </w:r>
      </w:hyperlink>
    </w:p>
    <w:p w:rsidR="00CF0324" w:rsidRDefault="00BA49AD">
      <w:pPr>
        <w:pStyle w:val="12"/>
        <w:spacing w:line="276" w:lineRule="auto"/>
      </w:pPr>
      <w:hyperlink w:anchor="_Toc80" w:tooltip="#_Toc80" w:history="1">
        <w:r w:rsidR="00124A10">
          <w:rPr>
            <w:rStyle w:val="af"/>
          </w:rPr>
          <w:t>12.4. Городское поселение Луговой</w:t>
        </w:r>
        <w:r w:rsidR="00124A10">
          <w:tab/>
        </w:r>
        <w:r w:rsidR="00124A10">
          <w:fldChar w:fldCharType="begin"/>
        </w:r>
        <w:r w:rsidR="00124A10">
          <w:instrText>PAGEREF _Toc80 \h</w:instrText>
        </w:r>
        <w:r w:rsidR="00124A10">
          <w:fldChar w:fldCharType="separate"/>
        </w:r>
        <w:r w:rsidR="00124A10">
          <w:t>148</w:t>
        </w:r>
        <w:r w:rsidR="00124A10">
          <w:fldChar w:fldCharType="end"/>
        </w:r>
      </w:hyperlink>
    </w:p>
    <w:p w:rsidR="00CF0324" w:rsidRDefault="00BA49AD">
      <w:pPr>
        <w:pStyle w:val="12"/>
        <w:spacing w:line="276" w:lineRule="auto"/>
      </w:pPr>
      <w:hyperlink w:anchor="_Toc81" w:tooltip="#_Toc81" w:history="1">
        <w:r w:rsidR="00124A10">
          <w:rPr>
            <w:rStyle w:val="af"/>
          </w:rPr>
          <w:t>12.5. Городское поселение Куминский</w:t>
        </w:r>
        <w:r w:rsidR="00124A10">
          <w:tab/>
        </w:r>
        <w:r w:rsidR="00124A10">
          <w:fldChar w:fldCharType="begin"/>
        </w:r>
        <w:r w:rsidR="00124A10">
          <w:instrText>PAGEREF _Toc81 \h</w:instrText>
        </w:r>
        <w:r w:rsidR="00124A10">
          <w:fldChar w:fldCharType="separate"/>
        </w:r>
        <w:r w:rsidR="00124A10">
          <w:t>149</w:t>
        </w:r>
        <w:r w:rsidR="00124A10">
          <w:fldChar w:fldCharType="end"/>
        </w:r>
      </w:hyperlink>
    </w:p>
    <w:p w:rsidR="00CF0324" w:rsidRDefault="00BA49AD">
      <w:pPr>
        <w:pStyle w:val="12"/>
        <w:spacing w:line="276" w:lineRule="auto"/>
      </w:pPr>
      <w:hyperlink w:anchor="_Toc82" w:tooltip="#_Toc82" w:history="1">
        <w:r w:rsidR="00124A10">
          <w:rPr>
            <w:rStyle w:val="af"/>
          </w:rPr>
          <w:t>12.6. Сельское поселение Мулымья</w:t>
        </w:r>
        <w:r w:rsidR="00124A10">
          <w:tab/>
        </w:r>
        <w:r w:rsidR="00124A10">
          <w:fldChar w:fldCharType="begin"/>
        </w:r>
        <w:r w:rsidR="00124A10">
          <w:instrText>PAGEREF _Toc82 \h</w:instrText>
        </w:r>
        <w:r w:rsidR="00124A10">
          <w:fldChar w:fldCharType="separate"/>
        </w:r>
        <w:r w:rsidR="00124A10">
          <w:t>150</w:t>
        </w:r>
        <w:r w:rsidR="00124A10">
          <w:fldChar w:fldCharType="end"/>
        </w:r>
      </w:hyperlink>
    </w:p>
    <w:p w:rsidR="00CF0324" w:rsidRDefault="00BA49AD">
      <w:pPr>
        <w:pStyle w:val="12"/>
        <w:spacing w:line="276" w:lineRule="auto"/>
      </w:pPr>
      <w:hyperlink w:anchor="_Toc83" w:tooltip="#_Toc83" w:history="1">
        <w:r w:rsidR="00124A10">
          <w:rPr>
            <w:rStyle w:val="af"/>
          </w:rPr>
          <w:t>12.7. Сельское поселение Леуши</w:t>
        </w:r>
        <w:r w:rsidR="00124A10">
          <w:tab/>
        </w:r>
        <w:r w:rsidR="00124A10">
          <w:fldChar w:fldCharType="begin"/>
        </w:r>
        <w:r w:rsidR="00124A10">
          <w:instrText>PAGEREF _Toc83 \h</w:instrText>
        </w:r>
        <w:r w:rsidR="00124A10">
          <w:fldChar w:fldCharType="separate"/>
        </w:r>
        <w:r w:rsidR="00124A10">
          <w:t>151</w:t>
        </w:r>
        <w:r w:rsidR="00124A10">
          <w:fldChar w:fldCharType="end"/>
        </w:r>
      </w:hyperlink>
    </w:p>
    <w:p w:rsidR="00CF0324" w:rsidRDefault="00BA49AD">
      <w:pPr>
        <w:pStyle w:val="12"/>
        <w:spacing w:line="276" w:lineRule="auto"/>
      </w:pPr>
      <w:hyperlink w:anchor="_Toc84" w:tooltip="#_Toc84" w:history="1">
        <w:r w:rsidR="00124A10">
          <w:rPr>
            <w:rStyle w:val="af"/>
          </w:rPr>
          <w:t>12.8. Сельское поселение Болчары</w:t>
        </w:r>
        <w:r w:rsidR="00124A10">
          <w:tab/>
        </w:r>
        <w:r w:rsidR="00124A10">
          <w:fldChar w:fldCharType="begin"/>
        </w:r>
        <w:r w:rsidR="00124A10">
          <w:instrText>PAGEREF _Toc84 \h</w:instrText>
        </w:r>
        <w:r w:rsidR="00124A10">
          <w:fldChar w:fldCharType="separate"/>
        </w:r>
        <w:r w:rsidR="00124A10">
          <w:t>152</w:t>
        </w:r>
        <w:r w:rsidR="00124A10">
          <w:fldChar w:fldCharType="end"/>
        </w:r>
      </w:hyperlink>
    </w:p>
    <w:p w:rsidR="00CF0324" w:rsidRDefault="00BA49AD">
      <w:pPr>
        <w:pStyle w:val="12"/>
        <w:spacing w:line="276" w:lineRule="auto"/>
      </w:pPr>
      <w:hyperlink w:anchor="_Toc85" w:tooltip="#_Toc85" w:history="1">
        <w:r w:rsidR="00124A10">
          <w:rPr>
            <w:rStyle w:val="af"/>
          </w:rPr>
          <w:t>12.9. Сельское поселение Половинка</w:t>
        </w:r>
        <w:r w:rsidR="00124A10">
          <w:tab/>
        </w:r>
        <w:r w:rsidR="00124A10">
          <w:fldChar w:fldCharType="begin"/>
        </w:r>
        <w:r w:rsidR="00124A10">
          <w:instrText>PAGEREF _Toc85 \h</w:instrText>
        </w:r>
        <w:r w:rsidR="00124A10">
          <w:fldChar w:fldCharType="separate"/>
        </w:r>
        <w:r w:rsidR="00124A10">
          <w:t>153</w:t>
        </w:r>
        <w:r w:rsidR="00124A10">
          <w:fldChar w:fldCharType="end"/>
        </w:r>
      </w:hyperlink>
    </w:p>
    <w:p w:rsidR="00CF0324" w:rsidRDefault="00BA49AD">
      <w:pPr>
        <w:pStyle w:val="12"/>
        <w:spacing w:line="276" w:lineRule="auto"/>
      </w:pPr>
      <w:hyperlink w:anchor="_Toc86" w:tooltip="#_Toc86" w:history="1">
        <w:r w:rsidR="00124A10">
          <w:rPr>
            <w:rStyle w:val="af"/>
          </w:rPr>
          <w:t>12.10. Сельское поселение Шугур</w:t>
        </w:r>
        <w:r w:rsidR="00124A10">
          <w:tab/>
        </w:r>
        <w:r w:rsidR="00124A10">
          <w:fldChar w:fldCharType="begin"/>
        </w:r>
        <w:r w:rsidR="00124A10">
          <w:instrText>PAGEREF _Toc86 \h</w:instrText>
        </w:r>
        <w:r w:rsidR="00124A10">
          <w:fldChar w:fldCharType="separate"/>
        </w:r>
        <w:r w:rsidR="00124A10">
          <w:t>154</w:t>
        </w:r>
        <w:r w:rsidR="00124A10">
          <w:fldChar w:fldCharType="end"/>
        </w:r>
      </w:hyperlink>
    </w:p>
    <w:p w:rsidR="00CF0324" w:rsidRDefault="00BA49AD">
      <w:pPr>
        <w:pStyle w:val="12"/>
        <w:spacing w:line="276" w:lineRule="auto"/>
      </w:pPr>
      <w:hyperlink w:anchor="_Toc87" w:tooltip="#_Toc87" w:history="1">
        <w:r w:rsidR="00124A10">
          <w:rPr>
            <w:rStyle w:val="af"/>
          </w:rPr>
          <w:t>РАЗДЕЛ 13. РЕСУРСНОЕ ОБЕСПЕЧЕНИЕ РЕАЛИЗАЦИИ СТРАТЕГИИ</w:t>
        </w:r>
        <w:r w:rsidR="00124A10">
          <w:tab/>
        </w:r>
        <w:r w:rsidR="00124A10">
          <w:fldChar w:fldCharType="begin"/>
        </w:r>
        <w:r w:rsidR="00124A10">
          <w:instrText>PAGEREF _Toc87 \h</w:instrText>
        </w:r>
        <w:r w:rsidR="00124A10">
          <w:fldChar w:fldCharType="separate"/>
        </w:r>
        <w:r w:rsidR="00124A10">
          <w:t>156</w:t>
        </w:r>
        <w:r w:rsidR="00124A10">
          <w:fldChar w:fldCharType="end"/>
        </w:r>
      </w:hyperlink>
    </w:p>
    <w:p w:rsidR="00CF0324" w:rsidRDefault="00BA49AD">
      <w:pPr>
        <w:pStyle w:val="12"/>
        <w:spacing w:line="276" w:lineRule="auto"/>
      </w:pPr>
      <w:hyperlink w:anchor="_Toc88" w:tooltip="#_Toc88" w:history="1">
        <w:r w:rsidR="00124A10">
          <w:rPr>
            <w:rStyle w:val="af"/>
          </w:rPr>
          <w:t>РАЗДЕЛ 14. МЕХАНИЗМЫ РЕАЛИЗАЦИИ СТРАТЕГИИ</w:t>
        </w:r>
        <w:r w:rsidR="00124A10">
          <w:tab/>
        </w:r>
        <w:r w:rsidR="00124A10">
          <w:fldChar w:fldCharType="begin"/>
        </w:r>
        <w:r w:rsidR="00124A10">
          <w:instrText>PAGEREF _Toc88 \h</w:instrText>
        </w:r>
        <w:r w:rsidR="00124A10">
          <w:fldChar w:fldCharType="separate"/>
        </w:r>
        <w:r w:rsidR="00124A10">
          <w:t>158</w:t>
        </w:r>
        <w:r w:rsidR="00124A10">
          <w:fldChar w:fldCharType="end"/>
        </w:r>
      </w:hyperlink>
    </w:p>
    <w:p w:rsidR="00CF0324" w:rsidRDefault="00BA49AD">
      <w:pPr>
        <w:pStyle w:val="12"/>
        <w:spacing w:line="276" w:lineRule="auto"/>
      </w:pPr>
      <w:hyperlink w:anchor="_Toc89" w:tooltip="#_Toc89" w:history="1">
        <w:r w:rsidR="00124A10">
          <w:rPr>
            <w:rStyle w:val="af"/>
          </w:rPr>
          <w:t>РАЗДЕЛ 15. ОЦЕНКА ОЖИДАЕМЫХ СОЦИАЛЬНО-ЭКОНОМИЧЕСКИХ ЭФФЕКТОВ РЕАЛИЗАЦИИ СТРАТЕГИИ</w:t>
        </w:r>
        <w:r w:rsidR="00124A10">
          <w:tab/>
        </w:r>
        <w:r w:rsidR="00124A10">
          <w:fldChar w:fldCharType="begin"/>
        </w:r>
        <w:r w:rsidR="00124A10">
          <w:instrText>PAGEREF _Toc89 \h</w:instrText>
        </w:r>
        <w:r w:rsidR="00124A10">
          <w:fldChar w:fldCharType="separate"/>
        </w:r>
        <w:r w:rsidR="00124A10">
          <w:t>160</w:t>
        </w:r>
        <w:r w:rsidR="00124A10">
          <w:fldChar w:fldCharType="end"/>
        </w:r>
      </w:hyperlink>
    </w:p>
    <w:p w:rsidR="00CF0324" w:rsidRDefault="00BA49AD">
      <w:pPr>
        <w:pStyle w:val="12"/>
        <w:spacing w:line="276" w:lineRule="auto"/>
      </w:pPr>
      <w:hyperlink w:anchor="_Toc90" w:tooltip="#_Toc90" w:history="1">
        <w:r w:rsidR="00124A10">
          <w:rPr>
            <w:rStyle w:val="af"/>
          </w:rPr>
          <w:t>ПРИЛОЖЕНИЕ  Целевые показатели реализации Стратегии -2036</w:t>
        </w:r>
        <w:r w:rsidR="00124A10">
          <w:tab/>
        </w:r>
        <w:r w:rsidR="00124A10">
          <w:fldChar w:fldCharType="begin"/>
        </w:r>
        <w:r w:rsidR="00124A10">
          <w:instrText>PAGEREF _Toc90 \h</w:instrText>
        </w:r>
        <w:r w:rsidR="00124A10">
          <w:fldChar w:fldCharType="separate"/>
        </w:r>
        <w:r w:rsidR="00124A10">
          <w:t>162</w:t>
        </w:r>
        <w:r w:rsidR="00124A10">
          <w:fldChar w:fldCharType="end"/>
        </w:r>
      </w:hyperlink>
    </w:p>
    <w:p w:rsidR="00CF0324" w:rsidRDefault="00124A10">
      <w:pPr>
        <w:spacing w:line="276" w:lineRule="auto"/>
      </w:pPr>
      <w:r>
        <w:rPr>
          <w:b/>
          <w:bCs/>
        </w:rPr>
        <w:fldChar w:fldCharType="end"/>
      </w:r>
    </w:p>
    <w:p w:rsidR="00CF0324" w:rsidRDefault="00CF0324">
      <w:pPr>
        <w:spacing w:line="276" w:lineRule="auto"/>
        <w:rPr>
          <w:rFonts w:eastAsia="TimesNewRomanPSMT"/>
          <w:sz w:val="28"/>
          <w:szCs w:val="28"/>
        </w:rPr>
      </w:pPr>
    </w:p>
    <w:p w:rsidR="00CF0324" w:rsidRDefault="00CF0324">
      <w:pPr>
        <w:spacing w:line="276" w:lineRule="auto"/>
        <w:rPr>
          <w:rFonts w:eastAsia="TimesNewRomanPSMT"/>
          <w:sz w:val="28"/>
          <w:szCs w:val="28"/>
        </w:rPr>
        <w:sectPr w:rsidR="00CF0324">
          <w:pgSz w:w="11906" w:h="16838"/>
          <w:pgMar w:top="1134" w:right="850" w:bottom="1134" w:left="1701" w:header="708" w:footer="708" w:gutter="0"/>
          <w:cols w:space="720"/>
          <w:docGrid w:linePitch="360"/>
        </w:sectPr>
      </w:pPr>
    </w:p>
    <w:p w:rsidR="00CF0324" w:rsidRDefault="00124A10">
      <w:pPr>
        <w:pStyle w:val="afff1"/>
      </w:pPr>
      <w:bookmarkStart w:id="1" w:name="_Toc1"/>
      <w:r>
        <w:lastRenderedPageBreak/>
        <w:t>ВВЕДЕНИЕ</w:t>
      </w:r>
      <w:bookmarkEnd w:id="1"/>
    </w:p>
    <w:p w:rsidR="00CF0324" w:rsidRDefault="00124A10">
      <w:pPr>
        <w:spacing w:line="276" w:lineRule="auto"/>
        <w:ind w:firstLine="708"/>
        <w:jc w:val="both"/>
        <w:rPr>
          <w:rFonts w:eastAsia="TimesNewRomanPSMT"/>
        </w:rPr>
      </w:pPr>
      <w:r>
        <w:rPr>
          <w:rFonts w:eastAsia="TimesNewRomanPSMT"/>
        </w:rPr>
        <w:t xml:space="preserve">Стратегия социально-экономического развития Кондинского района Ханты-Мансийского автономного округа – Югры </w:t>
      </w:r>
      <w:r>
        <w:t xml:space="preserve">на период до 2036 года (далее по тексту – Стратегия – 2036) разработана администрацией Кондинского района </w:t>
      </w:r>
      <w:r>
        <w:rPr>
          <w:rFonts w:eastAsia="TimesNewRomanPSMT"/>
        </w:rPr>
        <w:t xml:space="preserve">Ханты-Мансийского автономного округа – Югры </w:t>
      </w:r>
      <w:r>
        <w:t>исходя из сложившихся в 2022 году тенденций развития местной экономики и социальной сферы</w:t>
      </w:r>
      <w:r>
        <w:rPr>
          <w:rFonts w:eastAsia="TimesNewRomanPSMT"/>
        </w:rPr>
        <w:t xml:space="preserve">. </w:t>
      </w:r>
      <w:r>
        <w:t>Стратегия разработана в соответствии с требованиями Федерального закона от 28 июня 2014 года № 172-ФЗ «О стратегическом планировании в Российской Федерации»</w:t>
      </w:r>
      <w:r>
        <w:rPr>
          <w:rFonts w:eastAsia="TimesNewRomanPSMT"/>
        </w:rPr>
        <w:t xml:space="preserve"> с учетом основных положений и целевых ориентиров </w:t>
      </w:r>
      <w:r>
        <w:t>федеральных и региональных отраслевых документов стратегического планирования, в том числе:</w:t>
      </w:r>
    </w:p>
    <w:p w:rsidR="00CF0324" w:rsidRDefault="00124A10">
      <w:pPr>
        <w:spacing w:line="276" w:lineRule="auto"/>
        <w:ind w:firstLine="708"/>
        <w:jc w:val="both"/>
      </w:pPr>
      <w:r>
        <w:t>Указов Президента Российской Федерации от 7 мая 2018 года;</w:t>
      </w:r>
    </w:p>
    <w:p w:rsidR="00CF0324" w:rsidRDefault="00124A10">
      <w:pPr>
        <w:spacing w:line="276" w:lineRule="auto"/>
        <w:ind w:firstLine="708"/>
        <w:jc w:val="both"/>
      </w:pPr>
      <w:r>
        <w:t>Национальных проектов Российской Федерации;</w:t>
      </w:r>
    </w:p>
    <w:p w:rsidR="00CF0324" w:rsidRDefault="00124A10">
      <w:pPr>
        <w:spacing w:line="276" w:lineRule="auto"/>
        <w:ind w:firstLine="708"/>
        <w:jc w:val="both"/>
      </w:pPr>
      <w:r>
        <w:t xml:space="preserve">Стратегии социально-экономического развития </w:t>
      </w:r>
      <w:r>
        <w:rPr>
          <w:rFonts w:eastAsia="TimesNewRomanPSMT"/>
        </w:rPr>
        <w:t xml:space="preserve">Ханты-Мансийского автономного округа – Югры </w:t>
      </w:r>
      <w:r>
        <w:t>до 2036 года с целевыми ориентирами до 2050 года.</w:t>
      </w:r>
    </w:p>
    <w:p w:rsidR="00CF0324" w:rsidRDefault="00124A10">
      <w:pPr>
        <w:spacing w:line="276" w:lineRule="auto"/>
        <w:ind w:firstLine="708"/>
        <w:jc w:val="both"/>
      </w:pPr>
      <w:r>
        <w:t xml:space="preserve">Впервые Стратегия экономического и социального развития Кондинского района Ханты-Мансийского автономного округа – Югры до 2020 года (далее – Стратегия) была разработана Федеральным государственным научно-исследовательским учреждением «Совет по изучению производительных сил» в 2007 году. Впоследствии, документ был разработан в новом формате Уральским Государственным лесотехническим университетом в 2014 году на период до 2030 года. Целью разработки новой Стратегии – 2036 является актуализация приоритетов долгосрочного развития в новых экономических условиях, определение и корректировка путей обеспечения устойчивого повышения качества жизни и благосостояния граждан, проживающих в Кондинском районе Ханты-Мансийского автономного округа – Югры, развитие экономики и социальной сферы территории, укрепление ее конкурентных позиций среди муниципальных образований </w:t>
      </w:r>
      <w:r>
        <w:rPr>
          <w:bCs/>
        </w:rPr>
        <w:t>Ханты-Мансийского автономного округа – Югры</w:t>
      </w:r>
      <w:r>
        <w:t xml:space="preserve"> и Российской Федерации.</w:t>
      </w:r>
    </w:p>
    <w:p w:rsidR="00CF0324" w:rsidRDefault="00124A10">
      <w:pPr>
        <w:spacing w:line="276" w:lineRule="auto"/>
        <w:ind w:firstLine="708"/>
        <w:jc w:val="both"/>
      </w:pPr>
      <w:r>
        <w:t>Стратегия содержит:</w:t>
      </w:r>
    </w:p>
    <w:p w:rsidR="00CF0324" w:rsidRDefault="00124A10">
      <w:pPr>
        <w:spacing w:line="276" w:lineRule="auto"/>
        <w:ind w:firstLine="708"/>
        <w:jc w:val="both"/>
      </w:pPr>
      <w:r>
        <w:t>анализ социально-экономического развития Кондинского района Ханты-Мансийского автономного округа – Югры в 2016-2022 годах;</w:t>
      </w:r>
    </w:p>
    <w:p w:rsidR="00CF0324" w:rsidRDefault="00124A10">
      <w:pPr>
        <w:spacing w:line="276" w:lineRule="auto"/>
        <w:ind w:firstLine="708"/>
        <w:jc w:val="both"/>
      </w:pPr>
      <w:r>
        <w:t>оценку внутренних и внешних ограничений развития и конкурентные преимущества Кондинского района;</w:t>
      </w:r>
    </w:p>
    <w:p w:rsidR="00CF0324" w:rsidRDefault="00124A10">
      <w:pPr>
        <w:spacing w:line="276" w:lineRule="auto"/>
        <w:ind w:firstLine="708"/>
        <w:jc w:val="both"/>
      </w:pPr>
      <w:r>
        <w:t>приоритеты, цели и задачи стратегии социально-экономического развития Кондинского района Ханты-Мансийского автономного округа – Югры до 2036 года;</w:t>
      </w:r>
    </w:p>
    <w:p w:rsidR="00CF0324" w:rsidRDefault="00124A10">
      <w:pPr>
        <w:spacing w:line="276" w:lineRule="auto"/>
        <w:ind w:firstLine="708"/>
        <w:jc w:val="both"/>
      </w:pPr>
      <w:r>
        <w:t>сценарии развития Кондинского района Ханты-Мансийского автономного округа – Югры;</w:t>
      </w:r>
    </w:p>
    <w:p w:rsidR="00CF0324" w:rsidRDefault="00124A10">
      <w:pPr>
        <w:spacing w:line="276" w:lineRule="auto"/>
        <w:ind w:firstLine="708"/>
        <w:jc w:val="both"/>
      </w:pPr>
      <w:r>
        <w:t>стратегические направления развития Кондинского района Ханты-Мансийского автономного округа – Югры на период до 2036 года;</w:t>
      </w:r>
    </w:p>
    <w:p w:rsidR="00CF0324" w:rsidRDefault="00124A10">
      <w:pPr>
        <w:spacing w:line="276" w:lineRule="auto"/>
        <w:ind w:firstLine="708"/>
        <w:jc w:val="both"/>
      </w:pPr>
      <w:r>
        <w:t>перспективы и приоритеты развития городских и сельских поселений Кондинского района Ханты-Мансийского автономного округа – Югры в период до 2036 года;</w:t>
      </w:r>
    </w:p>
    <w:p w:rsidR="00CF0324" w:rsidRDefault="00124A10">
      <w:pPr>
        <w:spacing w:line="276" w:lineRule="auto"/>
        <w:ind w:firstLine="708"/>
        <w:jc w:val="both"/>
      </w:pPr>
      <w:r>
        <w:t>ресурсное обеспечение реализации стратегии;</w:t>
      </w:r>
    </w:p>
    <w:p w:rsidR="00CF0324" w:rsidRDefault="00124A10">
      <w:pPr>
        <w:spacing w:line="276" w:lineRule="auto"/>
        <w:ind w:firstLine="708"/>
        <w:jc w:val="both"/>
      </w:pPr>
      <w:r>
        <w:t>механизмы реализации стратегии;</w:t>
      </w:r>
    </w:p>
    <w:p w:rsidR="00CF0324" w:rsidRDefault="00124A10">
      <w:pPr>
        <w:spacing w:line="276" w:lineRule="auto"/>
        <w:ind w:firstLine="708"/>
        <w:jc w:val="both"/>
      </w:pPr>
      <w:r>
        <w:t>оценку ожидаемых социально-экономических эффектов реализации стратегии.</w:t>
      </w:r>
    </w:p>
    <w:p w:rsidR="00CF0324" w:rsidRDefault="00124A10">
      <w:pPr>
        <w:spacing w:line="276" w:lineRule="auto"/>
        <w:ind w:firstLine="708"/>
        <w:jc w:val="both"/>
      </w:pPr>
      <w:r>
        <w:t>Реализация основных положений Стратегии позволит повысить качество и уровень жизни населения, усилит конкурентоспособность экономики Кондинского района.</w:t>
      </w:r>
    </w:p>
    <w:p w:rsidR="00CF0324" w:rsidRDefault="00124A10">
      <w:pPr>
        <w:spacing w:line="276" w:lineRule="auto"/>
        <w:ind w:firstLine="708"/>
        <w:jc w:val="both"/>
      </w:pPr>
      <w:r>
        <w:lastRenderedPageBreak/>
        <w:t>По результатам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согласно распоряжению Правительства Ханты-Мансийского автономного округа – Югры от 31 июля 2023 года № 517-рп «О сводном докладе Ханты-Мансийского автономного округа – Югры о результатах мониторинга эффективности деятельности органов местного самоуправления городских округов и муниципальных районов Ханты-Мансийского автономного округа – Югры за 2022 год и распределении грантов городским округам и муниципальным районам Ханты-Мансийского автономного округа – Югры, достигшим наилучших значений показателей в своей деятельности» муниципальное образование Кондинский район по итогам работы за 2022 год заняло 10 место, получившего по результатам оценки 41 показателя, поднявшись с 12 места. По результатам оценки 14 показателей, для распределения грантов, Кондинский район занял 7 место среди 22 муниципальных образований Ханты-Мансийского автономного округа – Югры, уступив одну позицию к уровню 2021 года. Не смотря на положительную динамику социально-экономического развития Кондинского района в последние годы, существуют внутренние и внешние ограничения в дальнейшем поступательном развитии Кондинского района.</w:t>
      </w:r>
    </w:p>
    <w:p w:rsidR="00CF0324" w:rsidRDefault="00124A10">
      <w:pPr>
        <w:spacing w:line="276" w:lineRule="auto"/>
        <w:ind w:firstLine="708"/>
        <w:jc w:val="both"/>
      </w:pPr>
      <w:r>
        <w:t>По результатам выборочной оценки социально-экономического развития 9 муниципальных районов Ханты-Мансийского автономного округа – Югры Кондинский район в рейтинге занял 6 место по 21 показателю по направлениям: демография, промышленное производство, сельское хозяйство, транспорт, потребительский рынок, инвестиции, бюджет, рынок труда и занятость населения.</w:t>
      </w:r>
    </w:p>
    <w:p w:rsidR="00CF0324" w:rsidRDefault="00124A10">
      <w:pPr>
        <w:spacing w:line="276" w:lineRule="auto"/>
        <w:ind w:firstLine="708"/>
        <w:jc w:val="both"/>
      </w:pPr>
      <w:r>
        <w:t>По результатам выборочной оценки социально-экономического развития 7 муниципальных районов Уральского Федерального округа Кондинский район в рейтинге занял 2 место, уступив 1 место Уватскому району Тюменской области.</w:t>
      </w:r>
    </w:p>
    <w:p w:rsidR="00CF0324" w:rsidRDefault="00CF0324">
      <w:pPr>
        <w:spacing w:line="360" w:lineRule="auto"/>
        <w:jc w:val="both"/>
      </w:pPr>
    </w:p>
    <w:p w:rsidR="00CF0324" w:rsidRDefault="00CF0324">
      <w:pPr>
        <w:spacing w:line="360" w:lineRule="auto"/>
        <w:jc w:val="both"/>
        <w:sectPr w:rsidR="00CF0324">
          <w:pgSz w:w="11906" w:h="16838"/>
          <w:pgMar w:top="1134" w:right="851" w:bottom="1134" w:left="1701" w:header="709" w:footer="709" w:gutter="0"/>
          <w:cols w:space="708"/>
          <w:docGrid w:linePitch="360"/>
        </w:sectPr>
      </w:pPr>
    </w:p>
    <w:p w:rsidR="00CF0324" w:rsidRDefault="00124A10">
      <w:pPr>
        <w:pStyle w:val="afff1"/>
      </w:pPr>
      <w:bookmarkStart w:id="2" w:name="_Toc2"/>
      <w:r>
        <w:lastRenderedPageBreak/>
        <w:t>КОНДИНСКИЙ РАЙОН ХАНТЫ-МАНСИЙСКОГО АВТОНОМНОГО ОКРУГА-ЮГРЫ (КРАТКАЯ СПРАВКА)</w:t>
      </w:r>
      <w:bookmarkEnd w:id="2"/>
    </w:p>
    <w:p w:rsidR="00CF0324" w:rsidRDefault="00124A10">
      <w:pPr>
        <w:spacing w:line="276" w:lineRule="auto"/>
        <w:ind w:firstLine="708"/>
        <w:jc w:val="both"/>
        <w:rPr>
          <w:bCs/>
        </w:rPr>
      </w:pPr>
      <w:r>
        <w:rPr>
          <w:bCs/>
        </w:rPr>
        <w:t>Кондинский район расположен в юго-западной части Ханты-Мансийского автономного округа – Югры, на западе Западно-Сибирской равнины. На юго-востоке район граничит с Тобольским районом, на востоке – с Уватским, на северо-востоке и севере – с Ханты-Мансийским, Октябрьским и Советским районами, на западной границе – со Свердловской областью. Протяженность Кондинского района с севера на юг – 300 км, с запада на восток – 340 км. Площадь – 54,7 тыс. кв. км. Административный центр: пгт.Междуреченский.</w:t>
      </w:r>
    </w:p>
    <w:p w:rsidR="00CF0324" w:rsidRDefault="00124A10">
      <w:pPr>
        <w:spacing w:line="276" w:lineRule="auto"/>
        <w:ind w:firstLine="708"/>
        <w:jc w:val="both"/>
        <w:rPr>
          <w:bCs/>
        </w:rPr>
      </w:pPr>
      <w:r>
        <w:rPr>
          <w:bCs/>
        </w:rPr>
        <w:t>В границах Кондинского района находятся:</w:t>
      </w:r>
    </w:p>
    <w:p w:rsidR="00CF0324" w:rsidRDefault="00124A10">
      <w:pPr>
        <w:spacing w:line="276" w:lineRule="auto"/>
        <w:ind w:firstLine="708"/>
        <w:jc w:val="both"/>
        <w:rPr>
          <w:bCs/>
        </w:rPr>
      </w:pPr>
      <w:r>
        <w:rPr>
          <w:bCs/>
        </w:rPr>
        <w:t>территории городских поселений Кондинское (с четырьмя населенными пунктами: пгт. Кондинское, д. Никулкина, д. Старый Катыш, д. Ильичевка); Куминский; Луговой; Междуреченский; Мортка (с населенными пунктами: пгт. Мортка, д. Юмас, с. Ямки, д. Сотник);</w:t>
      </w:r>
    </w:p>
    <w:p w:rsidR="00CF0324" w:rsidRDefault="00124A10">
      <w:pPr>
        <w:spacing w:line="276" w:lineRule="auto"/>
        <w:ind w:firstLine="708"/>
        <w:jc w:val="both"/>
        <w:rPr>
          <w:bCs/>
        </w:rPr>
      </w:pPr>
      <w:r>
        <w:rPr>
          <w:bCs/>
        </w:rPr>
        <w:t>территории сельских поселений Болчары (с населенными пунктами:</w:t>
      </w:r>
      <w:r>
        <w:rPr>
          <w:bCs/>
        </w:rPr>
        <w:br w:type="textWrapping" w:clear="all"/>
        <w:t>с. Болчары, с. Алтай, д. Кама); Леуши (с населенными пунктами: с. Леуши, п.Лиственичный, п. Ягодный, п. Дальний); Мулымья (с населенными пунктами: п.Мулымья, п. Назарово, с. Чантырья, с. Шаим, д. Ушья, п. Супра; п. Половинка); Шугур (с населенными пунктами: д. Шугур, с. Карым);</w:t>
      </w:r>
    </w:p>
    <w:p w:rsidR="00CF0324" w:rsidRDefault="00124A10">
      <w:pPr>
        <w:spacing w:line="276" w:lineRule="auto"/>
        <w:ind w:firstLine="708"/>
        <w:jc w:val="both"/>
        <w:rPr>
          <w:bCs/>
        </w:rPr>
      </w:pPr>
      <w:r>
        <w:rPr>
          <w:bCs/>
        </w:rPr>
        <w:t>межселенные территории, находящиеся в пределах границ Кондинского района.</w:t>
      </w:r>
    </w:p>
    <w:p w:rsidR="00CF0324" w:rsidRDefault="00124A10">
      <w:pPr>
        <w:spacing w:line="276" w:lineRule="auto"/>
        <w:ind w:firstLine="708"/>
        <w:jc w:val="both"/>
        <w:rPr>
          <w:bCs/>
        </w:rPr>
      </w:pPr>
      <w:r>
        <w:rPr>
          <w:bCs/>
        </w:rPr>
        <w:t>Численность постоянного населения Кондинского района по состоянию на 01.01.2023 составила 30,5 тыс. чел. В районе проживает около 5 тыс. человек – представителей коренных малочисленных народов Севера (ханты, манси, ненцы). Большая их часть сосредоточена в пгт. Кондинское, д. Шугур, с. Карым, с. Алтай, д. Кама, с. Болчары, пгт. Луговой. Традиционными видами занятий коренных народов малочисленных Севера является рыболовство, промысловая охота, сбор дикоросов.</w:t>
      </w:r>
    </w:p>
    <w:p w:rsidR="00CF0324" w:rsidRDefault="00124A10">
      <w:pPr>
        <w:spacing w:line="276" w:lineRule="auto"/>
        <w:ind w:firstLine="708"/>
        <w:jc w:val="both"/>
        <w:rPr>
          <w:bCs/>
        </w:rPr>
      </w:pPr>
      <w:r>
        <w:rPr>
          <w:bCs/>
        </w:rPr>
        <w:t>Экономическая специализация района связана с добычей нефти, лесопереработкой и сельским хозяйством. Лесной государственный фонд на территории района находится в ведении трех лесхозов, в состав которых входят 11 лесничеств и 8 урочищ.</w:t>
      </w:r>
    </w:p>
    <w:p w:rsidR="00CF0324" w:rsidRDefault="00124A10">
      <w:pPr>
        <w:spacing w:line="276" w:lineRule="auto"/>
        <w:ind w:firstLine="708"/>
        <w:jc w:val="both"/>
        <w:rPr>
          <w:bCs/>
        </w:rPr>
      </w:pPr>
      <w:r>
        <w:rPr>
          <w:bCs/>
        </w:rPr>
        <w:t>Животный мир района многообразен и представлен многими видами охотничьих животных и птиц. Из млекопитающих наиболее ценными в хозяйственном отношении являются лось, норка, рыжая лисица, ондатра, выдра и белка. Район имеет высокий потенциал развития производств по переработке дикоросов. Запасы по бруснике и клюкве оцениваются в 9 тыс. тонн, по грибам – более 3 тыс. тонн в год. Возможные среднегодовые объемы сбора кедровых орехов составляют 1,7 тыс. тонн.</w:t>
      </w:r>
    </w:p>
    <w:p w:rsidR="00CF0324" w:rsidRDefault="00124A10">
      <w:pPr>
        <w:spacing w:line="276" w:lineRule="auto"/>
        <w:ind w:firstLine="709"/>
        <w:jc w:val="both"/>
        <w:rPr>
          <w:rFonts w:eastAsia="Calibri"/>
          <w:lang w:eastAsia="en-US"/>
        </w:rPr>
      </w:pPr>
      <w:r>
        <w:rPr>
          <w:rFonts w:eastAsia="Calibri"/>
          <w:lang w:eastAsia="en-US"/>
        </w:rPr>
        <w:t>Район обладает значительными запасами торфа. По материалам геологических служб в Кондинском районе и прилегающей территории в северной части выявлено 14 месторождений торфа с прогнозными запасами в 952,6 млн. тонн, при средней глубине залегания 2,33 м. В основном это месторождения верхового и переходного типа.</w:t>
      </w:r>
    </w:p>
    <w:p w:rsidR="00CF0324" w:rsidRDefault="00124A10">
      <w:pPr>
        <w:spacing w:line="276" w:lineRule="auto"/>
        <w:ind w:firstLine="709"/>
        <w:jc w:val="both"/>
        <w:rPr>
          <w:rFonts w:eastAsia="Calibri"/>
          <w:lang w:eastAsia="en-US"/>
        </w:rPr>
      </w:pPr>
      <w:r>
        <w:rPr>
          <w:rFonts w:eastAsia="Calibri"/>
          <w:lang w:eastAsia="en-US"/>
        </w:rPr>
        <w:t>Лесной государственный фонд на территории района находится в ведении двух территориальных отделов Департамента по недропользованию и природным ресурсам Ханты-Мансийского автономного округа – Югры: Кондинского и Урайского, в состав которых входят 14 участковых лесничеств.</w:t>
      </w:r>
    </w:p>
    <w:p w:rsidR="00CF0324" w:rsidRDefault="00124A10">
      <w:pPr>
        <w:spacing w:line="276" w:lineRule="auto"/>
        <w:ind w:firstLine="709"/>
        <w:jc w:val="both"/>
        <w:rPr>
          <w:rFonts w:eastAsia="Calibri"/>
          <w:lang w:eastAsia="en-US"/>
        </w:rPr>
      </w:pPr>
      <w:r>
        <w:rPr>
          <w:rFonts w:eastAsia="Calibri"/>
          <w:lang w:eastAsia="en-US"/>
        </w:rPr>
        <w:lastRenderedPageBreak/>
        <w:t>Возможный запас для эксплуатации – 898 667 тыс. куб. м. Расчетная лесосека, по данным Кондинского и Урайского территориальных отделов, позволяет вырубить в год 2270 тыс. куб. м. Основные лесообразующие породы: в Кондинском отделе – сосна 66%, ель 33% и береза 32%. в Урайском отделе – сосна 25% и береза 68%.</w:t>
      </w:r>
    </w:p>
    <w:p w:rsidR="00CF0324" w:rsidRDefault="00124A10">
      <w:pPr>
        <w:spacing w:line="276" w:lineRule="auto"/>
        <w:ind w:firstLine="708"/>
        <w:jc w:val="both"/>
      </w:pPr>
      <w:r>
        <w:rPr>
          <w:rFonts w:eastAsia="Calibri"/>
          <w:lang w:eastAsia="en-US"/>
        </w:rPr>
        <w:t xml:space="preserve">Земли водного фонда Кондинского района составляют 48,9 тыс. га. В северной и восточной части Кондинского района множество озер. Фонд рыбохозяйственных водоемов включает около 50 тысяч наименований озер и соров, более тысячи рек. Речная сеть территории района принадлежит бассейну Карского моря. Главная водная артерия – река Конда. Она пересекает район с северо-запада на восток, имеет множество притоков. Основные ее крупные притоки: Юконда, Большой Тап, Кума. Особенностью водосбора Конды является его исключительная заболоченность. На всей территории района Конда является типично равнинной рекой с небольшим уклоном. </w:t>
      </w:r>
      <w:r>
        <w:rPr>
          <w:bCs/>
        </w:rPr>
        <w:t>Старейшая хозяйственная отрасль Конды – рыбная промышленность. Ихтиофауна района представлена следующими основными видами: щука, язь, плотва, ерш, окунь, стерлядь, налим, карась, пелядь. В двух населенных пунктах – Междуреченский, Кондинский, – функционируют предприятия по переработке рыбы.</w:t>
      </w:r>
    </w:p>
    <w:p w:rsidR="00CF0324" w:rsidRDefault="00124A10">
      <w:pPr>
        <w:spacing w:line="276" w:lineRule="auto"/>
        <w:ind w:firstLine="708"/>
        <w:jc w:val="both"/>
        <w:rPr>
          <w:bCs/>
        </w:rPr>
      </w:pPr>
      <w:r>
        <w:rPr>
          <w:bCs/>
        </w:rPr>
        <w:t>Под сельскохозяйственные угодья отведено 8 565 га земли, из них</w:t>
      </w:r>
      <w:r>
        <w:rPr>
          <w:bCs/>
        </w:rPr>
        <w:br w:type="textWrapping" w:clear="all"/>
        <w:t>2 748 га – пашни, остальные угодья – сенокосы и пастбища. В районе имеются свободные земли, позволяющие увеличить посевные площади более чем в два раза.</w:t>
      </w:r>
    </w:p>
    <w:p w:rsidR="00CF0324" w:rsidRDefault="00124A10">
      <w:pPr>
        <w:spacing w:line="276" w:lineRule="auto"/>
        <w:ind w:firstLine="708"/>
        <w:jc w:val="both"/>
        <w:rPr>
          <w:bCs/>
        </w:rPr>
      </w:pPr>
      <w:r>
        <w:rPr>
          <w:bCs/>
        </w:rPr>
        <w:t>Протяженность судоходных водных путей составляет 498 км, протяженность автомобильных дорог с твердым покрытием 605 км, зимних дорог - 529 км. Существует постоянное автомобильное сообщение с Ханты-Мансийском, соседними районами и городами, железнодорожное сообщение Устье-Аха – Екатеринбург. В то же время, не все населенные пункты имеют возможность круглогодичного выхода на транспортную сеть Российской Федерации.</w:t>
      </w:r>
    </w:p>
    <w:p w:rsidR="00CF0324" w:rsidRDefault="00124A10">
      <w:pPr>
        <w:spacing w:line="276" w:lineRule="auto"/>
        <w:ind w:firstLine="708"/>
        <w:jc w:val="both"/>
        <w:rPr>
          <w:bCs/>
        </w:rPr>
      </w:pPr>
      <w:r>
        <w:rPr>
          <w:bCs/>
        </w:rPr>
        <w:t>Жилищно-коммунальные услуги в районе оказывают предприятия частной формы собственности. Тепловая энергия производится 30 котельными.</w:t>
      </w:r>
    </w:p>
    <w:p w:rsidR="00CF0324" w:rsidRDefault="00124A10">
      <w:pPr>
        <w:spacing w:line="276" w:lineRule="auto"/>
        <w:ind w:firstLine="708"/>
        <w:jc w:val="both"/>
        <w:rPr>
          <w:bCs/>
        </w:rPr>
      </w:pPr>
      <w:r>
        <w:rPr>
          <w:bCs/>
        </w:rPr>
        <w:t xml:space="preserve">Социальная сфера представлена учреждениями образования, здравоохранения, культуры, спорта и молодежной политики, социальной защиты населения. В настоящее время на территории Кондинского района действуют </w:t>
      </w:r>
      <w:r>
        <w:t>9 дошкольных образовательных учреждений; 15 общеобразовательных школ; 3 учреждения дополнительного образования детей – с учётом муниципального бюджетного учреждения дополнительного образования оздоровительно-образовательного (профильного) центра «Юбилейный».</w:t>
      </w:r>
    </w:p>
    <w:p w:rsidR="00CF0324" w:rsidRDefault="00124A10">
      <w:pPr>
        <w:spacing w:line="276" w:lineRule="auto"/>
        <w:ind w:firstLine="708"/>
        <w:jc w:val="both"/>
        <w:rPr>
          <w:bCs/>
        </w:rPr>
      </w:pPr>
      <w:r>
        <w:rPr>
          <w:bCs/>
        </w:rPr>
        <w:t>Медицинскую помощь населению оказывают амбулаторно-поликлинические учреждения и фельдшерско-акушерские пункты.</w:t>
      </w:r>
    </w:p>
    <w:p w:rsidR="00CF0324" w:rsidRDefault="00124A10">
      <w:pPr>
        <w:spacing w:line="276" w:lineRule="auto"/>
        <w:ind w:firstLine="708"/>
        <w:jc w:val="both"/>
        <w:rPr>
          <w:bCs/>
        </w:rPr>
      </w:pPr>
      <w:r>
        <w:rPr>
          <w:bCs/>
        </w:rPr>
        <w:t>В районе функционируют три спортивные школы, работают молодежные центры.</w:t>
      </w:r>
    </w:p>
    <w:p w:rsidR="00CF0324" w:rsidRDefault="00124A10">
      <w:pPr>
        <w:spacing w:line="276" w:lineRule="auto"/>
        <w:ind w:firstLine="708"/>
        <w:jc w:val="both"/>
        <w:rPr>
          <w:bCs/>
        </w:rPr>
      </w:pPr>
      <w:r>
        <w:rPr>
          <w:bCs/>
        </w:rPr>
        <w:t>Со своими экспозициями знакомят посетителей Кондинский краеведческий и Учинский этнографический музеи. Культурными центрами стали районный дворец культуры и искусств в пгт. Междуреченский и центр культуры в с. Болчары. Во всех поселениях района работают культурные комплексы (клуб, библиотека).</w:t>
      </w:r>
    </w:p>
    <w:p w:rsidR="00CF0324" w:rsidRDefault="00124A10">
      <w:pPr>
        <w:spacing w:line="276" w:lineRule="auto"/>
        <w:ind w:firstLine="708"/>
        <w:jc w:val="both"/>
        <w:rPr>
          <w:bCs/>
        </w:rPr>
      </w:pPr>
      <w:r>
        <w:rPr>
          <w:bCs/>
        </w:rPr>
        <w:t>На территории района осуществляет свою деятельность бюджетное учреждение Ханты-Мансийского автономного округа – Югры «Кондинский районный комплексный центр социального обслуживания населения», имеющее отделения в поселках Междуреченский, Кондинский и Мулымья.</w:t>
      </w:r>
    </w:p>
    <w:p w:rsidR="00CF0324" w:rsidRDefault="00124A10">
      <w:pPr>
        <w:spacing w:line="276" w:lineRule="auto"/>
        <w:ind w:firstLine="708"/>
        <w:jc w:val="both"/>
        <w:rPr>
          <w:bCs/>
        </w:rPr>
      </w:pPr>
      <w:r>
        <w:rPr>
          <w:bCs/>
        </w:rPr>
        <w:lastRenderedPageBreak/>
        <w:t>Орган представительной власти муниципального образования Кондинский район Ханты-Мансийского автономного округа – Югры – Дума Кондинского района, состоящая из 20 депутатов. Орган исполнительной власти – администрация Кондинского района.</w:t>
      </w:r>
    </w:p>
    <w:p w:rsidR="00CF0324" w:rsidRDefault="00124A10">
      <w:pPr>
        <w:spacing w:line="276" w:lineRule="auto"/>
        <w:ind w:firstLine="708"/>
        <w:jc w:val="both"/>
        <w:rPr>
          <w:bCs/>
        </w:rPr>
      </w:pPr>
      <w:r>
        <w:rPr>
          <w:bCs/>
        </w:rPr>
        <w:t>Официальный сайт органов местного самоуправления муниципального образования Кондинский район: http://www.admkonda.ru</w:t>
      </w:r>
    </w:p>
    <w:p w:rsidR="00CF0324" w:rsidRDefault="00CF0324">
      <w:pPr>
        <w:spacing w:line="360" w:lineRule="auto"/>
        <w:jc w:val="both"/>
        <w:sectPr w:rsidR="00CF0324">
          <w:pgSz w:w="11906" w:h="16838"/>
          <w:pgMar w:top="1134" w:right="851" w:bottom="1134" w:left="1701" w:header="709" w:footer="709" w:gutter="0"/>
          <w:cols w:space="708"/>
          <w:docGrid w:linePitch="360"/>
        </w:sectPr>
      </w:pPr>
    </w:p>
    <w:p w:rsidR="00CF0324" w:rsidRDefault="00124A10">
      <w:pPr>
        <w:pStyle w:val="afff1"/>
      </w:pPr>
      <w:bookmarkStart w:id="3" w:name="_Toc3"/>
      <w:r>
        <w:lastRenderedPageBreak/>
        <w:t>РАЗДЕЛ 1. АНАЛИЗ СОЦИАЛЬНО-ЭКОНОМИЧЕСКОГО РАЗВИТИЯ МУНИЦИПАЛЬНОГО ОБРАЗОВАНИЯ КОНДИНСКИЙ РАЙОН</w:t>
      </w:r>
      <w:r>
        <w:br w:type="textWrapping" w:clear="all"/>
      </w:r>
      <w:r>
        <w:rPr>
          <w:bCs/>
        </w:rPr>
        <w:t xml:space="preserve">ХАНТЫ-МАНСИЙСКОГО АВТОНОМНОГО ОКРУГА – ЮГРЫ </w:t>
      </w:r>
      <w:r>
        <w:t>В 2016-2022 ГОДЫ</w:t>
      </w:r>
      <w:bookmarkEnd w:id="3"/>
    </w:p>
    <w:p w:rsidR="00CF0324" w:rsidRDefault="00124A10">
      <w:pPr>
        <w:pStyle w:val="2"/>
        <w:spacing w:before="240" w:after="240"/>
        <w:jc w:val="left"/>
        <w:rPr>
          <w:b w:val="0"/>
          <w:i/>
          <w:sz w:val="24"/>
          <w:lang w:val="ru-RU"/>
        </w:rPr>
      </w:pPr>
      <w:bookmarkStart w:id="4" w:name="_Toc4"/>
      <w:r w:rsidRPr="00124A10">
        <w:rPr>
          <w:b w:val="0"/>
          <w:i/>
          <w:sz w:val="24"/>
          <w:lang w:val="ru-RU"/>
        </w:rPr>
        <w:t xml:space="preserve">1.1. Демографическая ситуация и </w:t>
      </w:r>
      <w:r>
        <w:rPr>
          <w:b w:val="0"/>
          <w:i/>
          <w:sz w:val="24"/>
          <w:lang w:val="ru-RU"/>
        </w:rPr>
        <w:t>уровень жизни</w:t>
      </w:r>
      <w:bookmarkEnd w:id="4"/>
    </w:p>
    <w:p w:rsidR="00CF0324" w:rsidRDefault="00124A10">
      <w:pPr>
        <w:spacing w:line="276" w:lineRule="auto"/>
        <w:ind w:firstLine="708"/>
        <w:jc w:val="both"/>
      </w:pPr>
      <w:r>
        <w:t>Численность постоянного населения Кондинского района по состоянию на 01 января 2023 года составила 30,5 тыс. чел., 1,8% от численности населения Ханты-Мансийского автономного округа – Югры. За последние семь лет численность населения района продолжила тенденцию снижения и уменьшилась на 3,5% (рисунок 1.1.)</w:t>
      </w:r>
    </w:p>
    <w:p w:rsidR="00CF0324" w:rsidRDefault="00BA49AD">
      <w:pPr>
        <w:spacing w:line="276" w:lineRule="auto"/>
        <w:jc w:val="both"/>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3" name="AutoShap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3E37"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xHIwIAAEg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&#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YWIsRy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5791200" cy="1791970"/>
            <wp:effectExtent l="0" t="0" r="0" b="0"/>
            <wp:docPr id="18"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1791970"/>
                    </a:xfrm>
                    <a:prstGeom prst="rect">
                      <a:avLst/>
                    </a:prstGeom>
                    <a:noFill/>
                    <a:ln>
                      <a:noFill/>
                    </a:ln>
                  </pic:spPr>
                </pic:pic>
              </a:graphicData>
            </a:graphic>
          </wp:inline>
        </w:drawing>
      </w:r>
    </w:p>
    <w:p w:rsidR="00CF0324" w:rsidRDefault="00124A10">
      <w:pPr>
        <w:spacing w:before="240" w:line="276" w:lineRule="auto"/>
        <w:jc w:val="center"/>
      </w:pPr>
      <w:r>
        <w:t>Рисунок 1.1 Динамика численности постоянного населения</w:t>
      </w:r>
    </w:p>
    <w:p w:rsidR="00CF0324" w:rsidRDefault="00124A10">
      <w:pPr>
        <w:spacing w:after="240" w:line="276" w:lineRule="auto"/>
        <w:jc w:val="center"/>
      </w:pPr>
      <w:r>
        <w:t>Кондинского района на начало года, тыс. чел.</w:t>
      </w:r>
    </w:p>
    <w:p w:rsidR="00CF0324" w:rsidRDefault="00124A10">
      <w:pPr>
        <w:spacing w:line="276" w:lineRule="auto"/>
        <w:ind w:firstLine="708"/>
        <w:jc w:val="both"/>
      </w:pPr>
      <w:r>
        <w:t>Основная доля населения Кондинского района (68%) проживает в поселках городского типа, из них 36% проживают в пгт. Междуреченский. В последние годы в поселениях района наблюдается естественная убыль населения, как и в целом по Российской Федерации. В 2022 году количество родившихся младенцев снизилось к уровню 2016 на 43,8%, а численность умерших увеличилась на 6,5% (таблица 1.1). Показатель фертильности снизился на 39,7% за последние семь лет, что обусловлено как снижением женщин в детородном возрасте, так и снижением рождений. Средний возраст умерших в районе увеличился на 0,8% и составил 65,5 лет. Средняя продолжительность жизни населения Кондинского района на 4,6 года ниже, чем в целом по Российской Федерации (70,1 лет) и на 6,5 лет ниже, чем в среднем по Ханты - Мансийскому автономному округу – Югре (72 года)</w:t>
      </w:r>
      <w:r>
        <w:rPr>
          <w:rStyle w:val="16"/>
        </w:rPr>
        <w:footnoteReference w:id="1"/>
      </w:r>
      <w:r>
        <w:t>.</w:t>
      </w:r>
    </w:p>
    <w:p w:rsidR="00CF0324" w:rsidRDefault="00124A10">
      <w:pPr>
        <w:spacing w:line="276" w:lineRule="auto"/>
        <w:jc w:val="right"/>
      </w:pPr>
      <w:r>
        <w:t>Таблица 1.1</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1.1 - Демографическая ситуация, в том числе: динамика выполнения целевых показателей развития демографии Стратегии социально-экономического развития Кондинского района Ханты - Мансийского автономного округа – Югры на период до 2030 года</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714"/>
        <w:gridCol w:w="755"/>
        <w:gridCol w:w="750"/>
        <w:gridCol w:w="750"/>
        <w:gridCol w:w="759"/>
        <w:gridCol w:w="826"/>
        <w:gridCol w:w="878"/>
        <w:gridCol w:w="855"/>
        <w:gridCol w:w="763"/>
      </w:tblGrid>
      <w:tr w:rsidR="00CF0324">
        <w:tc>
          <w:tcPr>
            <w:tcW w:w="2520"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432"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520"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82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878"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0"/>
                <w:szCs w:val="20"/>
                <w:lang w:eastAsia="en-US"/>
              </w:rPr>
              <w:lastRenderedPageBreak/>
              <w:t>1.Численность населения (среднегодовая), тыс.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4"/>
                <w:szCs w:val="24"/>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31,62</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31,63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31,68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31,75</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31,82</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31,82</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31,82</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101</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4"/>
                <w:szCs w:val="24"/>
                <w:lang w:eastAsia="en-US"/>
              </w:rPr>
            </w:pPr>
            <w:r>
              <w:rPr>
                <w:rFonts w:ascii="Times New Roman" w:eastAsia="Times New Roman" w:hAnsi="Times New Roman" w:cs="Times New Roman"/>
                <w:b/>
                <w:i/>
                <w:color w:val="92D050"/>
                <w:sz w:val="20"/>
                <w:szCs w:val="20"/>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31,44</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31,12</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30,88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30,77</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30,67</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30,45</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30,59</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100,5</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97,3</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2.Численность родившихся,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473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347</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357</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326</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315</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301</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266</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88,4</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56,2</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cs="Times New Roman"/>
                <w:sz w:val="20"/>
                <w:szCs w:val="20"/>
              </w:rPr>
              <w:t xml:space="preserve"> Число умерших,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400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366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416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370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405</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493</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426</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86,4</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106,5</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4.Естественный прирост населения,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4"/>
                <w:szCs w:val="24"/>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71</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80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82</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105</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105</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105</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147,9</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+73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-59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-44</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-90</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-192</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-160</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83,3</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-219,2</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sz w:val="20"/>
                <w:szCs w:val="20"/>
              </w:rPr>
              <w:t>5.Показатель фертильности (среднее число детей на женщину детородного возраста) Кондинский район</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0,068</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0,051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0,053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0,049</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0,047</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0,045</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0,041</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91,1</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60,3</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6.Общий коэффициент рождаемости (число родившихся на 1000 населения):</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11,2</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10,3</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9,9</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87,9</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58,0</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7.Смертность от всех причин (число умерших на 1000 населения), человек:</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12,7</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13,2</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16,2</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13,9</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85,8</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109,4</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8.Ожидаемая продолжительность жизни при рождении (число лет)</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65</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67,5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66,5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69,0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69,0</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68,0</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eastAsia="en-US"/>
              </w:rPr>
              <w:t>65,5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96,3</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100,8</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9.Миграционный прирост (убыль) населения,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-449</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-100</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-43</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4,4</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46,5</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10.Число браков</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162</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152</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144</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145</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117</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185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158</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114</w:t>
            </w:r>
          </w:p>
        </w:tc>
      </w:tr>
      <w:tr w:rsidR="00CF0324">
        <w:tc>
          <w:tcPr>
            <w:tcW w:w="252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11.Число разводов</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146</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115</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142</w:t>
            </w:r>
          </w:p>
        </w:tc>
        <w:tc>
          <w:tcPr>
            <w:tcW w:w="87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102</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89</w:t>
            </w:r>
          </w:p>
        </w:tc>
      </w:tr>
    </w:tbl>
    <w:p w:rsidR="00CF0324" w:rsidRDefault="00124A10">
      <w:pPr>
        <w:spacing w:before="240" w:line="276" w:lineRule="auto"/>
        <w:ind w:firstLine="708"/>
        <w:jc w:val="both"/>
      </w:pPr>
      <w:r>
        <w:t>Миграционное движение по Кондинскому району в 2022 году имеет отрицательное сальдо. Основной поток внутрирайонной миграции направлен в пгт. Междуреченский и пгт. Мортка. Внутри района ежедневно проходит трудовая миграция населения по основным направлениям «Мортка – Междуреченский – Мортка», «Междуреченский – Леуши».</w:t>
      </w:r>
    </w:p>
    <w:p w:rsidR="00CF0324" w:rsidRDefault="00124A10">
      <w:pPr>
        <w:pStyle w:val="1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 возрастной структуре населения Кондинского района доля детей (0-14 лет) выше среднероссийского значения на 3 процентных пункта, что свидетельствует о позитивной динамике рождений и положительной тенденции к улучшению возрастной структуры района, тем не менее, возрастная структура района относится к регрессивному типу населения: доля детей меньше доли прародителей, что грозит сокращением численности населения в будущем (рисунок 1.2.).</w:t>
      </w:r>
    </w:p>
    <w:tbl>
      <w:tblPr>
        <w:tblW w:w="9570" w:type="dxa"/>
        <w:tblLook w:val="04A0" w:firstRow="1" w:lastRow="0" w:firstColumn="1" w:lastColumn="0" w:noHBand="0" w:noVBand="1"/>
      </w:tblPr>
      <w:tblGrid>
        <w:gridCol w:w="4785"/>
        <w:gridCol w:w="4785"/>
      </w:tblGrid>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E36C0A"/>
              </w:rPr>
            </w:pPr>
            <w:r>
              <w:rPr>
                <w:b/>
                <w:i/>
                <w:color w:val="E36C0A"/>
              </w:rPr>
              <w:t>Возрастная структура населения 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0070C0"/>
              </w:rPr>
            </w:pPr>
            <w:r>
              <w:rPr>
                <w:b/>
                <w:i/>
                <w:color w:val="0070C0"/>
              </w:rPr>
              <w:t>Возрастная структура населения Кондинского района,%</w:t>
            </w:r>
          </w:p>
        </w:tc>
      </w:tr>
      <w:tr w:rsidR="00CF0324">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2" name="AutoShape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40A6"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xgIwIAAEg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mzFnTrTU&#10;o/tdhJyajWecNUYpnXqbtOp8KOnK2j9jqjb4R5DfAnOw1pa0TqfIWTbCbfU9InSNForo5svFi9vJ&#10;CYTDNt0nUJRWUNqs4aHGNqGTOuyQW3W8tEofIpO0eXszHQ6poZJCJ5voFaI8X/YY4gcNLUtGxZHY&#10;ZXCxfwyxP3o+kisBa9TKWJsd3G6WFtle0NSs8peKJ/Rwfcw61lV8Nh1PM/KLWLiGIKaJ7F8gEHZO&#10;0b4ok1DvT3YUxvY2pbSOMp/F6juwAXUk4RD6cabnR0YD+IOzjka54uH7TqDmzH50JP5s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EEsYC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2752725" cy="182880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1" name="AutoShape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6DFE"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ZwIwIAAEg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gUzGcC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2752725" cy="182880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r>
    </w:tbl>
    <w:p w:rsidR="00CF0324" w:rsidRDefault="00124A10">
      <w:pPr>
        <w:spacing w:before="240" w:line="276" w:lineRule="auto"/>
        <w:jc w:val="center"/>
      </w:pPr>
      <w:r>
        <w:t>Рисунок 1.2 Возрастная структура населения за 2022 год,%</w:t>
      </w:r>
    </w:p>
    <w:p w:rsidR="00CF0324" w:rsidRDefault="00124A10">
      <w:pPr>
        <w:pStyle w:val="1b"/>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Доля женщин в общей численности населения составляет 52% (таблица 1.2.), чем старше возрастная группа, тем выше доля женского населения района, так в возрастной группе 50 и старше доля женщин составляет уже 59%, что свидетельствует о сформировавшейся тенденции половой диспропорции.</w:t>
      </w:r>
    </w:p>
    <w:p w:rsidR="00CF0324" w:rsidRDefault="00124A10">
      <w:pPr>
        <w:pStyle w:val="1b"/>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1.2 - Возрастная структура населения по состоянию на 01.01.2022</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134"/>
        <w:gridCol w:w="759"/>
        <w:gridCol w:w="1225"/>
        <w:gridCol w:w="851"/>
        <w:gridCol w:w="1134"/>
        <w:gridCol w:w="850"/>
      </w:tblGrid>
      <w:tr w:rsidR="00CF0324">
        <w:tc>
          <w:tcPr>
            <w:tcW w:w="3227"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Возрастные группы, лет</w:t>
            </w:r>
          </w:p>
        </w:tc>
        <w:tc>
          <w:tcPr>
            <w:tcW w:w="1893"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Всего</w:t>
            </w:r>
          </w:p>
        </w:tc>
        <w:tc>
          <w:tcPr>
            <w:tcW w:w="2076"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Женщины</w:t>
            </w:r>
          </w:p>
        </w:tc>
        <w:tc>
          <w:tcPr>
            <w:tcW w:w="1984"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Мужчины</w:t>
            </w:r>
          </w:p>
        </w:tc>
      </w:tr>
      <w:tr w:rsidR="00CF0324">
        <w:tc>
          <w:tcPr>
            <w:tcW w:w="3227"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22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r>
      <w:tr w:rsidR="00CF0324">
        <w:tc>
          <w:tcPr>
            <w:tcW w:w="322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0-14 (дети)</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6503</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122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3133</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3370</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23</w:t>
            </w:r>
          </w:p>
        </w:tc>
      </w:tr>
      <w:tr w:rsidR="00CF0324">
        <w:trPr>
          <w:trHeight w:val="54"/>
        </w:trPr>
        <w:tc>
          <w:tcPr>
            <w:tcW w:w="322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15-49 (родители)</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13464</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45</w:t>
            </w:r>
          </w:p>
        </w:tc>
        <w:tc>
          <w:tcPr>
            <w:tcW w:w="122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6572</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41</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6892</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48</w:t>
            </w:r>
          </w:p>
        </w:tc>
      </w:tr>
      <w:tr w:rsidR="00CF0324">
        <w:tc>
          <w:tcPr>
            <w:tcW w:w="322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50 и старше (прародители)</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10368</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34</w:t>
            </w:r>
          </w:p>
        </w:tc>
        <w:tc>
          <w:tcPr>
            <w:tcW w:w="122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6160</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39</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4208</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r>
      <w:tr w:rsidR="00CF0324">
        <w:tc>
          <w:tcPr>
            <w:tcW w:w="322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Итого</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30335</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100</w:t>
            </w:r>
          </w:p>
        </w:tc>
        <w:tc>
          <w:tcPr>
            <w:tcW w:w="122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15865</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52</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14470</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48</w:t>
            </w:r>
          </w:p>
        </w:tc>
      </w:tr>
    </w:tbl>
    <w:p w:rsidR="00CF0324" w:rsidRDefault="00124A10">
      <w:pPr>
        <w:pStyle w:val="1b"/>
        <w:spacing w:before="24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Сравнительный анализ демографических показателей семейственности населения Кондинского района со среднероссийскими показателями свидетельствует о негативной ситуации традиционных ценностей в местном сообществе. Количество заключенных браков на тысячу населения ниже среднероссийских показателей, а количество разводов на тысячу населения выше, что повлияло на рождаемость в районе (таблица 1.3.).</w:t>
      </w:r>
    </w:p>
    <w:p w:rsidR="00CF0324" w:rsidRDefault="00124A10">
      <w:pPr>
        <w:pStyle w:val="1b"/>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1.3 - Данные для оценки уровня демографических показателей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268"/>
        <w:gridCol w:w="1701"/>
        <w:gridCol w:w="1949"/>
      </w:tblGrid>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Показатели</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Численность родившихся на 1000 чел. городского населения</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Браки на 1000 чел. населения</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Разводы на 1000 чел. населения</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2016</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15,0</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5,2</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5,2</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12,9</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6,7</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4,1</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2017</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11,2</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4,9</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5,2</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11,5</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7,1</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4,2</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2018</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11,6</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4,9</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5,1</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12,5</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6,1</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4,0</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2019</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10,6</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4,7</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4,7</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10,1</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6,5</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4,2</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2020</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lastRenderedPageBreak/>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10,3</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4,7</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3,8</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9,8</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5,3</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3,9</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2021</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9,9</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3,8</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4,7</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9,6</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6,3</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4,4</w:t>
            </w:r>
          </w:p>
        </w:tc>
      </w:tr>
      <w:tr w:rsidR="00CF0324">
        <w:tc>
          <w:tcPr>
            <w:tcW w:w="9287" w:type="dxa"/>
            <w:gridSpan w:val="4"/>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2022</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Кондинский район</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8,7</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6,0</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4,7</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Россия</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c>
          <w:tcPr>
            <w:tcW w:w="170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7,2</w:t>
            </w:r>
          </w:p>
        </w:tc>
        <w:tc>
          <w:tcPr>
            <w:tcW w:w="19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w:t>
            </w:r>
          </w:p>
        </w:tc>
      </w:tr>
    </w:tbl>
    <w:p w:rsidR="00CF0324" w:rsidRDefault="00124A10">
      <w:pPr>
        <w:spacing w:before="240" w:line="276" w:lineRule="auto"/>
        <w:ind w:firstLine="708"/>
        <w:jc w:val="both"/>
      </w:pPr>
      <w:r>
        <w:t>Коренные малочисленные народы Севера, проживающие на территории Кондинского района, составляют более 15% от общей численности постоянного населения района:</w:t>
      </w:r>
    </w:p>
    <w:tbl>
      <w:tblPr>
        <w:tblW w:w="9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992"/>
        <w:gridCol w:w="851"/>
        <w:gridCol w:w="992"/>
        <w:gridCol w:w="850"/>
        <w:gridCol w:w="851"/>
        <w:gridCol w:w="1026"/>
      </w:tblGrid>
      <w:tr w:rsidR="00CF0324">
        <w:tc>
          <w:tcPr>
            <w:tcW w:w="3686"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Годы</w:t>
            </w:r>
          </w:p>
        </w:tc>
        <w:tc>
          <w:tcPr>
            <w:tcW w:w="1843"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Всего</w:t>
            </w:r>
          </w:p>
        </w:tc>
        <w:tc>
          <w:tcPr>
            <w:tcW w:w="1842"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Ханты</w:t>
            </w:r>
          </w:p>
        </w:tc>
        <w:tc>
          <w:tcPr>
            <w:tcW w:w="1877"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Манси</w:t>
            </w:r>
          </w:p>
        </w:tc>
      </w:tr>
      <w:tr w:rsidR="00CF0324">
        <w:tc>
          <w:tcPr>
            <w:tcW w:w="3686"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102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r>
      <w:tr w:rsidR="00CF0324">
        <w:tc>
          <w:tcPr>
            <w:tcW w:w="368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2021 </w:t>
            </w:r>
            <w:r>
              <w:rPr>
                <w:rFonts w:ascii="Times New Roman" w:eastAsia="Times New Roman" w:hAnsi="Times New Roman" w:cs="Times New Roman"/>
                <w:i/>
                <w:sz w:val="16"/>
                <w:szCs w:val="16"/>
                <w:lang w:eastAsia="en-US"/>
              </w:rPr>
              <w:t>(по данным переписи 2020 года)</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4732</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1251</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26,4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3481</w:t>
            </w:r>
          </w:p>
        </w:tc>
        <w:tc>
          <w:tcPr>
            <w:tcW w:w="102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73,6</w:t>
            </w:r>
          </w:p>
        </w:tc>
      </w:tr>
      <w:tr w:rsidR="00CF0324">
        <w:trPr>
          <w:trHeight w:val="54"/>
        </w:trPr>
        <w:tc>
          <w:tcPr>
            <w:tcW w:w="368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2018 </w:t>
            </w:r>
            <w:r>
              <w:rPr>
                <w:rFonts w:ascii="Times New Roman" w:eastAsia="Times New Roman" w:hAnsi="Times New Roman" w:cs="Times New Roman"/>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4784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781</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16,3</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4003</w:t>
            </w:r>
          </w:p>
        </w:tc>
        <w:tc>
          <w:tcPr>
            <w:tcW w:w="102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83,7</w:t>
            </w:r>
          </w:p>
        </w:tc>
      </w:tr>
      <w:tr w:rsidR="00CF0324">
        <w:tc>
          <w:tcPr>
            <w:tcW w:w="368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2017 </w:t>
            </w:r>
            <w:r>
              <w:rPr>
                <w:rFonts w:ascii="Times New Roman" w:eastAsia="Times New Roman" w:hAnsi="Times New Roman" w:cs="Times New Roman"/>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4709</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1200</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25,5</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3509</w:t>
            </w:r>
          </w:p>
        </w:tc>
        <w:tc>
          <w:tcPr>
            <w:tcW w:w="102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74,5</w:t>
            </w:r>
          </w:p>
        </w:tc>
      </w:tr>
      <w:tr w:rsidR="00CF0324">
        <w:tc>
          <w:tcPr>
            <w:tcW w:w="368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2016 </w:t>
            </w:r>
            <w:r>
              <w:rPr>
                <w:rFonts w:ascii="Times New Roman" w:eastAsia="Times New Roman" w:hAnsi="Times New Roman" w:cs="Times New Roman"/>
                <w:i/>
                <w:sz w:val="16"/>
                <w:szCs w:val="16"/>
                <w:lang w:eastAsia="en-US"/>
              </w:rPr>
              <w:t>(по сведениям медицинских организаций автономного округа)</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4949</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99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1355</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27,4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3594</w:t>
            </w:r>
          </w:p>
        </w:tc>
        <w:tc>
          <w:tcPr>
            <w:tcW w:w="102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72,6</w:t>
            </w:r>
          </w:p>
        </w:tc>
      </w:tr>
    </w:tbl>
    <w:p w:rsidR="00CF0324" w:rsidRDefault="00124A10">
      <w:pPr>
        <w:spacing w:before="240" w:line="276" w:lineRule="auto"/>
        <w:ind w:firstLine="708"/>
        <w:jc w:val="both"/>
      </w:pPr>
      <w:r>
        <w:t>Трудовая структура населения Кондинского района в последние годы не изменилась с 2016 года, так доля населения моложе трудоспособного возраста составляет 23% - это на 1 процентный пункт выше доли старше трудоспособного населения, а общая доля трудоспособного населения на 5% выше, чем общая доля нетрудоспособного населения (рисунок 1.3). В районе доля граждан старше трудоспособного возраста составляет 22%, что кратно выше средне окружного значения (6%), но ниже среднероссийского значения на 2 процентных пункта. Численность населения трудоспособного возраста за последние семь лет стабилизировалась, демографическая нагрузка на трудоспособное население не увеличилась.</w:t>
      </w:r>
    </w:p>
    <w:p w:rsidR="00CF0324" w:rsidRDefault="00CF0324">
      <w:pPr>
        <w:spacing w:line="276" w:lineRule="auto"/>
        <w:ind w:firstLine="708"/>
        <w:jc w:val="both"/>
      </w:pPr>
    </w:p>
    <w:tbl>
      <w:tblPr>
        <w:tblW w:w="9570" w:type="dxa"/>
        <w:tblLook w:val="04A0" w:firstRow="1" w:lastRow="0" w:firstColumn="1" w:lastColumn="0" w:noHBand="0" w:noVBand="1"/>
      </w:tblPr>
      <w:tblGrid>
        <w:gridCol w:w="4785"/>
        <w:gridCol w:w="4785"/>
      </w:tblGrid>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E36C0A"/>
              </w:rPr>
            </w:pPr>
            <w:r>
              <w:rPr>
                <w:b/>
                <w:i/>
                <w:color w:val="E36C0A"/>
              </w:rPr>
              <w:t>Структура населения 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0070C0"/>
              </w:rPr>
            </w:pPr>
            <w:r>
              <w:rPr>
                <w:b/>
                <w:i/>
                <w:color w:val="0070C0"/>
              </w:rPr>
              <w:t>Структура населения Кондинского района,%</w:t>
            </w:r>
          </w:p>
        </w:tc>
      </w:tr>
      <w:tr w:rsidR="00CF0324">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0" name="AutoShape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E588" id="AutoShape 2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&#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1HCdbSACAABIBAAADgAAAAAAAAAAAAAAAAAuAgAAZHJzL2Uyb0RvYy54bWxQSwECLQAU&#10;AAYACAAAACEA640e+9gAAAAFAQAADwAAAAAAAAAAAAAAAAB6BAAAZHJzL2Rvd25yZXYueG1sUEsF&#10;BgAAAAAEAAQA8wAAAH8FAAAAAA==&#10;">
                      <v:stroke joinstyle="round"/>
                      <o:lock v:ext="edit" selection="t"/>
                    </v:rect>
                  </w:pict>
                </mc:Fallback>
              </mc:AlternateContent>
            </w:r>
            <w:r>
              <w:rPr>
                <w:noProof/>
              </w:rPr>
              <w:drawing>
                <wp:inline distT="0" distB="0" distL="0" distR="0">
                  <wp:extent cx="2752725"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9"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77D67" id="AutoShape 2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X1IwIAAEg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9m+19S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2752725" cy="1828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r>
    </w:tbl>
    <w:p w:rsidR="00CF0324" w:rsidRDefault="00124A10">
      <w:pPr>
        <w:spacing w:line="276" w:lineRule="auto"/>
        <w:jc w:val="center"/>
      </w:pPr>
      <w:r>
        <w:t>Рисунок 1.3. Трудовая структура населения за 2022 год,%</w:t>
      </w:r>
    </w:p>
    <w:p w:rsidR="00CF0324" w:rsidRDefault="00124A10">
      <w:pPr>
        <w:spacing w:before="240" w:line="276" w:lineRule="auto"/>
        <w:ind w:firstLine="708"/>
        <w:jc w:val="both"/>
      </w:pPr>
      <w:r>
        <w:t xml:space="preserve">Коэффициент демографической нагрузки в Кондинском районе на 25% выше среднероссийского значения 328 детей на 1000 трудоспособного населения, а коэффициент трудовой нагрузки на 6% ниже среднероссийского значения 421 пенсионер </w:t>
      </w:r>
      <w:r>
        <w:lastRenderedPageBreak/>
        <w:t>на 1000 трудоспособного населения, что свидетельствует о более благоприятной демографической ситуации (таблица 1.4.).</w:t>
      </w:r>
    </w:p>
    <w:p w:rsidR="00CF0324" w:rsidRDefault="00124A10">
      <w:pPr>
        <w:pStyle w:val="1b"/>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1.4 - Трудовая структура населения по состоянию на 01.01.2022</w:t>
      </w:r>
    </w:p>
    <w:tbl>
      <w:tblPr>
        <w:tblW w:w="92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3"/>
        <w:gridCol w:w="991"/>
        <w:gridCol w:w="851"/>
        <w:gridCol w:w="852"/>
        <w:gridCol w:w="847"/>
        <w:gridCol w:w="994"/>
        <w:gridCol w:w="1044"/>
      </w:tblGrid>
      <w:tr w:rsidR="00CF0324">
        <w:tc>
          <w:tcPr>
            <w:tcW w:w="3653"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Возрастные группы</w:t>
            </w:r>
          </w:p>
        </w:tc>
        <w:tc>
          <w:tcPr>
            <w:tcW w:w="1842"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Всего</w:t>
            </w:r>
          </w:p>
        </w:tc>
        <w:tc>
          <w:tcPr>
            <w:tcW w:w="1699"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lang w:eastAsia="en-US"/>
              </w:rPr>
              <w:t>Женщины</w:t>
            </w:r>
          </w:p>
        </w:tc>
        <w:tc>
          <w:tcPr>
            <w:tcW w:w="2038"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lang w:eastAsia="en-US"/>
              </w:rPr>
              <w:t>Мужчины</w:t>
            </w:r>
          </w:p>
        </w:tc>
      </w:tr>
      <w:tr w:rsidR="00CF0324">
        <w:tc>
          <w:tcPr>
            <w:tcW w:w="3653"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2"/>
                <w:szCs w:val="22"/>
                <w:lang w:eastAsia="en-US"/>
              </w:rPr>
            </w:pP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чел.</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Всего, </w:t>
            </w:r>
          </w:p>
          <w:p w:rsidR="00CF0324" w:rsidRDefault="00124A10">
            <w:pPr>
              <w:pStyle w:val="1b"/>
              <w:widowControl w:val="0"/>
              <w:spacing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в том числе:</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30335</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100</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15865</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52</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14470</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48</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моложе 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6909</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23</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3312</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3597</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16797</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55</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7789</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49</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9008</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62</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старше трудоспособного возраста</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6629</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4764</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1865</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i/>
                <w:color w:val="000000"/>
                <w:lang w:eastAsia="en-US"/>
              </w:rPr>
            </w:pPr>
            <w:r>
              <w:rPr>
                <w:rFonts w:ascii="Times New Roman" w:eastAsia="Times New Roman" w:hAnsi="Times New Roman" w:cs="Times New Roman"/>
                <w:i/>
                <w:color w:val="000000"/>
                <w:lang w:eastAsia="en-US"/>
              </w:rPr>
              <w:t>коэффициент демографической нагрузки</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411</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r>
      <w:tr w:rsidR="00CF0324">
        <w:tc>
          <w:tcPr>
            <w:tcW w:w="365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i/>
                <w:color w:val="000000"/>
                <w:lang w:eastAsia="en-US"/>
              </w:rPr>
            </w:pPr>
            <w:r>
              <w:rPr>
                <w:rFonts w:ascii="Times New Roman" w:eastAsia="Times New Roman" w:hAnsi="Times New Roman" w:cs="Times New Roman"/>
                <w:i/>
                <w:color w:val="000000"/>
                <w:lang w:eastAsia="en-US"/>
              </w:rPr>
              <w:t>коэффициент трудовой нагрузки</w:t>
            </w:r>
          </w:p>
        </w:tc>
        <w:tc>
          <w:tcPr>
            <w:tcW w:w="99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395</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8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9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c>
          <w:tcPr>
            <w:tcW w:w="104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X</w:t>
            </w:r>
          </w:p>
        </w:tc>
      </w:tr>
    </w:tbl>
    <w:p w:rsidR="00CF0324" w:rsidRDefault="00124A10">
      <w:pPr>
        <w:spacing w:before="240" w:line="276" w:lineRule="auto"/>
        <w:ind w:firstLine="708"/>
        <w:jc w:val="both"/>
      </w:pPr>
      <w:r>
        <w:t xml:space="preserve">Таким образом, в Кондинском районе демографическая ситуация характеризуется негативной тенденцией по снижению численности постоянного населения за счет естественной и миграционной убыли населения. Также, следует отметить, низкую продолжительность жизни населения Кондинского района, снижение показателей семейности и фертильности. Расселению населения района присущи асимметричность и высокая концентрация в пгт. Междуреченский. </w:t>
      </w:r>
      <w:r>
        <w:rPr>
          <w:rFonts w:eastAsia="TimesNewRomanPSMT"/>
        </w:rPr>
        <w:t>Неравномерность распределения населения по территории Кондинского района обусловлена традиционными местами проживания коренных малочисленных народов Севера, неразвитой сетью транспортных коммуникаций, как следствие, неравномерным распределением производств и объектов социально-культурной сферы. Снижение численности экономически активного населения, увеличение среднего возраста трудоспособного населения в долгосрочной перспективе может привести к дефициту трудовых ресурсов.</w:t>
      </w:r>
    </w:p>
    <w:p w:rsidR="00CF0324" w:rsidRDefault="00124A10">
      <w:pPr>
        <w:spacing w:line="276" w:lineRule="auto"/>
        <w:ind w:firstLine="708"/>
        <w:jc w:val="both"/>
      </w:pPr>
      <w:r>
        <w:t>За последние семь лет доходы населения района возросли на 72%, средняя заработная плата увеличилась на 70%, тем не менее, реальная заработная плата увеличилась незначительно (таблица 1.5.). Совокупные денежные доходы населения района за 2022 год составили более 18 млрд. руб., в расчете на одного жителя номинальные денежные доходы к уровню 2016 года увеличились на 77</w:t>
      </w:r>
      <w:r>
        <w:rPr>
          <w:iCs/>
        </w:rPr>
        <w:t xml:space="preserve">%. </w:t>
      </w:r>
      <w:r>
        <w:t>Основную долю в доходах населения района занимают заработная плата и социальные трансферты.</w:t>
      </w:r>
    </w:p>
    <w:p w:rsidR="00CF0324" w:rsidRDefault="00124A10">
      <w:pPr>
        <w:spacing w:before="240" w:after="240"/>
        <w:jc w:val="both"/>
        <w:rPr>
          <w:color w:val="000000"/>
        </w:rPr>
      </w:pPr>
      <w:r>
        <w:rPr>
          <w:color w:val="000000"/>
        </w:rPr>
        <w:t xml:space="preserve">Таблица 1.5 </w:t>
      </w:r>
      <w:r>
        <w:t>Динамика состава и структуры совокупных денежных доходов населения Кондинского района, в том числе: динамика выполнения целевых показателей развития денежных доходов Стратегии социально-экономического развития Кондинского района Ханты - Мансийского автономного округа – Югры на период до 2030 года</w:t>
      </w:r>
    </w:p>
    <w:tbl>
      <w:tblPr>
        <w:tblW w:w="9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50"/>
        <w:gridCol w:w="850"/>
        <w:gridCol w:w="851"/>
        <w:gridCol w:w="851"/>
        <w:gridCol w:w="850"/>
        <w:gridCol w:w="851"/>
        <w:gridCol w:w="849"/>
        <w:gridCol w:w="993"/>
      </w:tblGrid>
      <w:tr w:rsidR="00CF0324">
        <w:tc>
          <w:tcPr>
            <w:tcW w:w="2660"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952" w:type="dxa"/>
            <w:gridSpan w:val="7"/>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rPr>
              <w:t>Анализируемые годы:</w:t>
            </w:r>
          </w:p>
        </w:tc>
        <w:tc>
          <w:tcPr>
            <w:tcW w:w="993" w:type="dxa"/>
            <w:vMerge w:val="restart"/>
            <w:tcBorders>
              <w:top w:val="single" w:sz="4" w:space="0" w:color="000000"/>
              <w:left w:val="single" w:sz="4" w:space="0" w:color="000000"/>
              <w:right w:val="single" w:sz="4" w:space="0" w:color="000000"/>
            </w:tcBorders>
          </w:tcPr>
          <w:p w:rsidR="00CF0324" w:rsidRDefault="00124A10">
            <w:pPr>
              <w:tabs>
                <w:tab w:val="left" w:pos="993"/>
              </w:tabs>
              <w:jc w:val="center"/>
              <w:rPr>
                <w:sz w:val="20"/>
                <w:szCs w:val="20"/>
              </w:rPr>
            </w:pPr>
            <w:r>
              <w:rPr>
                <w:bCs/>
                <w:sz w:val="20"/>
                <w:szCs w:val="20"/>
              </w:rPr>
              <w:t xml:space="preserve">Темп роста </w:t>
            </w:r>
            <w:r>
              <w:rPr>
                <w:sz w:val="20"/>
                <w:szCs w:val="20"/>
              </w:rPr>
              <w:t>2022</w:t>
            </w:r>
            <w:r>
              <w:rPr>
                <w:sz w:val="20"/>
                <w:szCs w:val="20"/>
                <w:lang w:val="en-US"/>
              </w:rPr>
              <w:t>/</w:t>
            </w:r>
            <w:r>
              <w:rPr>
                <w:sz w:val="20"/>
                <w:szCs w:val="20"/>
              </w:rPr>
              <w:t xml:space="preserve"> 2016</w:t>
            </w:r>
            <w:r>
              <w:rPr>
                <w:bCs/>
                <w:sz w:val="20"/>
                <w:szCs w:val="20"/>
              </w:rPr>
              <w:t>, %</w:t>
            </w:r>
          </w:p>
        </w:tc>
      </w:tr>
      <w:tr w:rsidR="00CF0324">
        <w:tc>
          <w:tcPr>
            <w:tcW w:w="2660"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lang w:eastAsia="en-US"/>
              </w:rPr>
              <w:t>2016</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2017</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2018</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rPr>
                <w:sz w:val="20"/>
                <w:szCs w:val="20"/>
                <w:lang w:eastAsia="en-US"/>
              </w:rPr>
            </w:pPr>
            <w:r>
              <w:rPr>
                <w:sz w:val="20"/>
                <w:szCs w:val="20"/>
              </w:rPr>
              <w:t>2019</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rPr>
              <w:t>2020</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rPr>
              <w:t>2021</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rPr>
              <w:t>2022</w:t>
            </w:r>
          </w:p>
        </w:tc>
        <w:tc>
          <w:tcPr>
            <w:tcW w:w="993" w:type="dxa"/>
            <w:vMerge/>
            <w:tcBorders>
              <w:left w:val="single" w:sz="4" w:space="0" w:color="000000"/>
              <w:bottom w:val="single" w:sz="4" w:space="0" w:color="000000"/>
              <w:right w:val="single" w:sz="4" w:space="0" w:color="000000"/>
            </w:tcBorders>
          </w:tcPr>
          <w:p w:rsidR="00CF0324" w:rsidRDefault="00CF0324">
            <w:pPr>
              <w:tabs>
                <w:tab w:val="left" w:pos="993"/>
              </w:tabs>
              <w:jc w:val="center"/>
              <w:rPr>
                <w:sz w:val="20"/>
                <w:szCs w:val="20"/>
              </w:rPr>
            </w:pP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Денежные доходы населения, млн. руб.</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lang w:eastAsia="en-US"/>
              </w:rPr>
              <w:t>10574,9</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11806,0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13099,4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14343,6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16046,6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16561,0</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18186,2</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tabs>
                <w:tab w:val="left" w:pos="993"/>
              </w:tabs>
              <w:jc w:val="center"/>
              <w:rPr>
                <w:sz w:val="20"/>
                <w:szCs w:val="20"/>
              </w:rPr>
            </w:pPr>
            <w:r>
              <w:rPr>
                <w:sz w:val="20"/>
                <w:szCs w:val="20"/>
              </w:rPr>
              <w:t>171,9</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 xml:space="preserve">в том числе: </w:t>
            </w:r>
          </w:p>
        </w:tc>
        <w:tc>
          <w:tcPr>
            <w:tcW w:w="850" w:type="dxa"/>
            <w:tcBorders>
              <w:top w:val="single" w:sz="4" w:space="0" w:color="000000"/>
              <w:left w:val="single" w:sz="4" w:space="0" w:color="000000"/>
              <w:bottom w:val="single" w:sz="4" w:space="0" w:color="000000"/>
              <w:right w:val="single" w:sz="4" w:space="0" w:color="000000"/>
            </w:tcBorders>
          </w:tcPr>
          <w:p w:rsidR="00CF0324" w:rsidRDefault="00CF0324">
            <w:pPr>
              <w:tabs>
                <w:tab w:val="left" w:pos="993"/>
              </w:tabs>
              <w:jc w:val="center"/>
              <w:rPr>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CF0324" w:rsidRDefault="00CF0324">
            <w:pPr>
              <w:tabs>
                <w:tab w:val="left" w:pos="993"/>
              </w:tabs>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tcPr>
          <w:p w:rsidR="00CF0324" w:rsidRDefault="00CF0324">
            <w:pPr>
              <w:tabs>
                <w:tab w:val="left" w:pos="993"/>
              </w:tabs>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CF0324">
            <w:pPr>
              <w:tabs>
                <w:tab w:val="left" w:pos="993"/>
              </w:tabs>
              <w:jc w:val="center"/>
              <w:rPr>
                <w:sz w:val="20"/>
                <w:szCs w:val="20"/>
              </w:rPr>
            </w:pP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-заработная плата</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lang w:eastAsia="en-US"/>
              </w:rPr>
            </w:pPr>
            <w:r>
              <w:rPr>
                <w:sz w:val="20"/>
                <w:szCs w:val="20"/>
                <w:lang w:eastAsia="en-US"/>
              </w:rPr>
              <w:t>5699,2</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6497,7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7774,8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8274,6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9371,4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9747,6</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tabs>
                <w:tab w:val="left" w:pos="993"/>
              </w:tabs>
              <w:jc w:val="center"/>
              <w:rPr>
                <w:sz w:val="20"/>
                <w:szCs w:val="20"/>
              </w:rPr>
            </w:pPr>
            <w:r>
              <w:rPr>
                <w:sz w:val="20"/>
                <w:szCs w:val="20"/>
              </w:rPr>
              <w:t>10752,3</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tabs>
                <w:tab w:val="left" w:pos="993"/>
              </w:tabs>
              <w:jc w:val="center"/>
              <w:rPr>
                <w:sz w:val="20"/>
                <w:szCs w:val="20"/>
              </w:rPr>
            </w:pPr>
            <w:r>
              <w:rPr>
                <w:sz w:val="20"/>
                <w:szCs w:val="20"/>
              </w:rPr>
              <w:t>188,7</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ее доля в доходах населения, %</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53,9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55,0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59,4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57,7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58,4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58,9</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59,1</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109,6</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lastRenderedPageBreak/>
              <w:t>Денежные доходы на одного жителя в месяц, рублей</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28026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31616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35973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38846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43607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45320</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49552</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176,8</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Денежные доходы населения к уровню 2015 года, %</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widowControl w:val="0"/>
              <w:spacing w:line="240" w:lineRule="auto"/>
              <w:jc w:val="center"/>
              <w:rPr>
                <w:rFonts w:ascii="Times New Roman" w:eastAsia="Times New Roman" w:hAnsi="Times New Roman" w:cs="Times New Roman"/>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widowControl w:val="0"/>
              <w:spacing w:line="240" w:lineRule="auto"/>
              <w:jc w:val="center"/>
              <w:rPr>
                <w:rFonts w:ascii="Times New Roman" w:eastAsia="Times New Roman" w:hAnsi="Times New Roman" w:cs="Times New Roman"/>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spacing w:line="240" w:lineRule="auto"/>
              <w:jc w:val="center"/>
              <w:rPr>
                <w:rFonts w:ascii="Times New Roman" w:eastAsia="Times New Roman" w:hAnsi="Times New Roman" w:cs="Times New Roman"/>
                <w:sz w:val="20"/>
                <w:szCs w:val="20"/>
                <w:lang w:eastAsia="en-U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spacing w:line="240" w:lineRule="auto"/>
              <w:jc w:val="center"/>
              <w:rPr>
                <w:rFonts w:ascii="Times New Roman" w:eastAsia="Times New Roman" w:hAnsi="Times New Roman" w:cs="Times New Roman"/>
                <w:sz w:val="20"/>
                <w:szCs w:val="20"/>
                <w:lang w:eastAsia="en-US"/>
              </w:rPr>
            </w:pP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98,6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103,3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105,4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111,3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113,3</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115,3</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116,9</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103,5</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116,9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132,9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143,6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161,2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167,5</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183,2</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177,0</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both"/>
              <w:rPr>
                <w:sz w:val="20"/>
                <w:szCs w:val="20"/>
              </w:rPr>
            </w:pPr>
            <w:r>
              <w:rPr>
                <w:sz w:val="20"/>
                <w:szCs w:val="20"/>
              </w:rPr>
              <w:t>Среднемесячная номинальная начисленная заработная плата работников организаций,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widowControl w:val="0"/>
              <w:spacing w:line="240" w:lineRule="auto"/>
              <w:jc w:val="center"/>
              <w:rPr>
                <w:rFonts w:ascii="Times New Roman" w:eastAsia="Times New Roman" w:hAnsi="Times New Roman" w:cs="Times New Roman"/>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widowControl w:val="0"/>
              <w:spacing w:line="240" w:lineRule="auto"/>
              <w:jc w:val="center"/>
              <w:rPr>
                <w:rFonts w:ascii="Times New Roman" w:eastAsia="Times New Roman" w:hAnsi="Times New Roman" w:cs="Times New Roman"/>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spacing w:line="240" w:lineRule="auto"/>
              <w:jc w:val="center"/>
              <w:rPr>
                <w:rFonts w:ascii="Times New Roman" w:eastAsia="Times New Roman" w:hAnsi="Times New Roman" w:cs="Times New Roman"/>
                <w:sz w:val="20"/>
                <w:szCs w:val="20"/>
                <w:lang w:eastAsia="en-US"/>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spacing w:line="240" w:lineRule="auto"/>
              <w:jc w:val="center"/>
              <w:rPr>
                <w:rFonts w:ascii="Times New Roman" w:eastAsia="Times New Roman" w:hAnsi="Times New Roman" w:cs="Times New Roman"/>
                <w:sz w:val="20"/>
                <w:szCs w:val="20"/>
                <w:lang w:eastAsia="en-US"/>
              </w:rPr>
            </w:pP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47486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47864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48390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48921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51367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00B0F0"/>
                <w:sz w:val="20"/>
                <w:szCs w:val="20"/>
              </w:rPr>
            </w:pPr>
            <w:r>
              <w:rPr>
                <w:b/>
                <w:color w:val="00B0F0"/>
                <w:sz w:val="20"/>
                <w:szCs w:val="20"/>
              </w:rPr>
              <w:t>52651</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53967</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113,6</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52209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56711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63476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67689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74003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79629</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88670</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169,8</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автономный округ</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63600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66719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70896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75087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79821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85447</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97562</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153,4</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Российская Федерация</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36709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39167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43724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47867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51344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i/>
                <w:sz w:val="20"/>
                <w:szCs w:val="20"/>
              </w:rPr>
            </w:pPr>
            <w:r>
              <w:rPr>
                <w:i/>
                <w:sz w:val="20"/>
                <w:szCs w:val="20"/>
              </w:rPr>
              <w:t>57244</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65338</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177,9</w:t>
            </w:r>
          </w:p>
        </w:tc>
      </w:tr>
      <w:tr w:rsidR="00CF0324">
        <w:tc>
          <w:tcPr>
            <w:tcW w:w="266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tabs>
                <w:tab w:val="left" w:pos="99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Реальная начисленная заработная плата работников организаций, %</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98,6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103,9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108,8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102,0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105,7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100,8</w:t>
            </w:r>
          </w:p>
        </w:tc>
        <w:tc>
          <w:tcPr>
            <w:tcW w:w="8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97,9</w:t>
            </w:r>
          </w:p>
        </w:tc>
        <w:tc>
          <w:tcPr>
            <w:tcW w:w="99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99,3</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Потребительские расходы на душу населения, руб.</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8057</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8463</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8501</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8876</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8744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10254</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11112</w:t>
            </w:r>
          </w:p>
        </w:tc>
        <w:tc>
          <w:tcPr>
            <w:tcW w:w="993"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137,9</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 от доходов населения </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28,7</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26,8</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23,6</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22,8</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20,0</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22,6</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24,5</w:t>
            </w:r>
          </w:p>
        </w:tc>
        <w:tc>
          <w:tcPr>
            <w:tcW w:w="993"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85,4</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Средний размер дохода пенсионера (на конец года), руб.</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15446</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16131</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16654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17637</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19674</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21098</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24026</w:t>
            </w:r>
          </w:p>
        </w:tc>
        <w:tc>
          <w:tcPr>
            <w:tcW w:w="993"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155,5</w:t>
            </w:r>
          </w:p>
        </w:tc>
      </w:tr>
      <w:tr w:rsidR="00CF0324">
        <w:tc>
          <w:tcPr>
            <w:tcW w:w="266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Соотношение среднемесячного дохода и прожиточного минимума пенсионера, %</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135</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145</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149</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149</w:t>
            </w:r>
          </w:p>
        </w:tc>
        <w:tc>
          <w:tcPr>
            <w:tcW w:w="85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150</w:t>
            </w:r>
          </w:p>
        </w:tc>
        <w:tc>
          <w:tcPr>
            <w:tcW w:w="851"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159</w:t>
            </w:r>
          </w:p>
        </w:tc>
        <w:tc>
          <w:tcPr>
            <w:tcW w:w="849"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142</w:t>
            </w:r>
          </w:p>
        </w:tc>
        <w:tc>
          <w:tcPr>
            <w:tcW w:w="993"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105,2</w:t>
            </w:r>
          </w:p>
        </w:tc>
      </w:tr>
    </w:tbl>
    <w:p w:rsidR="00CF0324" w:rsidRDefault="00124A10">
      <w:pPr>
        <w:spacing w:before="240" w:line="276" w:lineRule="auto"/>
        <w:ind w:firstLine="708"/>
        <w:jc w:val="both"/>
        <w:rPr>
          <w:bCs/>
        </w:rPr>
      </w:pPr>
      <w:r>
        <w:rPr>
          <w:bCs/>
        </w:rPr>
        <w:t xml:space="preserve">Среднемесячная заработная плата по крупным и средним предприятиям района увеличилась на 70% по сравнению с 2016 годом и в 2022 году составила 88 670 руб., </w:t>
      </w:r>
      <w:r>
        <w:t xml:space="preserve">что выше среднемесячной зарплаты в Российской Федерации (65338 руб.), но ниже, чем в Ханты-Мансийском автономном округе – Югре (97 562 руб.). </w:t>
      </w:r>
      <w:r>
        <w:rPr>
          <w:bCs/>
        </w:rPr>
        <w:t>Более высокий уровень зарплаты имеют работники таких отраслей, как транспорт и связь, строительство, добыча полезных ископаемых. Уровень их зарплаты превышает уровень оплаты труда работников сельского и лесного хозяйства в разы.</w:t>
      </w:r>
    </w:p>
    <w:p w:rsidR="00CF0324" w:rsidRDefault="00124A10">
      <w:pPr>
        <w:spacing w:line="276" w:lineRule="auto"/>
        <w:ind w:firstLine="708"/>
        <w:jc w:val="both"/>
      </w:pPr>
      <w:r>
        <w:t>Несмотря на хорошие позиции Кондинского района в сравнении со среднероссийскими показателями по уроню денежных доходов, важно отметить, самую высокую доля граждан Кондинского района, получающих государственную социальную помощь через органы социальной защиты от общей численности населения среди муниципальных образований Ханты-Мансийского автономного округа – Югры (7,6% от общей численности населения)</w:t>
      </w:r>
      <w:r>
        <w:rPr>
          <w:rStyle w:val="af5"/>
        </w:rPr>
        <w:endnoteReference w:id="1"/>
      </w:r>
      <w:r>
        <w:t>, самую высокую долю неработающих пенсионеров, ежемесячный доход которых не превышает размер прожиточного минимума (4,3% от общей численности населения), самую высокую долю работающих пенсионеров, ежемесячный доход которых не превышает размер прожиточного минимума (2,1% от общей численности населения).</w:t>
      </w:r>
    </w:p>
    <w:p w:rsidR="00CF0324" w:rsidRDefault="00124A10">
      <w:pPr>
        <w:spacing w:line="276" w:lineRule="auto"/>
        <w:ind w:firstLine="708"/>
        <w:jc w:val="both"/>
        <w:rPr>
          <w:bCs/>
        </w:rPr>
      </w:pPr>
      <w:r>
        <w:t>Таким образом, повышение денежных доходов актуально для населения Кондинского района.</w:t>
      </w:r>
    </w:p>
    <w:p w:rsidR="00CF0324" w:rsidRPr="00124A10" w:rsidRDefault="00124A10">
      <w:pPr>
        <w:pStyle w:val="2"/>
        <w:spacing w:before="240" w:after="240" w:line="276" w:lineRule="auto"/>
        <w:jc w:val="left"/>
        <w:rPr>
          <w:b w:val="0"/>
          <w:i/>
          <w:sz w:val="24"/>
          <w:lang w:val="ru-RU"/>
        </w:rPr>
      </w:pPr>
      <w:bookmarkStart w:id="5" w:name="_Toc5"/>
      <w:r w:rsidRPr="00124A10">
        <w:rPr>
          <w:b w:val="0"/>
          <w:i/>
          <w:sz w:val="24"/>
          <w:lang w:val="ru-RU"/>
        </w:rPr>
        <w:lastRenderedPageBreak/>
        <w:t>1.2.Рынок труда, занятость населения, кадровое обеспечение</w:t>
      </w:r>
      <w:bookmarkEnd w:id="5"/>
    </w:p>
    <w:p w:rsidR="00CF0324" w:rsidRDefault="00124A10">
      <w:pPr>
        <w:spacing w:line="276" w:lineRule="auto"/>
        <w:ind w:firstLine="708"/>
        <w:jc w:val="both"/>
      </w:pPr>
      <w:r>
        <w:t>Численность трудовых ресурсов Кондинского района составляет 17,6 тыс. чел., за последние семь лет снизилась на 6,6%. Доля занятых в экономике района составляет 65%, что на 2 процентных пункта ниже уровня 2016 года. Численность работающих на крупных и средних предприятиях района составляет 33% от общей численности населения (10,1 тыс. чел.) и в динамике за последние три года имеет тенденцию к увеличению за счет привлечения на нефтяные месторождения работников вахтовым методом из других регионов Российской Федерации (таблица 1.6). На 01.01.2023 численность безработных граждан, зарегистрированных в службе занятости, составила 358 чел. В динамике за семь лет численность безработных увеличилась на 24%, что свидетельствует об ограниченности рынка труда и структурной безработице в Кондинском районе (рисунок 1.4).</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1.6. - Рынок труда, в том числе: динамика выполнения целевых показателей развития занятости Стратегии социально-экономического развития Кондинского района Ханты-Мансийского автономного округа – Югры на период до 2030 года</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766"/>
        <w:gridCol w:w="803"/>
        <w:gridCol w:w="766"/>
        <w:gridCol w:w="824"/>
        <w:gridCol w:w="824"/>
        <w:gridCol w:w="824"/>
        <w:gridCol w:w="923"/>
        <w:gridCol w:w="694"/>
      </w:tblGrid>
      <w:tr w:rsidR="00CF0324">
        <w:trPr>
          <w:trHeight w:val="44"/>
        </w:trPr>
        <w:tc>
          <w:tcPr>
            <w:tcW w:w="3040"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730"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694" w:type="dxa"/>
            <w:vMerge w:val="restart"/>
            <w:tcBorders>
              <w:top w:val="single" w:sz="4" w:space="0" w:color="000000"/>
              <w:left w:val="single" w:sz="4" w:space="0" w:color="000000"/>
              <w:right w:val="single" w:sz="4" w:space="0" w:color="000000"/>
            </w:tcBorders>
          </w:tcPr>
          <w:p w:rsidR="00CF0324" w:rsidRDefault="00124A10">
            <w:pPr>
              <w:spacing w:line="276" w:lineRule="auto"/>
              <w:jc w:val="center"/>
              <w:rPr>
                <w:bCs/>
                <w:sz w:val="20"/>
                <w:szCs w:val="20"/>
              </w:rPr>
            </w:pPr>
            <w:r>
              <w:rPr>
                <w:bCs/>
                <w:sz w:val="20"/>
                <w:szCs w:val="20"/>
              </w:rPr>
              <w:t>Темп роста 2022/ 2016,</w:t>
            </w:r>
          </w:p>
          <w:p w:rsidR="00CF0324" w:rsidRDefault="00124A10">
            <w:pPr>
              <w:pStyle w:val="1b"/>
              <w:spacing w:line="240" w:lineRule="auto"/>
              <w:jc w:val="center"/>
              <w:rPr>
                <w:rFonts w:ascii="Times New Roman" w:eastAsia="Times New Roman" w:hAnsi="Times New Roman" w:cs="Times New Roman"/>
                <w:sz w:val="20"/>
                <w:szCs w:val="20"/>
                <w:lang w:eastAsia="en-US"/>
              </w:rPr>
            </w:pPr>
            <w:r>
              <w:rPr>
                <w:bCs/>
                <w:sz w:val="20"/>
                <w:szCs w:val="20"/>
              </w:rPr>
              <w:t>%</w:t>
            </w:r>
          </w:p>
        </w:tc>
      </w:tr>
      <w:tr w:rsidR="00CF0324">
        <w:trPr>
          <w:trHeight w:val="44"/>
        </w:trPr>
        <w:tc>
          <w:tcPr>
            <w:tcW w:w="3040"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694" w:type="dxa"/>
            <w:vMerge/>
            <w:tcBorders>
              <w:left w:val="single" w:sz="4" w:space="0" w:color="000000"/>
              <w:bottom w:val="single" w:sz="4" w:space="0" w:color="000000"/>
              <w:right w:val="single" w:sz="4" w:space="0" w:color="000000"/>
            </w:tcBorders>
          </w:tcPr>
          <w:p w:rsidR="00CF0324" w:rsidRDefault="00CF0324">
            <w:pPr>
              <w:pStyle w:val="1b"/>
              <w:widowControl w:val="0"/>
              <w:spacing w:line="240" w:lineRule="auto"/>
              <w:jc w:val="center"/>
              <w:rPr>
                <w:rFonts w:ascii="Times New Roman" w:eastAsia="Times New Roman" w:hAnsi="Times New Roman" w:cs="Times New Roman"/>
                <w:sz w:val="20"/>
                <w:szCs w:val="20"/>
                <w:lang w:eastAsia="en-US"/>
              </w:rPr>
            </w:pPr>
          </w:p>
        </w:tc>
      </w:tr>
      <w:tr w:rsidR="00CF0324">
        <w:trPr>
          <w:trHeight w:val="44"/>
        </w:trPr>
        <w:tc>
          <w:tcPr>
            <w:tcW w:w="3040" w:type="dxa"/>
            <w:tcBorders>
              <w:top w:val="single" w:sz="4" w:space="0" w:color="000000"/>
              <w:left w:val="single" w:sz="4" w:space="0" w:color="000000"/>
              <w:bottom w:val="single" w:sz="4" w:space="0" w:color="000000"/>
              <w:right w:val="single" w:sz="4" w:space="0" w:color="000000"/>
            </w:tcBorders>
            <w:vAlign w:val="center"/>
          </w:tcPr>
          <w:p w:rsidR="00CF0324" w:rsidRDefault="00124A10">
            <w:pPr>
              <w:rPr>
                <w:bCs/>
                <w:sz w:val="20"/>
                <w:szCs w:val="20"/>
              </w:rPr>
            </w:pPr>
            <w:r>
              <w:rPr>
                <w:sz w:val="20"/>
                <w:szCs w:val="20"/>
              </w:rPr>
              <w:t>1. Численность трудовых ресурсов, тыс. чел.</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18,84</w:t>
            </w:r>
          </w:p>
        </w:tc>
        <w:tc>
          <w:tcPr>
            <w:tcW w:w="803"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19,00</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18,61</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18,77</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17,52</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16,82</w:t>
            </w:r>
          </w:p>
        </w:tc>
        <w:tc>
          <w:tcPr>
            <w:tcW w:w="92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17,60</w:t>
            </w:r>
          </w:p>
        </w:tc>
        <w:tc>
          <w:tcPr>
            <w:tcW w:w="69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93,4</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2.Занято в экономике,  тыс. чел.</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12,588</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12,076</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11,648</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11,739</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9,688</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10,586</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11,393</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90,5</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cs="Times New Roman"/>
                <w:sz w:val="20"/>
                <w:szCs w:val="20"/>
              </w:rPr>
              <w:t xml:space="preserve"> Численность работающих на крупных и средних предприятиях района</w:t>
            </w:r>
            <w:r>
              <w:rPr>
                <w:rFonts w:ascii="Times New Roman" w:eastAsia="Times New Roman" w:hAnsi="Times New Roman" w:cs="Times New Roman"/>
                <w:sz w:val="20"/>
                <w:szCs w:val="20"/>
                <w:lang w:eastAsia="en-US"/>
              </w:rPr>
              <w:t>, тыс. чел.:</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8,94</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9,3</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9,956</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10,187</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10,553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10,201</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10,105</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113,0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4.Численность работающих в сфере малого и среднего предпринимательства, чел. </w:t>
            </w: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2904</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3049</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3201</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3361</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121,5</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3609</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3650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3625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3498</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3327</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3215</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2920</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80,9</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5.Численность официально зарегистрированных безработных, чел.</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289</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287</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332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383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1093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373</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358</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123,8</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6.Уровень зарегистрированной безработицы (на конец периода), %:</w:t>
            </w: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1,55</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1,91</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2,15</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6,67</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2,32</w:t>
            </w:r>
          </w:p>
        </w:tc>
        <w:tc>
          <w:tcPr>
            <w:tcW w:w="923"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color w:val="92D050"/>
                <w:sz w:val="20"/>
                <w:szCs w:val="20"/>
              </w:rPr>
            </w:pPr>
            <w:r>
              <w:rPr>
                <w:b/>
                <w:color w:val="92D050"/>
                <w:sz w:val="20"/>
                <w:szCs w:val="20"/>
              </w:rPr>
              <w:t>2,22</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b/>
                <w:color w:val="92D050"/>
                <w:sz w:val="20"/>
                <w:szCs w:val="20"/>
              </w:rPr>
            </w:pPr>
            <w:r>
              <w:rPr>
                <w:b/>
                <w:color w:val="92D050"/>
                <w:sz w:val="20"/>
                <w:szCs w:val="20"/>
              </w:rPr>
              <w:t>143,2</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7.Вновь созданные рабочие места, тыс. ед., в том числе: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2,650</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2,303</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2,221</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2,055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1,225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2,168</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2,007</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75,7</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7.1.Постоянные: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0,101</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0,110</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0,103</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0,103</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102,0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0,140</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0,140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0,073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0,085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0,095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0,110</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0,058</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41,4</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numPr>
                <w:ilvl w:val="0"/>
                <w:numId w:val="9"/>
              </w:numPr>
              <w:spacing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7.2.Временные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2,51</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2,164</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2,148</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1,970</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1,130</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2,058</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1,949</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77,6</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 Количество национальных общин и предприятий, осуществляющих традиционное хозяйствование и занимающихся традиционными промыслами коренных малочисленных народов, единиц</w:t>
            </w: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rPr>
                <w:rFonts w:ascii="Times New Roman" w:eastAsia="Times New Roman" w:hAnsi="Times New Roman" w:cs="Times New Roman"/>
                <w:sz w:val="20"/>
                <w:szCs w:val="20"/>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lastRenderedPageBreak/>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14</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 Количество молодых специалистов, трудоустроенных в местах традиционного проживания и традиционной хозяйственной деятельности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0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2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923"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694" w:type="dxa"/>
            <w:tcBorders>
              <w:top w:val="single" w:sz="4" w:space="0" w:color="000000"/>
              <w:left w:val="single" w:sz="4" w:space="0" w:color="000000"/>
              <w:bottom w:val="single" w:sz="4" w:space="0" w:color="000000"/>
              <w:right w:val="single" w:sz="4" w:space="0" w:color="000000"/>
            </w:tcBorders>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120</w:t>
            </w:r>
          </w:p>
        </w:tc>
      </w:tr>
      <w:tr w:rsidR="00CF0324">
        <w:tc>
          <w:tcPr>
            <w:tcW w:w="304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numPr>
                <w:ilvl w:val="0"/>
                <w:numId w:val="9"/>
              </w:numPr>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w:t>
            </w:r>
          </w:p>
        </w:tc>
        <w:tc>
          <w:tcPr>
            <w:tcW w:w="80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w:t>
            </w:r>
          </w:p>
        </w:tc>
        <w:tc>
          <w:tcPr>
            <w:tcW w:w="92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100</w:t>
            </w:r>
          </w:p>
        </w:tc>
        <w:tc>
          <w:tcPr>
            <w:tcW w:w="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200</w:t>
            </w:r>
          </w:p>
        </w:tc>
      </w:tr>
    </w:tbl>
    <w:p w:rsidR="00CF0324" w:rsidRPr="00124A10" w:rsidRDefault="00124A10">
      <w:pPr>
        <w:spacing w:before="240" w:line="276" w:lineRule="auto"/>
        <w:ind w:firstLine="708"/>
        <w:jc w:val="both"/>
        <w:rPr>
          <w:lang w:eastAsia="en-US"/>
        </w:rPr>
      </w:pPr>
      <w:r w:rsidRPr="00124A10">
        <w:rPr>
          <w:lang w:eastAsia="en-US"/>
        </w:rPr>
        <w:t>Зарегистрированные на 01.0</w:t>
      </w:r>
      <w:r>
        <w:rPr>
          <w:lang w:eastAsia="en-US"/>
        </w:rPr>
        <w:t>1</w:t>
      </w:r>
      <w:r w:rsidRPr="00124A10">
        <w:rPr>
          <w:lang w:eastAsia="en-US"/>
        </w:rPr>
        <w:t>.20</w:t>
      </w:r>
      <w:r>
        <w:rPr>
          <w:lang w:eastAsia="en-US"/>
        </w:rPr>
        <w:t>23</w:t>
      </w:r>
      <w:r w:rsidRPr="00124A10">
        <w:rPr>
          <w:lang w:eastAsia="en-US"/>
        </w:rPr>
        <w:t xml:space="preserve"> безработные граждане представлены следующими социально-демографическими группами:</w:t>
      </w:r>
    </w:p>
    <w:p w:rsidR="00CF0324" w:rsidRDefault="00124A10">
      <w:pPr>
        <w:spacing w:line="276" w:lineRule="auto"/>
        <w:ind w:firstLine="708"/>
        <w:jc w:val="both"/>
        <w:rPr>
          <w:lang w:eastAsia="en-US"/>
        </w:rPr>
      </w:pPr>
      <w:r>
        <w:rPr>
          <w:lang w:eastAsia="en-US"/>
        </w:rPr>
        <w:t>65</w:t>
      </w:r>
      <w:r w:rsidRPr="00124A10">
        <w:rPr>
          <w:lang w:eastAsia="en-US"/>
        </w:rPr>
        <w:t xml:space="preserve"> человек, или </w:t>
      </w:r>
      <w:r>
        <w:rPr>
          <w:lang w:eastAsia="en-US"/>
        </w:rPr>
        <w:t>18</w:t>
      </w:r>
      <w:r w:rsidRPr="00124A10">
        <w:rPr>
          <w:lang w:eastAsia="en-US"/>
        </w:rPr>
        <w:t>% - молодежь в возрасте 16-29 лет</w:t>
      </w:r>
      <w:r>
        <w:rPr>
          <w:lang w:eastAsia="en-US"/>
        </w:rPr>
        <w:t>;</w:t>
      </w:r>
    </w:p>
    <w:p w:rsidR="00CF0324" w:rsidRDefault="00124A10">
      <w:pPr>
        <w:spacing w:line="276" w:lineRule="auto"/>
        <w:ind w:firstLine="708"/>
        <w:jc w:val="both"/>
        <w:rPr>
          <w:lang w:eastAsia="en-US"/>
        </w:rPr>
      </w:pPr>
      <w:r>
        <w:rPr>
          <w:lang w:eastAsia="en-US"/>
        </w:rPr>
        <w:t>172</w:t>
      </w:r>
      <w:r w:rsidRPr="00124A10">
        <w:rPr>
          <w:lang w:eastAsia="en-US"/>
        </w:rPr>
        <w:t xml:space="preserve"> человек</w:t>
      </w:r>
      <w:r>
        <w:rPr>
          <w:lang w:eastAsia="en-US"/>
        </w:rPr>
        <w:t>а</w:t>
      </w:r>
      <w:r w:rsidRPr="00124A10">
        <w:rPr>
          <w:lang w:eastAsia="en-US"/>
        </w:rPr>
        <w:t xml:space="preserve">, или </w:t>
      </w:r>
      <w:r>
        <w:rPr>
          <w:lang w:eastAsia="en-US"/>
        </w:rPr>
        <w:t>48</w:t>
      </w:r>
      <w:r w:rsidRPr="00124A10">
        <w:rPr>
          <w:lang w:eastAsia="en-US"/>
        </w:rPr>
        <w:t>% - женщины</w:t>
      </w:r>
      <w:r>
        <w:rPr>
          <w:lang w:eastAsia="en-US"/>
        </w:rPr>
        <w:t>;</w:t>
      </w:r>
    </w:p>
    <w:p w:rsidR="00CF0324" w:rsidRDefault="00124A10">
      <w:pPr>
        <w:spacing w:line="276" w:lineRule="auto"/>
        <w:ind w:firstLine="708"/>
        <w:jc w:val="both"/>
        <w:rPr>
          <w:lang w:eastAsia="en-US"/>
        </w:rPr>
      </w:pPr>
      <w:r>
        <w:rPr>
          <w:lang w:eastAsia="en-US"/>
        </w:rPr>
        <w:t xml:space="preserve">16 </w:t>
      </w:r>
      <w:r w:rsidRPr="00124A10">
        <w:rPr>
          <w:lang w:eastAsia="en-US"/>
        </w:rPr>
        <w:t xml:space="preserve">человек, или </w:t>
      </w:r>
      <w:r>
        <w:rPr>
          <w:lang w:eastAsia="en-US"/>
        </w:rPr>
        <w:t>4,5</w:t>
      </w:r>
      <w:r w:rsidRPr="00124A10">
        <w:rPr>
          <w:lang w:eastAsia="en-US"/>
        </w:rPr>
        <w:t>% - инвалиды</w:t>
      </w:r>
      <w:r>
        <w:rPr>
          <w:lang w:eastAsia="en-US"/>
        </w:rPr>
        <w:t>;</w:t>
      </w:r>
    </w:p>
    <w:p w:rsidR="00CF0324" w:rsidRDefault="00124A10">
      <w:pPr>
        <w:spacing w:line="276" w:lineRule="auto"/>
        <w:ind w:firstLine="708"/>
        <w:jc w:val="both"/>
        <w:rPr>
          <w:lang w:eastAsia="en-US"/>
        </w:rPr>
      </w:pPr>
      <w:r>
        <w:rPr>
          <w:lang w:eastAsia="en-US"/>
        </w:rPr>
        <w:t>15</w:t>
      </w:r>
      <w:r w:rsidRPr="00124A10">
        <w:rPr>
          <w:lang w:eastAsia="en-US"/>
        </w:rPr>
        <w:t xml:space="preserve"> человек, или </w:t>
      </w:r>
      <w:r>
        <w:rPr>
          <w:lang w:eastAsia="en-US"/>
        </w:rPr>
        <w:t>4</w:t>
      </w:r>
      <w:r w:rsidRPr="00124A10">
        <w:rPr>
          <w:lang w:eastAsia="en-US"/>
        </w:rPr>
        <w:t>% - уволенные в связи с ликвидацией организации, либо сокращением численности или штата работников организации</w:t>
      </w:r>
      <w:r>
        <w:rPr>
          <w:lang w:eastAsia="en-US"/>
        </w:rPr>
        <w:t>;</w:t>
      </w:r>
    </w:p>
    <w:p w:rsidR="00CF0324" w:rsidRDefault="00124A10">
      <w:pPr>
        <w:spacing w:line="276" w:lineRule="auto"/>
        <w:ind w:firstLine="708"/>
        <w:jc w:val="both"/>
        <w:rPr>
          <w:lang w:eastAsia="en-US"/>
        </w:rPr>
      </w:pPr>
      <w:r>
        <w:rPr>
          <w:lang w:eastAsia="en-US"/>
        </w:rPr>
        <w:t>149</w:t>
      </w:r>
      <w:r w:rsidRPr="00124A10">
        <w:rPr>
          <w:lang w:eastAsia="en-US"/>
        </w:rPr>
        <w:t xml:space="preserve"> человек, или </w:t>
      </w:r>
      <w:r>
        <w:rPr>
          <w:lang w:eastAsia="en-US"/>
        </w:rPr>
        <w:t>42</w:t>
      </w:r>
      <w:r w:rsidRPr="00124A10">
        <w:rPr>
          <w:lang w:eastAsia="en-US"/>
        </w:rPr>
        <w:t xml:space="preserve">% - родители, </w:t>
      </w:r>
      <w:r>
        <w:rPr>
          <w:lang w:eastAsia="en-US"/>
        </w:rPr>
        <w:t>воспитывающие</w:t>
      </w:r>
      <w:r w:rsidRPr="00124A10">
        <w:rPr>
          <w:lang w:eastAsia="en-US"/>
        </w:rPr>
        <w:t xml:space="preserve"> несовершеннолетних детей</w:t>
      </w:r>
      <w:r>
        <w:rPr>
          <w:lang w:eastAsia="en-US"/>
        </w:rPr>
        <w:t>;</w:t>
      </w:r>
    </w:p>
    <w:p w:rsidR="00CF0324" w:rsidRDefault="00124A10">
      <w:pPr>
        <w:spacing w:line="276" w:lineRule="auto"/>
        <w:ind w:firstLine="708"/>
        <w:jc w:val="both"/>
        <w:rPr>
          <w:lang w:eastAsia="en-US"/>
        </w:rPr>
      </w:pPr>
      <w:r>
        <w:rPr>
          <w:lang w:eastAsia="en-US"/>
        </w:rPr>
        <w:t>1</w:t>
      </w:r>
      <w:r w:rsidRPr="00124A10">
        <w:rPr>
          <w:lang w:eastAsia="en-US"/>
        </w:rPr>
        <w:t xml:space="preserve"> человек, или </w:t>
      </w:r>
      <w:r>
        <w:rPr>
          <w:lang w:eastAsia="en-US"/>
        </w:rPr>
        <w:t>0,3</w:t>
      </w:r>
      <w:r w:rsidRPr="00124A10">
        <w:rPr>
          <w:lang w:eastAsia="en-US"/>
        </w:rPr>
        <w:t>% - одинокие родители</w:t>
      </w:r>
      <w:r>
        <w:rPr>
          <w:lang w:eastAsia="en-US"/>
        </w:rPr>
        <w:t>;</w:t>
      </w:r>
    </w:p>
    <w:p w:rsidR="00CF0324" w:rsidRDefault="00124A10">
      <w:pPr>
        <w:spacing w:line="276" w:lineRule="auto"/>
        <w:ind w:firstLine="708"/>
        <w:jc w:val="both"/>
        <w:rPr>
          <w:lang w:eastAsia="en-US"/>
        </w:rPr>
      </w:pPr>
      <w:r>
        <w:rPr>
          <w:lang w:eastAsia="en-US"/>
        </w:rPr>
        <w:t>22</w:t>
      </w:r>
      <w:r w:rsidRPr="00124A10">
        <w:rPr>
          <w:lang w:eastAsia="en-US"/>
        </w:rPr>
        <w:t xml:space="preserve"> человек</w:t>
      </w:r>
      <w:r>
        <w:rPr>
          <w:lang w:eastAsia="en-US"/>
        </w:rPr>
        <w:t>а</w:t>
      </w:r>
      <w:r w:rsidRPr="00124A10">
        <w:rPr>
          <w:lang w:eastAsia="en-US"/>
        </w:rPr>
        <w:t xml:space="preserve">, или </w:t>
      </w:r>
      <w:r>
        <w:rPr>
          <w:lang w:eastAsia="en-US"/>
        </w:rPr>
        <w:t>6</w:t>
      </w:r>
      <w:r w:rsidRPr="00124A10">
        <w:rPr>
          <w:lang w:eastAsia="en-US"/>
        </w:rPr>
        <w:t>% - многодетные родители</w:t>
      </w:r>
      <w:r>
        <w:rPr>
          <w:lang w:eastAsia="en-US"/>
        </w:rPr>
        <w:t>.</w:t>
      </w:r>
    </w:p>
    <w:p w:rsidR="00CF0324" w:rsidRDefault="00BA49AD">
      <w:pPr>
        <w:spacing w:before="240" w:after="240" w:line="276" w:lineRule="auto"/>
        <w:jc w:val="center"/>
      </w:pPr>
      <w:r>
        <w:rPr>
          <w:b/>
          <w:i/>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8"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A4276" id="AutoShape 2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oIgIAAEg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CjU+7oIgIAAEgEAAAOAAAAAAAAAAAAAAAAAC4CAABkcnMvZTJvRG9jLnhtbFBLAQIt&#10;ABQABgAIAAAAIQDrjR772AAAAAUBAAAPAAAAAAAAAAAAAAAAAHwEAABkcnMvZG93bnJldi54bWxQ&#10;SwUGAAAAAAQABADzAAAAgQUAAAAA&#10;">
                <v:stroke joinstyle="round"/>
                <o:lock v:ext="edit" selection="t"/>
              </v:rect>
            </w:pict>
          </mc:Fallback>
        </mc:AlternateContent>
      </w:r>
      <w:r>
        <w:rPr>
          <w:b/>
          <w:i/>
          <w:noProof/>
        </w:rPr>
        <w:drawing>
          <wp:inline distT="0" distB="0" distL="0" distR="0">
            <wp:extent cx="5966460" cy="2401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2401570"/>
                    </a:xfrm>
                    <a:prstGeom prst="rect">
                      <a:avLst/>
                    </a:prstGeom>
                    <a:noFill/>
                    <a:ln>
                      <a:noFill/>
                    </a:ln>
                  </pic:spPr>
                </pic:pic>
              </a:graphicData>
            </a:graphic>
          </wp:inline>
        </w:drawing>
      </w:r>
    </w:p>
    <w:p w:rsidR="00CF0324" w:rsidRDefault="00124A10">
      <w:pPr>
        <w:spacing w:before="240" w:after="240" w:line="276" w:lineRule="auto"/>
        <w:jc w:val="center"/>
      </w:pPr>
      <w:r>
        <w:t>Рисунок 1.4. Динамика показателей рынка труда 2016-2022 годы, чел.</w:t>
      </w:r>
    </w:p>
    <w:p w:rsidR="00CF0324" w:rsidRDefault="00124A10">
      <w:pPr>
        <w:spacing w:line="276" w:lineRule="auto"/>
        <w:ind w:firstLine="708"/>
        <w:jc w:val="both"/>
      </w:pPr>
      <w:r>
        <w:t>Структура рабочей силы Кондинского района схожа со структурой рабочей силы в целом по Российской Федерации (рисунок 1.5). Численность рабочей силы Кондинского района по состоянию на 01.01.2023 составила 11,4 чел., в сравнении с 2016 годом снизилась на 9,5%.</w:t>
      </w:r>
    </w:p>
    <w:tbl>
      <w:tblPr>
        <w:tblW w:w="9570" w:type="dxa"/>
        <w:tblLook w:val="04A0" w:firstRow="1" w:lastRow="0" w:firstColumn="1" w:lastColumn="0" w:noHBand="0" w:noVBand="1"/>
      </w:tblPr>
      <w:tblGrid>
        <w:gridCol w:w="4785"/>
        <w:gridCol w:w="4785"/>
      </w:tblGrid>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E36C0A"/>
              </w:rPr>
            </w:pPr>
            <w:r>
              <w:rPr>
                <w:b/>
                <w:i/>
                <w:color w:val="E36C0A"/>
              </w:rPr>
              <w:t>Структура рабочей силы Российской Федерации,%</w:t>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0070C0"/>
              </w:rPr>
            </w:pPr>
            <w:r>
              <w:rPr>
                <w:b/>
                <w:i/>
                <w:color w:val="0070C0"/>
              </w:rPr>
              <w:t>Структура рабочей силы Кондинского района,%</w:t>
            </w:r>
          </w:p>
        </w:tc>
      </w:tr>
      <w:tr w:rsidR="00CF0324">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7"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32476" id="AutoShape 1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cm1cKS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2752725"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6"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E423" id="AutoShape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&#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YryDGC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2743200"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rsidR="00CF0324" w:rsidRDefault="00124A10">
      <w:pPr>
        <w:spacing w:before="240" w:after="240" w:line="276" w:lineRule="auto"/>
        <w:jc w:val="center"/>
      </w:pPr>
      <w:r>
        <w:t>Рисунок 1.2 Трудовая структура населения за 2022 год,%</w:t>
      </w:r>
    </w:p>
    <w:p w:rsidR="00CF0324" w:rsidRDefault="00124A10">
      <w:pPr>
        <w:pStyle w:val="1234511213141OaaeeiueOaaeeiue1Oaaeeiue2Oaaeeiue3Oaaeeiue4Oaaeeiue5Oaaeeiue11Oaaeeiue21Oaaeeiue31Oaaeeiue41"/>
        <w:spacing w:line="276" w:lineRule="auto"/>
        <w:ind w:firstLine="708"/>
        <w:rPr>
          <w:szCs w:val="24"/>
          <w:lang w:val="ru-RU"/>
        </w:rPr>
      </w:pPr>
      <w:r>
        <w:rPr>
          <w:szCs w:val="24"/>
          <w:lang w:val="ru-RU"/>
        </w:rPr>
        <w:t xml:space="preserve">Структура, занятых в экономике района по </w:t>
      </w:r>
      <w:r>
        <w:rPr>
          <w:i/>
          <w:szCs w:val="24"/>
          <w:lang w:val="ru-RU"/>
        </w:rPr>
        <w:t>видам</w:t>
      </w:r>
      <w:r>
        <w:rPr>
          <w:szCs w:val="24"/>
          <w:lang w:val="ru-RU"/>
        </w:rPr>
        <w:t xml:space="preserve"> экономической деятельности в 2022 году сложилась следующим образом: 19,5% - «образование»; 17,9% - «добыча полезных ископаемых»; 11,1% - «деятельность в области здравоохранения»; 8,5% - «транспортировка и хранение»; 8,1% - «государственное управление и обеспечение военной безопасности; социальное обеспечение»; 7,5% - «торговля оптовая и розничная; ремонт автотранспортных средств и мотоциклов»; 5,8% - «строительство»; 2,5% - «сельское, лесное хозяйство, охота, рыболовство и рыбоводство»; 2,4% - «деятельность в области культуры, спорта, организации досуга и развлечений»; 1,9% - «</w:t>
      </w:r>
      <w:r w:rsidRPr="00124A10">
        <w:rPr>
          <w:szCs w:val="24"/>
          <w:lang w:val="ru-RU"/>
        </w:rPr>
        <w:t>деятельность в области информации и связи</w:t>
      </w:r>
      <w:r>
        <w:rPr>
          <w:szCs w:val="24"/>
          <w:lang w:val="ru-RU"/>
        </w:rPr>
        <w:t>»,</w:t>
      </w:r>
      <w:r w:rsidRPr="00124A10">
        <w:rPr>
          <w:szCs w:val="24"/>
          <w:lang w:val="ru-RU"/>
        </w:rPr>
        <w:t xml:space="preserve"> </w:t>
      </w:r>
      <w:r>
        <w:rPr>
          <w:szCs w:val="24"/>
          <w:lang w:val="ru-RU"/>
        </w:rPr>
        <w:t xml:space="preserve">1,6% - «обрабатывающие производства» и др. (таблица 1.7.). </w:t>
      </w:r>
      <w:r w:rsidRPr="00124A10">
        <w:rPr>
          <w:lang w:val="ru-RU"/>
        </w:rPr>
        <w:t>В динамике за семь лет</w:t>
      </w:r>
      <w:r>
        <w:rPr>
          <w:lang w:val="ru-RU"/>
        </w:rPr>
        <w:t xml:space="preserve"> произошли изменения в структуре занятых в экономике района в сторону увеличения долей экономических видов деятельности: </w:t>
      </w:r>
      <w:r>
        <w:rPr>
          <w:szCs w:val="24"/>
          <w:lang w:val="ru-RU"/>
        </w:rPr>
        <w:t>образование (+1,0 п.п.), добыча полезных ископаемых (+8,5 п.п.), транспортировка и хранение (+1,9 п.п.), строительство (+2,9 п.п.).</w:t>
      </w:r>
    </w:p>
    <w:p w:rsidR="00CF0324" w:rsidRDefault="00124A10">
      <w:pPr>
        <w:pStyle w:val="1b"/>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1.7 - Структура занятых в муниципальном образовании (по убыванию) </w:t>
      </w:r>
    </w:p>
    <w:tbl>
      <w:tblPr>
        <w:tblW w:w="9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75"/>
        <w:gridCol w:w="675"/>
        <w:gridCol w:w="764"/>
        <w:gridCol w:w="656"/>
        <w:gridCol w:w="796"/>
        <w:gridCol w:w="656"/>
        <w:gridCol w:w="656"/>
        <w:gridCol w:w="1282"/>
      </w:tblGrid>
      <w:tr w:rsidR="00CF0324">
        <w:trPr>
          <w:tblHeader/>
        </w:trPr>
        <w:tc>
          <w:tcPr>
            <w:tcW w:w="3261"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sz w:val="24"/>
                <w:szCs w:val="24"/>
                <w:lang w:eastAsia="en-US"/>
              </w:rPr>
              <w:t>Виды экономической деятельности</w:t>
            </w:r>
          </w:p>
        </w:tc>
        <w:tc>
          <w:tcPr>
            <w:tcW w:w="4878"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Структура занятых по годам, %</w:t>
            </w:r>
          </w:p>
        </w:tc>
        <w:tc>
          <w:tcPr>
            <w:tcW w:w="1282" w:type="dxa"/>
            <w:vMerge w:val="restart"/>
            <w:tcBorders>
              <w:top w:val="single" w:sz="4" w:space="0" w:color="000000"/>
              <w:left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Темп роста (снижения) 2022/2016, %</w:t>
            </w:r>
          </w:p>
        </w:tc>
      </w:tr>
      <w:tr w:rsidR="00CF0324">
        <w:trPr>
          <w:trHeight w:val="327"/>
          <w:tblHeader/>
        </w:trPr>
        <w:tc>
          <w:tcPr>
            <w:tcW w:w="3261"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2"/>
                <w:szCs w:val="22"/>
                <w:lang w:eastAsia="en-US"/>
              </w:rPr>
            </w:pP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2016</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2017</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2018</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2019</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2022</w:t>
            </w:r>
          </w:p>
        </w:tc>
        <w:tc>
          <w:tcPr>
            <w:tcW w:w="1282" w:type="dxa"/>
            <w:vMerge/>
            <w:tcBorders>
              <w:left w:val="single" w:sz="4" w:space="0" w:color="000000"/>
              <w:bottom w:val="single" w:sz="4" w:space="0" w:color="000000"/>
              <w:right w:val="single" w:sz="4" w:space="0" w:color="000000"/>
            </w:tcBorders>
          </w:tcPr>
          <w:p w:rsidR="00CF0324" w:rsidRDefault="00CF0324">
            <w:pPr>
              <w:pStyle w:val="1b"/>
              <w:spacing w:line="240" w:lineRule="auto"/>
              <w:jc w:val="center"/>
              <w:rPr>
                <w:rFonts w:ascii="Times New Roman" w:eastAsia="Times New Roman" w:hAnsi="Times New Roman" w:cs="Times New Roman"/>
                <w:lang w:eastAsia="en-US"/>
              </w:rPr>
            </w:pP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Образование</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18,5</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19,6</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19,6</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19,8</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23,8</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19,5</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105,4</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Добыча полезных ископаемых</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10,1</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8,9</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15,4</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17,9</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177,2</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Деятельность в области здравоохранения и социальных услуг</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11,7</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13,5</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11,0</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11,5</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11,1</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94,9</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Государственное управление и обеспечение военной безопасности; социальное обеспечение</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11,8</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10,2</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13,5</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13,7</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8,1</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68,6</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Торговля оптовая и розничная; ремонт автотранспортных средств и мотоциклов</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11,2</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7,2</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6,5</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66,9</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Транспортировка и хранение</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6,6</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5,4</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5,3</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8,5</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128,8</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Обеспечение электрической энергией, газом и паром; </w:t>
            </w:r>
            <w:r>
              <w:rPr>
                <w:rFonts w:ascii="Times New Roman" w:eastAsia="Times New Roman" w:hAnsi="Times New Roman" w:cs="Times New Roman"/>
                <w:sz w:val="24"/>
                <w:szCs w:val="24"/>
                <w:lang w:eastAsia="en-US"/>
              </w:rPr>
              <w:lastRenderedPageBreak/>
              <w:t>кондиционирование воздуха</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lastRenderedPageBreak/>
              <w:t>6,8</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8,2</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4,9</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4,7</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69,1</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Строительство</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0,8</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2,4</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2,4</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5,8</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200,0</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Сельское, лесное хозяйство, охота, рыболовство и рыбоводство</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3,9</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2,8</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2,7</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64,1</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Деятельность в области культуры, спорта, организации досуга и развлечений</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7,4</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6,2</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6,7</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3,5</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2,4</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32,4</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Обрабатывающие производства</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6,1</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9,4</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1,6</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26,2</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Деятельность в области информации и связи </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1,5</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2,6</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146,2</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Деятельность по операциям с недвижимым имуществом</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1,4</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0,1</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0,1</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0,6</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42,9</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Деятельность гостиниц и предприятий общественного питания</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0,7</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0,4</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0,4</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0,4</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0,6</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0,8</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114,3</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Водоснабжение; водоотведение, организация сбора и утилизации отходов, деятельность по ликвидации загрязнений </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4,9</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2,9</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2,3</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0,3</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6,1</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Другие виды экономической деятельности </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3,0</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9,2</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11,1</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6,8</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226,7</w:t>
            </w:r>
          </w:p>
        </w:tc>
      </w:tr>
      <w:tr w:rsidR="00CF0324">
        <w:tc>
          <w:tcPr>
            <w:tcW w:w="3261"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Итого</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675"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764"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7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65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1282"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х</w:t>
            </w:r>
          </w:p>
        </w:tc>
      </w:tr>
    </w:tbl>
    <w:p w:rsidR="00CF0324" w:rsidRDefault="00124A10">
      <w:pPr>
        <w:spacing w:before="240" w:line="276" w:lineRule="auto"/>
        <w:ind w:firstLine="708"/>
        <w:jc w:val="both"/>
        <w:rPr>
          <w:color w:val="000000"/>
        </w:rPr>
      </w:pPr>
      <w:r>
        <w:t xml:space="preserve">Напряженность на рынке труда Кондинского района в среднем </w:t>
      </w:r>
      <w:r>
        <w:rPr>
          <w:i/>
        </w:rPr>
        <w:t>на конкретную дату</w:t>
      </w:r>
      <w:r>
        <w:t xml:space="preserve"> составляет 3 безработных на одну вакансию, согласно мониторингу, проводимого Департаментом труда и занятости населения Ханты - Мансийского автономного округа – Югры (рисунок 1.6.), что свидетельствует об ограниченности рынка труда и спроса на рабочую силу.</w:t>
      </w:r>
    </w:p>
    <w:p w:rsidR="00CF0324" w:rsidRDefault="00124A10">
      <w:pPr>
        <w:spacing w:line="276" w:lineRule="auto"/>
        <w:ind w:firstLine="708"/>
        <w:jc w:val="center"/>
        <w:rPr>
          <w:b/>
          <w:i/>
          <w:color w:val="000000"/>
        </w:rPr>
      </w:pPr>
      <w:r>
        <w:rPr>
          <w:b/>
          <w:i/>
          <w:color w:val="000000"/>
        </w:rPr>
        <w:t xml:space="preserve">Динамика напряженности на рынке труда Кондинского района </w:t>
      </w:r>
    </w:p>
    <w:p w:rsidR="00CF0324" w:rsidRDefault="00124A10">
      <w:pPr>
        <w:spacing w:line="276" w:lineRule="auto"/>
        <w:ind w:firstLine="708"/>
        <w:jc w:val="center"/>
        <w:rPr>
          <w:b/>
          <w:i/>
          <w:color w:val="000000"/>
        </w:rPr>
      </w:pPr>
      <w:r>
        <w:rPr>
          <w:b/>
          <w:i/>
          <w:color w:val="000000"/>
        </w:rPr>
        <w:t>в течение 2022 года</w:t>
      </w:r>
    </w:p>
    <w:p w:rsidR="00CF0324" w:rsidRDefault="00BA49AD">
      <w:pPr>
        <w:spacing w:line="276" w:lineRule="auto"/>
        <w:jc w:val="center"/>
      </w:pPr>
      <w:r>
        <w:rPr>
          <w:noProof/>
          <w:color w:val="000000"/>
        </w:rPr>
        <w:lastRenderedPageBreak/>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5"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166FE" id="AutoShape 1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BeXO0kHwIAAEgEAAAOAAAAAAAAAAAAAAAAAC4CAABkcnMvZTJvRG9jLnhtbFBLAQItABQA&#10;BgAIAAAAIQDrjR772AAAAAUBAAAPAAAAAAAAAAAAAAAAAHkEAABkcnMvZG93bnJldi54bWxQSwUG&#10;AAAAAAQABADzAAAAfgUAAAAA&#10;">
                <v:stroke joinstyle="round"/>
                <o:lock v:ext="edit" selection="t"/>
              </v:rect>
            </w:pict>
          </mc:Fallback>
        </mc:AlternateContent>
      </w:r>
      <w:r>
        <w:rPr>
          <w:noProof/>
          <w:color w:val="000000"/>
        </w:rPr>
        <w:drawing>
          <wp:inline distT="0" distB="0" distL="0" distR="0">
            <wp:extent cx="6207125" cy="2161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7125" cy="2161540"/>
                    </a:xfrm>
                    <a:prstGeom prst="rect">
                      <a:avLst/>
                    </a:prstGeom>
                    <a:noFill/>
                    <a:ln>
                      <a:noFill/>
                    </a:ln>
                  </pic:spPr>
                </pic:pic>
              </a:graphicData>
            </a:graphic>
          </wp:inline>
        </w:drawing>
      </w:r>
      <w:r w:rsidR="00124A10">
        <w:t xml:space="preserve"> Рисунок 1.6. Коэффициент напряженности на рынке труда Кондинского района, на начало каждого месяца в 2022 году, безработных на одну вакансию</w:t>
      </w:r>
      <w:r w:rsidR="00124A10">
        <w:rPr>
          <w:rStyle w:val="16"/>
        </w:rPr>
        <w:footnoteReference w:id="2"/>
      </w:r>
    </w:p>
    <w:p w:rsidR="00CF0324" w:rsidRDefault="00124A10">
      <w:pPr>
        <w:spacing w:before="240" w:line="276" w:lineRule="auto"/>
        <w:ind w:firstLine="708"/>
        <w:jc w:val="both"/>
        <w:rPr>
          <w:color w:val="000000"/>
        </w:rPr>
      </w:pPr>
      <w:r>
        <w:rPr>
          <w:color w:val="000000"/>
        </w:rPr>
        <w:t xml:space="preserve">В совокупности </w:t>
      </w:r>
      <w:r>
        <w:rPr>
          <w:i/>
          <w:color w:val="000000"/>
        </w:rPr>
        <w:t>за период</w:t>
      </w:r>
      <w:r>
        <w:rPr>
          <w:color w:val="000000"/>
        </w:rPr>
        <w:t xml:space="preserve"> картина напряженности на рынке труда Кондинского района складывается более благоприятная, так уже в среднем коэффициент напряженности на рынке труда Кондинского района составляет в среднем за год 0,3 безработных на одну вакансию (таблица 1.8.), что обусловлено реализацией мероприятий государственной программы Ханты - Мансийского автономного округа – Югры «Поддержка занятости населения» и муниципальной программы «Развитие экономического потенциала» по созданию рабочих мест временного трудоустройства, в основном с периодом трудоустройства - два месяца. Рынок труда Кондинского района характеризуется структурной безработицей: спрос на рабочую силу не соответствует предложению.</w:t>
      </w:r>
    </w:p>
    <w:p w:rsidR="00CF0324" w:rsidRDefault="00124A10">
      <w:pPr>
        <w:pStyle w:val="1b"/>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1.8. - Оценка напряженности на регистрируемом рынке труда муниципального образования (по убыванию) за период  по видам экономической деятельности (ОКВЭД):</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955"/>
        <w:gridCol w:w="1175"/>
        <w:gridCol w:w="1094"/>
        <w:gridCol w:w="1278"/>
        <w:gridCol w:w="1163"/>
        <w:gridCol w:w="1247"/>
      </w:tblGrid>
      <w:tr w:rsidR="00CF0324">
        <w:tc>
          <w:tcPr>
            <w:tcW w:w="2586" w:type="dxa"/>
            <w:vMerge w:val="restart"/>
            <w:tcBorders>
              <w:top w:val="single" w:sz="4" w:space="0" w:color="000000"/>
              <w:left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Виды экономической деятельности</w:t>
            </w:r>
          </w:p>
        </w:tc>
        <w:tc>
          <w:tcPr>
            <w:tcW w:w="2130"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Вакансии</w:t>
            </w:r>
          </w:p>
        </w:tc>
        <w:tc>
          <w:tcPr>
            <w:tcW w:w="2372"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Безработные</w:t>
            </w:r>
          </w:p>
        </w:tc>
        <w:tc>
          <w:tcPr>
            <w:tcW w:w="2410"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Напряженность </w:t>
            </w:r>
          </w:p>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(безработных на одну вакансию)*</w:t>
            </w:r>
          </w:p>
        </w:tc>
      </w:tr>
      <w:tr w:rsidR="00CF0324">
        <w:tc>
          <w:tcPr>
            <w:tcW w:w="2586" w:type="dxa"/>
            <w:vMerge/>
            <w:tcBorders>
              <w:left w:val="single" w:sz="4" w:space="0" w:color="000000"/>
              <w:bottom w:val="single" w:sz="4" w:space="0" w:color="000000"/>
              <w:right w:val="single" w:sz="4" w:space="0" w:color="000000"/>
            </w:tcBorders>
          </w:tcPr>
          <w:p w:rsidR="00CF0324" w:rsidRDefault="00CF0324">
            <w:pPr>
              <w:pStyle w:val="1b"/>
              <w:widowControl w:val="0"/>
              <w:spacing w:line="240" w:lineRule="auto"/>
              <w:jc w:val="center"/>
              <w:rPr>
                <w:rFonts w:ascii="Times New Roman" w:eastAsia="Times New Roman" w:hAnsi="Times New Roman" w:cs="Times New Roman"/>
                <w:sz w:val="16"/>
                <w:szCs w:val="16"/>
                <w:lang w:eastAsia="en-US"/>
              </w:rPr>
            </w:pP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01.01.2023 по 07.06.2023</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01.01.2023 по 07.06.2023</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01.01.2023 по 07.06.2023</w:t>
            </w:r>
          </w:p>
        </w:tc>
      </w:tr>
      <w:tr w:rsidR="00CF0324">
        <w:tc>
          <w:tcPr>
            <w:tcW w:w="9498"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i/>
                <w:sz w:val="20"/>
                <w:szCs w:val="20"/>
                <w:lang w:eastAsia="en-US"/>
              </w:rPr>
            </w:pPr>
            <w:r>
              <w:rPr>
                <w:rFonts w:ascii="Times New Roman" w:eastAsia="Times New Roman" w:hAnsi="Times New Roman" w:cs="Times New Roman"/>
                <w:i/>
                <w:sz w:val="20"/>
                <w:szCs w:val="20"/>
                <w:lang w:eastAsia="en-US"/>
              </w:rPr>
              <w:t>по видам экономической деятельности</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K: деятельность финансовая и страховая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0</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нет вакансий</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B: добыча полезных ископаемых</w:t>
            </w:r>
            <w:r>
              <w:rPr>
                <w:sz w:val="18"/>
                <w:szCs w:val="20"/>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0</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нет вакансий</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M: деятельность профессиональная, научная и техническая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2</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4,0</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H: транспортировка и хранение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10</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45</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w:t>
            </w:r>
          </w:p>
        </w:tc>
      </w:tr>
      <w:tr w:rsidR="00CF0324">
        <w:trPr>
          <w:trHeight w:val="44"/>
        </w:trPr>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РАЗДЕЛ S: предоставление прочих видов услуг</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16"/>
                <w:szCs w:val="16"/>
                <w:lang w:eastAsia="en-US"/>
              </w:rPr>
              <w:t>нет вакансий</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Q: деятельность в области здравоохранения и социальных услуг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14</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43</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18</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0,7</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A: сельское, </w:t>
            </w:r>
            <w:r>
              <w:rPr>
                <w:sz w:val="20"/>
                <w:szCs w:val="20"/>
              </w:rPr>
              <w:lastRenderedPageBreak/>
              <w:t xml:space="preserve">лесное хозяйство, охота, рыболовство и рыбоводство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97</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23</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lastRenderedPageBreak/>
              <w:t>РАЗДЕЛ D: обеспечение электрической энергией, газом и паром; кондиционирование</w:t>
            </w:r>
          </w:p>
          <w:p w:rsidR="00CF0324" w:rsidRDefault="00124A10">
            <w:pPr>
              <w:rPr>
                <w:sz w:val="20"/>
                <w:szCs w:val="20"/>
              </w:rPr>
            </w:pPr>
            <w:r>
              <w:rPr>
                <w:sz w:val="20"/>
                <w:szCs w:val="20"/>
              </w:rPr>
              <w:t xml:space="preserve">Воздуха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30</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30</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O: государственное управление и обеспечение военной безопасности;</w:t>
            </w:r>
          </w:p>
          <w:p w:rsidR="00CF0324" w:rsidRDefault="00124A10">
            <w:pPr>
              <w:rPr>
                <w:sz w:val="20"/>
                <w:szCs w:val="20"/>
              </w:rPr>
            </w:pPr>
            <w:r>
              <w:rPr>
                <w:sz w:val="20"/>
                <w:szCs w:val="20"/>
              </w:rPr>
              <w:t xml:space="preserve">Социальное обеспечение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24</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46</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0,7</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L: деятельность по операциям с недвижимым имуществом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0,6</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C: обрабатывающие производства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112</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45</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30</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18</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0,4</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F: строительство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262</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103</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130</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46</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0,5</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0,4</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G: торговля оптовая и розничная; ремонт автотранспортных средств и</w:t>
            </w:r>
          </w:p>
          <w:p w:rsidR="00CF0324" w:rsidRDefault="00124A10">
            <w:pPr>
              <w:rPr>
                <w:sz w:val="20"/>
                <w:szCs w:val="20"/>
              </w:rPr>
            </w:pPr>
            <w:r>
              <w:rPr>
                <w:sz w:val="20"/>
                <w:szCs w:val="20"/>
              </w:rPr>
              <w:t xml:space="preserve">Мотоциклов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286</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147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115</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66</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0,4</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0,4</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E: водоснабжение; водоотведение, организация сбора и утилизации отходов,</w:t>
            </w:r>
          </w:p>
          <w:p w:rsidR="00CF0324" w:rsidRDefault="00124A10">
            <w:pPr>
              <w:rPr>
                <w:sz w:val="20"/>
                <w:szCs w:val="20"/>
              </w:rPr>
            </w:pPr>
            <w:r>
              <w:rPr>
                <w:sz w:val="20"/>
                <w:szCs w:val="20"/>
              </w:rPr>
              <w:t xml:space="preserve">Деятельность по ликвидации загрязнений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I: деятельность гостиниц и предприятий общественного питания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63</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27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18</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N: деятельность административная и сопутствующие дополнительные</w:t>
            </w:r>
          </w:p>
          <w:p w:rsidR="00CF0324" w:rsidRDefault="00124A10">
            <w:pPr>
              <w:rPr>
                <w:sz w:val="20"/>
                <w:szCs w:val="20"/>
              </w:rPr>
            </w:pPr>
            <w:r>
              <w:rPr>
                <w:sz w:val="20"/>
                <w:szCs w:val="20"/>
              </w:rPr>
              <w:t xml:space="preserve">Услуги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161</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67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65</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0,4</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J: деятельность в области информации и связи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14</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0,2</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РАЗДЕЛ P: образование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715</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343</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73</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0,1</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0,1</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РАЗДЕЛ R: деятельность в области культуры, спорта, организации досуга и</w:t>
            </w:r>
          </w:p>
          <w:p w:rsidR="00CF0324" w:rsidRDefault="00124A10">
            <w:pPr>
              <w:rPr>
                <w:sz w:val="20"/>
                <w:szCs w:val="20"/>
              </w:rPr>
            </w:pPr>
            <w:r>
              <w:rPr>
                <w:sz w:val="20"/>
                <w:szCs w:val="20"/>
              </w:rPr>
              <w:t xml:space="preserve">Развлечений </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339</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139</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0,04</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0,1</w:t>
            </w:r>
          </w:p>
        </w:tc>
      </w:tr>
      <w:tr w:rsidR="00CF0324">
        <w:tc>
          <w:tcPr>
            <w:tcW w:w="258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ВСЕГО</w:t>
            </w:r>
          </w:p>
        </w:tc>
        <w:tc>
          <w:tcPr>
            <w:tcW w:w="9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2269</w:t>
            </w:r>
          </w:p>
        </w:tc>
        <w:tc>
          <w:tcPr>
            <w:tcW w:w="117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1004</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754</w:t>
            </w:r>
          </w:p>
        </w:tc>
        <w:tc>
          <w:tcPr>
            <w:tcW w:w="127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340</w:t>
            </w:r>
          </w:p>
        </w:tc>
        <w:tc>
          <w:tcPr>
            <w:tcW w:w="116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c>
          <w:tcPr>
            <w:tcW w:w="124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0,3</w:t>
            </w:r>
          </w:p>
        </w:tc>
      </w:tr>
    </w:tbl>
    <w:p w:rsidR="00CF0324" w:rsidRDefault="00124A10">
      <w:pPr>
        <w:spacing w:before="240" w:line="276" w:lineRule="auto"/>
        <w:ind w:firstLine="708"/>
        <w:jc w:val="both"/>
        <w:rPr>
          <w:color w:val="000000"/>
        </w:rPr>
      </w:pPr>
      <w:r>
        <w:rPr>
          <w:color w:val="000000"/>
        </w:rPr>
        <w:t>Основные вакансии на рынке труда Кондинского района заявлены работодателями в сферах образования, здравоохранения, культуры, министерства внутренних дел (полиция), это вакансии на высококвалифицированный и низкоквалифицированный труд (таблица 1.9.). Основная доля безработных граждан относится к работникам среднего уровня квалификации.</w:t>
      </w:r>
    </w:p>
    <w:p w:rsidR="00CF0324" w:rsidRDefault="00124A10">
      <w:pPr>
        <w:pStyle w:val="1b"/>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1.9. - Оценка напряженности на регистрируемом рынке труда муниципального образования (по убыванию) за период  по укрупненным квалификационным группам (ОКЗ) за период</w:t>
      </w:r>
    </w:p>
    <w:tbl>
      <w:tblPr>
        <w:tblW w:w="9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6"/>
        <w:gridCol w:w="1030"/>
        <w:gridCol w:w="1134"/>
        <w:gridCol w:w="1094"/>
        <w:gridCol w:w="1032"/>
        <w:gridCol w:w="1167"/>
        <w:gridCol w:w="1168"/>
      </w:tblGrid>
      <w:tr w:rsidR="00CF0324">
        <w:tc>
          <w:tcPr>
            <w:tcW w:w="2656" w:type="dxa"/>
            <w:vMerge w:val="restart"/>
            <w:tcBorders>
              <w:top w:val="single" w:sz="4" w:space="0" w:color="000000"/>
              <w:left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Виды экономической деятельности</w:t>
            </w:r>
          </w:p>
        </w:tc>
        <w:tc>
          <w:tcPr>
            <w:tcW w:w="2164"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Вакансии</w:t>
            </w:r>
          </w:p>
        </w:tc>
        <w:tc>
          <w:tcPr>
            <w:tcW w:w="2126"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Безработные</w:t>
            </w:r>
          </w:p>
        </w:tc>
        <w:tc>
          <w:tcPr>
            <w:tcW w:w="2335"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Напряженность </w:t>
            </w:r>
          </w:p>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(безработных на одну вакансию)*</w:t>
            </w:r>
          </w:p>
        </w:tc>
      </w:tr>
      <w:tr w:rsidR="00CF0324">
        <w:tc>
          <w:tcPr>
            <w:tcW w:w="2656" w:type="dxa"/>
            <w:vMerge/>
            <w:tcBorders>
              <w:left w:val="single" w:sz="4" w:space="0" w:color="000000"/>
              <w:bottom w:val="single" w:sz="4" w:space="0" w:color="000000"/>
              <w:right w:val="single" w:sz="4" w:space="0" w:color="000000"/>
            </w:tcBorders>
          </w:tcPr>
          <w:p w:rsidR="00CF0324" w:rsidRDefault="00CF0324">
            <w:pPr>
              <w:pStyle w:val="1b"/>
              <w:widowControl w:val="0"/>
              <w:spacing w:line="240" w:lineRule="auto"/>
              <w:jc w:val="center"/>
              <w:rPr>
                <w:rFonts w:ascii="Times New Roman" w:eastAsia="Times New Roman" w:hAnsi="Times New Roman" w:cs="Times New Roman"/>
                <w:sz w:val="16"/>
                <w:szCs w:val="16"/>
                <w:lang w:eastAsia="en-US"/>
              </w:rPr>
            </w:pPr>
          </w:p>
        </w:tc>
        <w:tc>
          <w:tcPr>
            <w:tcW w:w="103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 по 07.06.2023</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03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 по 07.06.2023</w:t>
            </w:r>
          </w:p>
        </w:tc>
        <w:tc>
          <w:tcPr>
            <w:tcW w:w="116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с 01.01. по 31.12.2022</w:t>
            </w:r>
          </w:p>
        </w:tc>
        <w:tc>
          <w:tcPr>
            <w:tcW w:w="11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rPr>
              <w:t>с 01.01. по 07.06.2023</w:t>
            </w:r>
          </w:p>
        </w:tc>
      </w:tr>
      <w:tr w:rsidR="00CF0324">
        <w:tc>
          <w:tcPr>
            <w:tcW w:w="265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Высококвалифицированные работники</w:t>
            </w:r>
          </w:p>
        </w:tc>
        <w:tc>
          <w:tcPr>
            <w:tcW w:w="103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128</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55</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96</w:t>
            </w:r>
          </w:p>
        </w:tc>
        <w:tc>
          <w:tcPr>
            <w:tcW w:w="103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39</w:t>
            </w:r>
          </w:p>
        </w:tc>
        <w:tc>
          <w:tcPr>
            <w:tcW w:w="116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0,8</w:t>
            </w:r>
          </w:p>
        </w:tc>
        <w:tc>
          <w:tcPr>
            <w:tcW w:w="11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0,7</w:t>
            </w:r>
          </w:p>
        </w:tc>
      </w:tr>
      <w:tr w:rsidR="00CF0324">
        <w:tc>
          <w:tcPr>
            <w:tcW w:w="265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Работники среднего уровня квалификации </w:t>
            </w:r>
          </w:p>
        </w:tc>
        <w:tc>
          <w:tcPr>
            <w:tcW w:w="103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32</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317</w:t>
            </w:r>
          </w:p>
        </w:tc>
        <w:tc>
          <w:tcPr>
            <w:tcW w:w="103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141</w:t>
            </w:r>
          </w:p>
        </w:tc>
        <w:tc>
          <w:tcPr>
            <w:tcW w:w="116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w:t>
            </w:r>
          </w:p>
        </w:tc>
        <w:tc>
          <w:tcPr>
            <w:tcW w:w="11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4,4</w:t>
            </w:r>
          </w:p>
        </w:tc>
      </w:tr>
      <w:tr w:rsidR="00CF0324">
        <w:tc>
          <w:tcPr>
            <w:tcW w:w="2656"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Низкоквалифицированные работники</w:t>
            </w:r>
          </w:p>
        </w:tc>
        <w:tc>
          <w:tcPr>
            <w:tcW w:w="103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hAnsi="Times New Roman" w:cs="Times New Roman"/>
                <w:sz w:val="20"/>
                <w:szCs w:val="20"/>
              </w:rPr>
            </w:pPr>
            <w:r>
              <w:rPr>
                <w:rFonts w:ascii="Times New Roman" w:hAnsi="Times New Roman" w:cs="Times New Roman"/>
                <w:sz w:val="20"/>
                <w:szCs w:val="20"/>
              </w:rPr>
              <w:t>2048</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917</w:t>
            </w:r>
          </w:p>
        </w:tc>
        <w:tc>
          <w:tcPr>
            <w:tcW w:w="10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341</w:t>
            </w:r>
          </w:p>
        </w:tc>
        <w:tc>
          <w:tcPr>
            <w:tcW w:w="103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160</w:t>
            </w:r>
          </w:p>
        </w:tc>
        <w:tc>
          <w:tcPr>
            <w:tcW w:w="116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0,2</w:t>
            </w:r>
          </w:p>
        </w:tc>
        <w:tc>
          <w:tcPr>
            <w:tcW w:w="116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0,2</w:t>
            </w:r>
          </w:p>
        </w:tc>
      </w:tr>
    </w:tbl>
    <w:p w:rsidR="00CF0324" w:rsidRDefault="00124A10">
      <w:pPr>
        <w:spacing w:before="240" w:line="276" w:lineRule="auto"/>
        <w:ind w:firstLine="708"/>
        <w:jc w:val="both"/>
        <w:rPr>
          <w:color w:val="000000"/>
        </w:rPr>
      </w:pPr>
      <w:r>
        <w:rPr>
          <w:color w:val="000000"/>
        </w:rPr>
        <w:t>Профессиональную подготовку кадров для экономики на территории Кондинского района обеспечивает бюджетное учреждение профессионального образования Ханты - Мансийского автономного округа – Югры «Междуреченский агропромышленный колледж». За 2016-2022 годы учебное заведение подготовило 770 специалистов разной направленности. Основные направления подготовки</w:t>
      </w:r>
      <w:r>
        <w:rPr>
          <w:rStyle w:val="16"/>
          <w:color w:val="000000"/>
        </w:rPr>
        <w:footnoteReference w:id="3"/>
      </w:r>
      <w:r>
        <w:rPr>
          <w:color w:val="000000"/>
        </w:rPr>
        <w:t xml:space="preserve"> проводятся в рамках мастерских по приоритетным группам компетенций:</w:t>
      </w:r>
    </w:p>
    <w:p w:rsidR="00CF0324" w:rsidRDefault="00124A10">
      <w:pPr>
        <w:spacing w:line="276" w:lineRule="auto"/>
        <w:ind w:firstLine="708"/>
        <w:jc w:val="both"/>
        <w:rPr>
          <w:color w:val="000000"/>
        </w:rPr>
      </w:pPr>
      <w:r>
        <w:rPr>
          <w:i/>
          <w:color w:val="000000"/>
        </w:rPr>
        <w:t>Промышленная экология и биотехнологии</w:t>
      </w:r>
      <w:r>
        <w:rPr>
          <w:color w:val="000000"/>
        </w:rPr>
        <w:t>: повар, кондитер -19.01.17; Технология продукции общественного питания – 19.02.10;</w:t>
      </w:r>
    </w:p>
    <w:p w:rsidR="00CF0324" w:rsidRDefault="00124A10">
      <w:pPr>
        <w:spacing w:line="276" w:lineRule="auto"/>
        <w:ind w:firstLine="708"/>
        <w:jc w:val="both"/>
        <w:rPr>
          <w:color w:val="000000"/>
        </w:rPr>
      </w:pPr>
      <w:r>
        <w:rPr>
          <w:i/>
          <w:color w:val="000000"/>
        </w:rPr>
        <w:t>Сельское, лесное и рыбное хозяйство:</w:t>
      </w:r>
      <w:r>
        <w:rPr>
          <w:color w:val="000000"/>
        </w:rPr>
        <w:t xml:space="preserve"> мастер сельскохозяйственного производства – 35.01.11; Агрономия – 35.02.05; Механизация сельского хозяйства – 35.02.07; тракторист-машинист сельскохозяйственного производства - 35.01.13;</w:t>
      </w:r>
    </w:p>
    <w:p w:rsidR="00CF0324" w:rsidRDefault="00124A10">
      <w:pPr>
        <w:spacing w:line="276" w:lineRule="auto"/>
        <w:ind w:firstLine="708"/>
        <w:jc w:val="both"/>
        <w:rPr>
          <w:color w:val="000000"/>
        </w:rPr>
      </w:pPr>
      <w:r>
        <w:rPr>
          <w:i/>
          <w:color w:val="000000"/>
        </w:rPr>
        <w:t>Техника и технологии наземного транспорта:</w:t>
      </w:r>
      <w:r>
        <w:rPr>
          <w:color w:val="000000"/>
        </w:rPr>
        <w:t xml:space="preserve"> автомеханик – 23.01.03; техническое обслуживание и ремонт автомобильного транспорта - 23.02.03;</w:t>
      </w:r>
    </w:p>
    <w:p w:rsidR="00CF0324" w:rsidRDefault="00124A10">
      <w:pPr>
        <w:spacing w:line="276" w:lineRule="auto"/>
        <w:ind w:firstLine="708"/>
        <w:jc w:val="both"/>
        <w:rPr>
          <w:color w:val="000000"/>
        </w:rPr>
      </w:pPr>
      <w:r>
        <w:rPr>
          <w:i/>
          <w:color w:val="000000"/>
        </w:rPr>
        <w:t>Техника и технологии строительства:</w:t>
      </w:r>
      <w:r>
        <w:rPr>
          <w:color w:val="000000"/>
        </w:rPr>
        <w:t xml:space="preserve"> мастер общестроительных работ – 08.01.07;</w:t>
      </w:r>
    </w:p>
    <w:p w:rsidR="00CF0324" w:rsidRDefault="00124A10">
      <w:pPr>
        <w:spacing w:line="276" w:lineRule="auto"/>
        <w:ind w:firstLine="708"/>
        <w:jc w:val="both"/>
        <w:rPr>
          <w:color w:val="000000"/>
        </w:rPr>
      </w:pPr>
      <w:r>
        <w:rPr>
          <w:i/>
          <w:color w:val="000000"/>
        </w:rPr>
        <w:t>Экономика и управление:</w:t>
      </w:r>
      <w:r>
        <w:rPr>
          <w:color w:val="000000"/>
        </w:rPr>
        <w:t xml:space="preserve"> продавец, контролер-кассир – 38.01.02; экономика и бухгалтерский учет (по отраслям) – 38.02.01;</w:t>
      </w:r>
    </w:p>
    <w:p w:rsidR="00CF0324" w:rsidRDefault="00124A10">
      <w:pPr>
        <w:spacing w:line="276" w:lineRule="auto"/>
        <w:ind w:firstLine="708"/>
        <w:jc w:val="both"/>
        <w:rPr>
          <w:color w:val="000000"/>
        </w:rPr>
      </w:pPr>
      <w:r>
        <w:rPr>
          <w:i/>
          <w:color w:val="000000"/>
        </w:rPr>
        <w:t>Образование и педагогические науки</w:t>
      </w:r>
      <w:r>
        <w:rPr>
          <w:color w:val="000000"/>
        </w:rPr>
        <w:t>: дошкольное образование – 44.02.01;</w:t>
      </w:r>
    </w:p>
    <w:p w:rsidR="00CF0324" w:rsidRDefault="00124A10">
      <w:pPr>
        <w:spacing w:line="276" w:lineRule="auto"/>
        <w:ind w:firstLine="708"/>
        <w:jc w:val="both"/>
        <w:rPr>
          <w:color w:val="000000"/>
        </w:rPr>
      </w:pPr>
      <w:r>
        <w:rPr>
          <w:i/>
          <w:color w:val="000000"/>
        </w:rPr>
        <w:t>Информатика и вычислительная техника:</w:t>
      </w:r>
      <w:r>
        <w:rPr>
          <w:color w:val="000000"/>
        </w:rPr>
        <w:t xml:space="preserve"> программирование в компьютерных системах – 09.02.03;</w:t>
      </w:r>
    </w:p>
    <w:p w:rsidR="00CF0324" w:rsidRDefault="00124A10">
      <w:pPr>
        <w:spacing w:line="276" w:lineRule="auto"/>
        <w:ind w:firstLine="708"/>
        <w:jc w:val="both"/>
        <w:rPr>
          <w:color w:val="000000"/>
        </w:rPr>
      </w:pPr>
      <w:r>
        <w:rPr>
          <w:i/>
          <w:color w:val="000000"/>
        </w:rPr>
        <w:t>Информационная безопасность</w:t>
      </w:r>
      <w:r>
        <w:rPr>
          <w:color w:val="000000"/>
        </w:rPr>
        <w:t>: информационная безопасность автоматизированных систем – 10.02.03.</w:t>
      </w:r>
    </w:p>
    <w:p w:rsidR="00CF0324" w:rsidRDefault="00124A10">
      <w:pPr>
        <w:spacing w:line="276" w:lineRule="auto"/>
        <w:ind w:firstLine="708"/>
        <w:jc w:val="both"/>
        <w:rPr>
          <w:color w:val="000000"/>
        </w:rPr>
      </w:pPr>
      <w:r>
        <w:rPr>
          <w:color w:val="000000"/>
        </w:rPr>
        <w:t>Выпускники общеобразовательных организаций района в среднем ежегодно поступают в учебные заведения среднего профессионального образования около 300 чел., высшего профессионального образования около 80 чел.</w:t>
      </w:r>
    </w:p>
    <w:p w:rsidR="00CF0324" w:rsidRDefault="00124A10">
      <w:pPr>
        <w:spacing w:line="276" w:lineRule="auto"/>
        <w:ind w:firstLine="708"/>
        <w:jc w:val="both"/>
      </w:pPr>
      <w:r>
        <w:t>Ситуация на рынке труда характеризуется отдельными негативными тенденциями в частности сокращением численности трудоспособного населения, малым размером рынка труда и сокращением спроса на рабочую силу. В то же время имеется</w:t>
      </w:r>
      <w:r>
        <w:rPr>
          <w:rFonts w:eastAsia="TimesNewRomanPSMT"/>
        </w:rPr>
        <w:t xml:space="preserve"> дефицит квалифицированных трудовых ресурсов, особенно в сельских поселениях, </w:t>
      </w:r>
      <w:r>
        <w:t xml:space="preserve">присутствует тенденция не соответствие спроса и предложения на рынке труда, </w:t>
      </w:r>
      <w:r>
        <w:rPr>
          <w:rFonts w:eastAsia="TimesNewRomanPSMT"/>
        </w:rPr>
        <w:t>неразвитость системы непрерывного образования.</w:t>
      </w:r>
    </w:p>
    <w:p w:rsidR="00CF0324" w:rsidRDefault="00124A10">
      <w:pPr>
        <w:pStyle w:val="2"/>
        <w:spacing w:before="240" w:after="240"/>
        <w:jc w:val="left"/>
        <w:rPr>
          <w:b w:val="0"/>
          <w:i/>
          <w:sz w:val="24"/>
          <w:lang w:val="ru-RU"/>
        </w:rPr>
      </w:pPr>
      <w:bookmarkStart w:id="6" w:name="_Toc6"/>
      <w:r w:rsidRPr="00124A10">
        <w:rPr>
          <w:b w:val="0"/>
          <w:i/>
          <w:sz w:val="24"/>
          <w:lang w:val="ru-RU"/>
        </w:rPr>
        <w:t>1.3.</w:t>
      </w:r>
      <w:r>
        <w:rPr>
          <w:b w:val="0"/>
          <w:i/>
          <w:sz w:val="24"/>
          <w:lang w:val="ru-RU"/>
        </w:rPr>
        <w:t xml:space="preserve"> </w:t>
      </w:r>
      <w:r w:rsidRPr="00124A10">
        <w:rPr>
          <w:b w:val="0"/>
          <w:i/>
          <w:sz w:val="24"/>
          <w:lang w:val="ru-RU"/>
        </w:rPr>
        <w:t>Гражданское общество</w:t>
      </w:r>
      <w:bookmarkEnd w:id="6"/>
    </w:p>
    <w:p w:rsidR="00CF0324" w:rsidRDefault="00124A10">
      <w:pPr>
        <w:spacing w:line="276" w:lineRule="auto"/>
        <w:ind w:firstLine="709"/>
        <w:jc w:val="both"/>
      </w:pPr>
      <w:r>
        <w:t xml:space="preserve">Формирование гражданского общества Кондинского района обусловлено многонациональным составом населения: русские – 76,8%, манси – 11,7%, ханты – 4,2%, </w:t>
      </w:r>
      <w:r>
        <w:lastRenderedPageBreak/>
        <w:t>татары – 1,7%, украинцы – 1%, башкиры – 0,5%, другие национальности – 4,1%. Всего, согласно Всероссийской переписи населения 2020 года в Кондинском районе проживает 55 национальностей.</w:t>
      </w:r>
    </w:p>
    <w:p w:rsidR="00CF0324" w:rsidRDefault="00124A10">
      <w:pPr>
        <w:spacing w:line="276" w:lineRule="auto"/>
        <w:ind w:firstLine="709"/>
        <w:jc w:val="both"/>
      </w:pPr>
      <w:r>
        <w:t>В Кондинском районе доля сельского населения составляет 31%, что выше среднего значения в Ханты - Мансийском автономном округе – Югре.</w:t>
      </w:r>
    </w:p>
    <w:p w:rsidR="00CF0324" w:rsidRDefault="00124A10">
      <w:pPr>
        <w:spacing w:line="276" w:lineRule="auto"/>
        <w:ind w:firstLine="709"/>
        <w:jc w:val="both"/>
      </w:pPr>
      <w:r>
        <w:t>Некоммерческий сектор Кондинского района, создающий институциональную среду для функционирования гражданского общества, по данным рейтинга среди муниципальных образований Ханты – Мансийского автономного округа – Югры, проводимого Депэкономики Югры по итогам 2022 года, характеризуется 9 местом.</w:t>
      </w:r>
    </w:p>
    <w:p w:rsidR="00CF0324" w:rsidRDefault="00124A10">
      <w:pPr>
        <w:spacing w:line="276" w:lineRule="auto"/>
        <w:ind w:firstLine="708"/>
        <w:jc w:val="both"/>
      </w:pPr>
      <w:r>
        <w:t>Характерной особенностью созданной системы социально-ориентированных некоммерческих организаций (далее – СОНКО) является высокий уровень их поддержки. С 2017 года оказывается финансовая поддержка некоммерческим организациям Кондинского района. В форме субсидий, в том числе через механизм персонифицированного финансирования (сертификаты), оказана 61 получателем из числа некоммерческих организаций Кондинского района, путем размещения муниципального заказа на сумму 57,5 млн. руб. по трём направлениям: в сфере образования и молодежной политики, в сфере культуры и спорта. На территории всех поселений муниципального образования Кондинский район установлено льготное налогообложение для СОНКО и социальных предпринимателей по земельному налогу. И</w:t>
      </w:r>
      <w:r>
        <w:rPr>
          <w:bCs/>
        </w:rPr>
        <w:t>мущественная поддержка СОНКО осуществляется путем</w:t>
      </w:r>
      <w:r>
        <w:t xml:space="preserve"> передачи муниципального имущества в безвозмездное пользование или в аренду. Размер арендной платы для СОНКО составляет 1 рубль в месяц за один объект муниципального имущества.</w:t>
      </w:r>
    </w:p>
    <w:p w:rsidR="00CF0324" w:rsidRDefault="00124A10">
      <w:pPr>
        <w:spacing w:line="276" w:lineRule="auto"/>
        <w:ind w:firstLine="708"/>
        <w:jc w:val="both"/>
      </w:pPr>
      <w:r>
        <w:t xml:space="preserve">На территории Кондинского района создан Ресурсный центр поддержки социально ориентированных некоммерческих организаций, социальных предпринимателей,  добровольчества (волонтёрства). </w:t>
      </w:r>
    </w:p>
    <w:p w:rsidR="00CF0324" w:rsidRDefault="00124A10">
      <w:pPr>
        <w:spacing w:line="276" w:lineRule="auto"/>
        <w:ind w:firstLine="708"/>
        <w:jc w:val="both"/>
      </w:pPr>
      <w:r>
        <w:t>В Кондинском районе 55 волонтерских объединений, в том числе 6 – «серебряного возраста», около 800 человек получили личные книжки волонтера. Ежегодно более 4400 человек вовлекаются в волонтерские мероприятия.</w:t>
      </w:r>
    </w:p>
    <w:p w:rsidR="00CF0324" w:rsidRDefault="00124A10">
      <w:pPr>
        <w:shd w:val="clear" w:color="auto" w:fill="FFFFFF"/>
        <w:spacing w:line="276" w:lineRule="auto"/>
        <w:ind w:firstLine="709"/>
        <w:jc w:val="both"/>
        <w:rPr>
          <w:rFonts w:eastAsia="Calibri"/>
          <w:lang w:eastAsia="en-US"/>
        </w:rPr>
      </w:pPr>
      <w:r>
        <w:rPr>
          <w:rFonts w:eastAsia="Calibri"/>
          <w:lang w:eastAsia="en-US"/>
        </w:rPr>
        <w:t>На территории района волонтерами проводятся следующие основные мероприятия:</w:t>
      </w:r>
    </w:p>
    <w:p w:rsidR="00CF0324" w:rsidRDefault="00124A10">
      <w:pPr>
        <w:shd w:val="clear" w:color="auto" w:fill="FFFFFF"/>
        <w:spacing w:line="276" w:lineRule="auto"/>
        <w:ind w:firstLine="709"/>
        <w:jc w:val="both"/>
        <w:rPr>
          <w:rFonts w:eastAsia="Calibri"/>
          <w:lang w:eastAsia="en-US"/>
        </w:rPr>
      </w:pPr>
      <w:r>
        <w:rPr>
          <w:rFonts w:eastAsia="Calibri"/>
          <w:lang w:eastAsia="en-US"/>
        </w:rPr>
        <w:t xml:space="preserve">социальные, благотворительные акции; </w:t>
      </w:r>
    </w:p>
    <w:p w:rsidR="00CF0324" w:rsidRDefault="00124A10">
      <w:pPr>
        <w:shd w:val="clear" w:color="auto" w:fill="FFFFFF"/>
        <w:spacing w:line="276" w:lineRule="auto"/>
        <w:ind w:firstLine="709"/>
        <w:jc w:val="both"/>
        <w:rPr>
          <w:rFonts w:eastAsia="Calibri"/>
          <w:lang w:eastAsia="en-US"/>
        </w:rPr>
      </w:pPr>
      <w:r>
        <w:rPr>
          <w:rFonts w:eastAsia="Calibri"/>
          <w:lang w:eastAsia="en-US"/>
        </w:rPr>
        <w:t>оказание адресно-социальной помощи ветеранам Великой Отечественной войны, труженикам тыла, инвалидам пенсионного возраста и одиноко проживающим инвалидам;</w:t>
      </w:r>
    </w:p>
    <w:p w:rsidR="00CF0324" w:rsidRDefault="00124A10">
      <w:pPr>
        <w:shd w:val="clear" w:color="auto" w:fill="FFFFFF"/>
        <w:spacing w:line="276" w:lineRule="auto"/>
        <w:ind w:firstLine="709"/>
        <w:jc w:val="both"/>
        <w:rPr>
          <w:rFonts w:eastAsia="Calibri"/>
          <w:lang w:eastAsia="en-US"/>
        </w:rPr>
      </w:pPr>
      <w:r>
        <w:rPr>
          <w:rFonts w:eastAsia="Calibri"/>
          <w:lang w:eastAsia="en-US"/>
        </w:rPr>
        <w:t>помощь в организации и проведении районных, окружных социально-значимых мероприятиях по гражданскому и патриотическому воспитанию детей, подростков и молодежи по направлениям.</w:t>
      </w:r>
    </w:p>
    <w:p w:rsidR="00CF0324" w:rsidRDefault="00124A10">
      <w:pPr>
        <w:shd w:val="clear" w:color="auto" w:fill="FFFFFF"/>
        <w:spacing w:line="276" w:lineRule="auto"/>
        <w:ind w:firstLine="709"/>
        <w:jc w:val="both"/>
        <w:rPr>
          <w:rFonts w:eastAsia="Calibri"/>
          <w:lang w:eastAsia="en-US"/>
        </w:rPr>
      </w:pPr>
      <w:r>
        <w:rPr>
          <w:rFonts w:eastAsia="Calibri"/>
          <w:lang w:eastAsia="en-US"/>
        </w:rPr>
        <w:t>Основные направления волонтерской деятельности в Кондинском районе: волонтеры общественной безопасности; волонтеры-медики; волонтеры Победы; волонтеры «серебряного возраста»; семейное волонтерство (добровольчество); социальное волонтерство (добровольчество); событийное волонтерство (добровольчество); корпоративное волонтерство (добровольчество); культурно-досуговое волонтерство (добровольчество); экологическое волонтерство; профориентационное волонтерство; медиа-волонтерство.</w:t>
      </w:r>
    </w:p>
    <w:p w:rsidR="00CF0324" w:rsidRDefault="00124A10">
      <w:pPr>
        <w:spacing w:line="276" w:lineRule="auto"/>
        <w:ind w:firstLine="708"/>
        <w:jc w:val="both"/>
      </w:pPr>
      <w:r>
        <w:t xml:space="preserve">Важным составным элементом гражданского общества района является активная деятельность общественности. Общественный Совет Кондинского района действует на основании постановления администрации Кондинского района от 26 февраля 2016 года № </w:t>
      </w:r>
      <w:r>
        <w:lastRenderedPageBreak/>
        <w:t xml:space="preserve">342 «Об Общественном Совете Кондинского района». </w:t>
      </w:r>
      <w:r>
        <w:rPr>
          <w:lang w:eastAsia="en-US"/>
        </w:rPr>
        <w:t xml:space="preserve">В состав Общественного Совета Кондинского района входит 18 членов, представители образования, культуры, спорта, здравоохранения, предпринимательства, общественных организации совета ветеранов, общества инвалидов, многодетных семей, защиты животных, православного прихода в честь иконы Божьей Матери «Всех скорбящих радость», СМИ и коренных малочисленных народов Севера. </w:t>
      </w:r>
      <w:r>
        <w:t>Члены Совета ведут активную работу по развитию гражданского общества, реализуют проекты по защите животных, экологии, поддерживают инвалидов и пожилых, заботятся о духовно-нравственном, патриотическом воспитании всего населения района, принимают участие в реализации проектов инициативного бюджетирования.</w:t>
      </w:r>
    </w:p>
    <w:p w:rsidR="00CF0324" w:rsidRPr="00124A10" w:rsidRDefault="00124A10">
      <w:pPr>
        <w:pStyle w:val="2"/>
        <w:spacing w:before="240" w:after="240"/>
        <w:jc w:val="left"/>
        <w:rPr>
          <w:b w:val="0"/>
          <w:i/>
          <w:sz w:val="24"/>
          <w:lang w:val="ru-RU"/>
        </w:rPr>
      </w:pPr>
      <w:bookmarkStart w:id="7" w:name="_Toc7"/>
      <w:r w:rsidRPr="00124A10">
        <w:rPr>
          <w:b w:val="0"/>
          <w:i/>
          <w:sz w:val="24"/>
          <w:lang w:val="ru-RU"/>
        </w:rPr>
        <w:t>1.4. Промышленность</w:t>
      </w:r>
      <w:bookmarkEnd w:id="7"/>
    </w:p>
    <w:p w:rsidR="00CF0324" w:rsidRDefault="00124A10">
      <w:pPr>
        <w:spacing w:line="276" w:lineRule="auto"/>
        <w:ind w:firstLine="708"/>
        <w:jc w:val="both"/>
        <w:rPr>
          <w:bCs/>
        </w:rPr>
      </w:pPr>
      <w:r>
        <w:rPr>
          <w:bCs/>
        </w:rPr>
        <w:t>Исторически промышленность Кондинского района представлена предприятиями нефтедобывающей отрасли и лесной промышленности.</w:t>
      </w:r>
    </w:p>
    <w:p w:rsidR="00CF0324" w:rsidRDefault="00124A10">
      <w:pPr>
        <w:spacing w:line="276" w:lineRule="auto"/>
        <w:ind w:firstLine="708"/>
        <w:jc w:val="both"/>
        <w:rPr>
          <w:bCs/>
        </w:rPr>
      </w:pPr>
      <w:r>
        <w:rPr>
          <w:bCs/>
        </w:rPr>
        <w:t>Добыча полезных ископаемых занимает 99% в структуре отгрузки промышленной продукции района (крупнейшие предприятия – ООО «Лукойл Западная - Сибирь», АО НК «Конданефть», ООО «Газпромнефть-Хантос» и др.); 1</w:t>
      </w:r>
      <w:r>
        <w:t>% приходится на виды экономической деятельности «обеспечение электрической энергии, газа и воды; кондиционирование воздуха» (ООО СК «Лидер», ООО «Мобильный мир», ООО «Теплотехник», ООО «Комплекс коммунальных платежей», ООО «Теплотехсервис», АО «ЮТЭК-Конда» и др.) и «</w:t>
      </w:r>
      <w:r>
        <w:rPr>
          <w:bCs/>
        </w:rPr>
        <w:t>обрабатывающие производства» (ООО СК «Лидер» и др.).</w:t>
      </w:r>
    </w:p>
    <w:p w:rsidR="00CF0324" w:rsidRDefault="00124A10">
      <w:pPr>
        <w:spacing w:line="276" w:lineRule="auto"/>
        <w:ind w:firstLine="708"/>
        <w:jc w:val="both"/>
        <w:rPr>
          <w:bCs/>
        </w:rPr>
      </w:pPr>
      <w:r>
        <w:rPr>
          <w:bCs/>
        </w:rPr>
        <w:t xml:space="preserve">В лесной промышленности с 90-х годов </w:t>
      </w:r>
      <w:r>
        <w:rPr>
          <w:bCs/>
          <w:lang w:val="en-US"/>
        </w:rPr>
        <w:t>XX</w:t>
      </w:r>
      <w:r>
        <w:rPr>
          <w:bCs/>
        </w:rPr>
        <w:t xml:space="preserve"> века и до 2022 года наблюдается снижение объемов производства основных видов лесопромышленной продукции. Так, заготовка леса уменьшились в 13 раз – с 2 500 тыс. м</w:t>
      </w:r>
      <w:r>
        <w:rPr>
          <w:bCs/>
          <w:vertAlign w:val="superscript"/>
        </w:rPr>
        <w:t>3</w:t>
      </w:r>
      <w:r>
        <w:rPr>
          <w:bCs/>
        </w:rPr>
        <w:t xml:space="preserve"> в 1990 г. до 187,8 тыс. м</w:t>
      </w:r>
      <w:r>
        <w:rPr>
          <w:bCs/>
          <w:vertAlign w:val="superscript"/>
        </w:rPr>
        <w:t>3</w:t>
      </w:r>
      <w:r>
        <w:rPr>
          <w:bCs/>
        </w:rPr>
        <w:t xml:space="preserve"> в 2022 г. Объемы выпуска пиломатериалов снизились в 14 раз – со 137 тыс. м</w:t>
      </w:r>
      <w:r>
        <w:rPr>
          <w:bCs/>
          <w:vertAlign w:val="superscript"/>
        </w:rPr>
        <w:t xml:space="preserve">3  </w:t>
      </w:r>
      <w:r>
        <w:rPr>
          <w:bCs/>
        </w:rPr>
        <w:t>в 1994 г. до 10 тыс. м</w:t>
      </w:r>
      <w:r>
        <w:rPr>
          <w:bCs/>
          <w:vertAlign w:val="superscript"/>
        </w:rPr>
        <w:t>3</w:t>
      </w:r>
      <w:r>
        <w:rPr>
          <w:bCs/>
        </w:rPr>
        <w:t xml:space="preserve"> в 2022 г. В 2009 году в лесной отрасли функционировало 13 лесопромышленных предприятий, из них крупных и средних – 6 ед. и малых – 7 ед. В отрасли работало 25% занятых в экономике района. По состоянию на 01.01.2023 года работает 49 лесопромышленных предприятий, из них 13 организовано в форме обществ с ограниченной ответственностью и 36 – это индивидуальные предприниматели без образования юридического лица, занимающиеся, в основном, исполнением муниципального заказа по обеспечению населения района топливными дровами.</w:t>
      </w:r>
    </w:p>
    <w:p w:rsidR="00CF0324" w:rsidRDefault="00124A10">
      <w:pPr>
        <w:spacing w:line="276" w:lineRule="auto"/>
        <w:ind w:firstLine="708"/>
        <w:jc w:val="both"/>
        <w:rPr>
          <w:bCs/>
        </w:rPr>
      </w:pPr>
      <w:r>
        <w:t>Крупный промышленный объект Кондинского района, который был построен в последнее десятилетие – это завод МДФ в пгт. Мортка, после его банкротства, на произведённых площадях создан Индустриальный парк «Кондинский». С</w:t>
      </w:r>
      <w:r>
        <w:rPr>
          <w:bCs/>
        </w:rPr>
        <w:t xml:space="preserve"> 2020 года обществом с ограниченной ответственностью «СК Лидер» возобновлено производство</w:t>
      </w:r>
      <w:r>
        <w:t xml:space="preserve"> </w:t>
      </w:r>
      <w:r>
        <w:rPr>
          <w:bCs/>
        </w:rPr>
        <w:t>продукции лесопереработки на площадке «Индустриального парка «Кондинский». По итогам работы 2022 года выпущено плиты МФД – 16,7 тыс. куб. м., топливной щепы – 119,2 тыс. куб. м и топливных брикетов – 195 тонн. Численность работающих на предприятии составила 156 чел.</w:t>
      </w:r>
    </w:p>
    <w:p w:rsidR="00CF0324" w:rsidRDefault="00124A10">
      <w:pPr>
        <w:spacing w:line="276" w:lineRule="auto"/>
        <w:ind w:firstLine="708"/>
        <w:jc w:val="both"/>
        <w:rPr>
          <w:bCs/>
        </w:rPr>
      </w:pPr>
      <w:r>
        <w:rPr>
          <w:bCs/>
        </w:rPr>
        <w:t xml:space="preserve">Общий объем отгруженных товаров собственного производства по крупным и средним предприятиям Кондинского района за 2022 год в действующих ценах составил 276 795 млн. руб. (таблица 1.10.), или около 6% от общего объема отгруженной продукции в </w:t>
      </w:r>
      <w:r>
        <w:t>Ханты-Мансийском автономном округе – Югре</w:t>
      </w:r>
      <w:r>
        <w:rPr>
          <w:bCs/>
        </w:rPr>
        <w:t xml:space="preserve">. Основную долю в объеме отгруженной продукции занимает «добыча полезных ископаемых» - 99,7%. За последние 7 лет объем </w:t>
      </w:r>
      <w:r>
        <w:rPr>
          <w:bCs/>
        </w:rPr>
        <w:lastRenderedPageBreak/>
        <w:t>отгруженных товаров собственного производства в действующих ценах увеличился почти 8 раз, за счет увеличения объемов отгрузки по виду экономической деятельности «добыча полезных ископаемых» почти в 9 раз. За 2016-2022 годы на территории района добыто нефти - 35,1 млн. тонн, газа - 3,5 млрд. куб. м., торфа – 32,3 тыс. тонн.</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1.10. – </w:t>
      </w:r>
      <w:r>
        <w:rPr>
          <w:rFonts w:ascii="Times New Roman" w:eastAsia="Calibri" w:hAnsi="Times New Roman" w:cs="Times New Roman"/>
          <w:sz w:val="24"/>
          <w:szCs w:val="24"/>
        </w:rPr>
        <w:t xml:space="preserve">Динамика показателей развития промышленности муниципального образования, в том числе: </w:t>
      </w:r>
      <w:r>
        <w:rPr>
          <w:rFonts w:ascii="Times New Roman" w:eastAsia="Times New Roman" w:hAnsi="Times New Roman" w:cs="Times New Roman"/>
          <w:sz w:val="24"/>
          <w:szCs w:val="24"/>
        </w:rPr>
        <w:t>динамика выполнения целевых показателей развития малого предпринимательства Стратегии социально-экономического развития Кондинского района Ханты-Мансийского автономного округа – Югры на период до 2030 года</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672"/>
        <w:gridCol w:w="1134"/>
        <w:gridCol w:w="850"/>
        <w:gridCol w:w="884"/>
        <w:gridCol w:w="850"/>
        <w:gridCol w:w="851"/>
        <w:gridCol w:w="851"/>
        <w:gridCol w:w="850"/>
        <w:gridCol w:w="850"/>
      </w:tblGrid>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№п/п</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Показатели</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2016</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rPr>
            </w:pPr>
            <w:r>
              <w:rPr>
                <w:rFonts w:eastAsia="Calibri"/>
                <w:sz w:val="18"/>
                <w:szCs w:val="18"/>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rPr>
            </w:pPr>
            <w:r>
              <w:rPr>
                <w:rFonts w:eastAsia="Calibri"/>
                <w:sz w:val="18"/>
                <w:szCs w:val="18"/>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2019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b/>
                <w:sz w:val="18"/>
                <w:szCs w:val="18"/>
                <w:lang w:eastAsia="en-US"/>
              </w:rPr>
            </w:pPr>
            <w:r>
              <w:rPr>
                <w:rFonts w:eastAsia="Calibri"/>
                <w:b/>
                <w:sz w:val="18"/>
                <w:szCs w:val="18"/>
              </w:rPr>
              <w:t>1</w:t>
            </w:r>
          </w:p>
        </w:tc>
        <w:tc>
          <w:tcPr>
            <w:tcW w:w="8792" w:type="dxa"/>
            <w:gridSpan w:val="9"/>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b/>
                <w:sz w:val="18"/>
                <w:szCs w:val="18"/>
              </w:rPr>
            </w:pPr>
            <w:r>
              <w:rPr>
                <w:rFonts w:eastAsia="Calibri"/>
                <w:b/>
                <w:sz w:val="18"/>
                <w:szCs w:val="18"/>
              </w:rPr>
              <w:t>Объем отгруженных товаров собственного производства, выполненных работ и услуг собственными силами</w:t>
            </w:r>
          </w:p>
          <w:p w:rsidR="00CF0324" w:rsidRDefault="00124A10">
            <w:pPr>
              <w:widowControl w:val="0"/>
              <w:jc w:val="both"/>
              <w:rPr>
                <w:rFonts w:eastAsia="Calibri"/>
                <w:b/>
                <w:sz w:val="18"/>
                <w:szCs w:val="18"/>
                <w:lang w:eastAsia="en-US"/>
              </w:rPr>
            </w:pPr>
            <w:r>
              <w:rPr>
                <w:rFonts w:eastAsia="Calibri"/>
                <w:b/>
                <w:sz w:val="18"/>
                <w:szCs w:val="18"/>
              </w:rPr>
              <w:t xml:space="preserve"> (по крупным и средним) производителей промышленной продукции</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lang w:eastAsia="en-US"/>
              </w:rPr>
              <w:t>1.1.</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00B0F0"/>
                <w:sz w:val="20"/>
                <w:szCs w:val="20"/>
                <w:lang w:eastAsia="en-US"/>
              </w:rPr>
              <w:t>целевые показатели</w:t>
            </w:r>
          </w:p>
        </w:tc>
        <w:tc>
          <w:tcPr>
            <w:tcW w:w="1134" w:type="dxa"/>
            <w:vMerge w:val="restart"/>
            <w:tcBorders>
              <w:top w:val="single" w:sz="4" w:space="0" w:color="000000"/>
              <w:left w:val="single" w:sz="4" w:space="0" w:color="000000"/>
              <w:right w:val="single" w:sz="4" w:space="0" w:color="000000"/>
            </w:tcBorders>
          </w:tcPr>
          <w:p w:rsidR="00CF0324" w:rsidRDefault="00124A10">
            <w:pPr>
              <w:jc w:val="center"/>
              <w:rPr>
                <w:sz w:val="18"/>
                <w:szCs w:val="18"/>
                <w:lang w:eastAsia="en-US"/>
              </w:rPr>
            </w:pPr>
            <w:r>
              <w:rPr>
                <w:sz w:val="18"/>
                <w:szCs w:val="18"/>
              </w:rPr>
              <w:t>млн. рублей,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30 718,7</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33 740,4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33 618,6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33465,5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34 444,4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39 803,2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b/>
                <w:color w:val="00B0F0"/>
                <w:sz w:val="18"/>
                <w:szCs w:val="18"/>
                <w:lang w:eastAsia="en-US"/>
              </w:rPr>
            </w:pPr>
            <w:r>
              <w:rPr>
                <w:b/>
                <w:color w:val="00B0F0"/>
                <w:sz w:val="18"/>
                <w:szCs w:val="18"/>
                <w:lang w:eastAsia="en-US"/>
              </w:rPr>
              <w:t>46 062,9</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lang w:eastAsia="en-US"/>
              </w:rPr>
              <w:t>1.2.</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92D050"/>
                <w:sz w:val="20"/>
                <w:szCs w:val="20"/>
                <w:lang w:eastAsia="en-US"/>
              </w:rPr>
              <w:t>фактические данные</w:t>
            </w:r>
            <w:r>
              <w:rPr>
                <w:sz w:val="18"/>
                <w:szCs w:val="18"/>
              </w:rPr>
              <w:t xml:space="preserve"> </w:t>
            </w:r>
          </w:p>
        </w:tc>
        <w:tc>
          <w:tcPr>
            <w:tcW w:w="1134" w:type="dxa"/>
            <w:vMerge/>
            <w:tcBorders>
              <w:left w:val="single" w:sz="4" w:space="0" w:color="000000"/>
              <w:bottom w:val="single" w:sz="4" w:space="0" w:color="000000"/>
              <w:right w:val="single" w:sz="4" w:space="0" w:color="000000"/>
            </w:tcBorders>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35 441,5</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39 881,4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86 204,0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119 766,2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104 481,7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223 020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276 795</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1.3.</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Индекс промышленного производства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114,9</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93,7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206,5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140,5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92,2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180,1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114,8</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1.4.</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 xml:space="preserve">   - в том числе добыча полезных ископаемых</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млн. рублей</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31 805,9</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36 074,2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79 804,8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110 427,7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95 304,7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222 230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275 864</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1.5.</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Индекс производства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87,4</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90,7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189,9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138,4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103,1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149,3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110,0</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b/>
                <w:sz w:val="18"/>
                <w:szCs w:val="18"/>
                <w:lang w:eastAsia="en-US"/>
              </w:rPr>
            </w:pPr>
            <w:r>
              <w:rPr>
                <w:rFonts w:eastAsia="Calibri"/>
                <w:b/>
                <w:sz w:val="18"/>
                <w:szCs w:val="18"/>
              </w:rPr>
              <w:t>2</w:t>
            </w:r>
          </w:p>
        </w:tc>
        <w:tc>
          <w:tcPr>
            <w:tcW w:w="8792" w:type="dxa"/>
            <w:gridSpan w:val="9"/>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b/>
                <w:sz w:val="18"/>
                <w:szCs w:val="18"/>
                <w:lang w:eastAsia="en-US"/>
              </w:rPr>
            </w:pPr>
            <w:r>
              <w:rPr>
                <w:rFonts w:eastAsia="Calibri"/>
                <w:b/>
                <w:sz w:val="18"/>
                <w:szCs w:val="18"/>
              </w:rPr>
              <w:t>Производство основных видов промышленной продукции:</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2.1</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Добыча нефти, включая газовый конденсат</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млн. 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2,4</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5,2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5,7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7,4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8,5</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2.2</w:t>
            </w: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lang w:eastAsia="en-US"/>
              </w:rPr>
            </w:pPr>
            <w:r>
              <w:rPr>
                <w:sz w:val="18"/>
                <w:szCs w:val="18"/>
              </w:rPr>
              <w:t>Добыча газа природного и попутного</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млн. куб. м</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365,8</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282,8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339,0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467,2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531,3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681,3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832,4</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CF0324">
            <w:pPr>
              <w:widowControl w:val="0"/>
              <w:jc w:val="both"/>
              <w:rPr>
                <w:rFonts w:eastAsia="Calibri"/>
                <w:sz w:val="18"/>
                <w:szCs w:val="18"/>
              </w:rPr>
            </w:pP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rPr>
            </w:pPr>
            <w:r>
              <w:rPr>
                <w:sz w:val="18"/>
                <w:szCs w:val="18"/>
              </w:rPr>
              <w:t>Добыча торфа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rPr>
            </w:pPr>
            <w:r>
              <w:rPr>
                <w:sz w:val="18"/>
                <w:szCs w:val="18"/>
              </w:rPr>
              <w:t>тыс. 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11,5</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0,4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0,8</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rPr>
            </w:pPr>
            <w:r>
              <w:rPr>
                <w:rFonts w:eastAsia="Calibri"/>
                <w:sz w:val="18"/>
                <w:szCs w:val="18"/>
              </w:rPr>
              <w:t>2.3.</w:t>
            </w: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rPr>
            </w:pPr>
            <w:r>
              <w:rPr>
                <w:sz w:val="18"/>
                <w:szCs w:val="18"/>
              </w:rPr>
              <w:t>Плита МДФ</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rPr>
            </w:pPr>
            <w:r>
              <w:rPr>
                <w:sz w:val="18"/>
                <w:szCs w:val="18"/>
              </w:rPr>
              <w:t xml:space="preserve">тыс. куб. м. </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41,7</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34,0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16,7</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rPr>
            </w:pPr>
            <w:r>
              <w:rPr>
                <w:rFonts w:eastAsia="Calibri"/>
                <w:sz w:val="18"/>
                <w:szCs w:val="18"/>
              </w:rPr>
              <w:t>2.4.</w:t>
            </w: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rPr>
            </w:pPr>
            <w:r>
              <w:rPr>
                <w:sz w:val="18"/>
                <w:szCs w:val="18"/>
              </w:rPr>
              <w:t>Пиломатериал</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rPr>
            </w:pPr>
            <w:r>
              <w:rPr>
                <w:sz w:val="18"/>
                <w:szCs w:val="18"/>
              </w:rPr>
              <w:t xml:space="preserve">тыс. куб. м. </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8,9</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15,2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5,7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10,0</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rPr>
            </w:pPr>
            <w:r>
              <w:rPr>
                <w:rFonts w:eastAsia="Calibri"/>
                <w:sz w:val="18"/>
                <w:szCs w:val="18"/>
              </w:rPr>
              <w:t>2.5.</w:t>
            </w: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rPr>
            </w:pPr>
            <w:r>
              <w:rPr>
                <w:sz w:val="18"/>
                <w:szCs w:val="18"/>
              </w:rPr>
              <w:t>Топливные брикеты</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rPr>
            </w:pPr>
            <w:r>
              <w:rPr>
                <w:sz w:val="18"/>
                <w:szCs w:val="18"/>
              </w:rPr>
              <w:t>тонн</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195</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rPr>
            </w:pPr>
            <w:r>
              <w:rPr>
                <w:rFonts w:eastAsia="Calibri"/>
                <w:sz w:val="18"/>
                <w:szCs w:val="18"/>
              </w:rPr>
              <w:t>2.6.</w:t>
            </w:r>
          </w:p>
        </w:tc>
        <w:tc>
          <w:tcPr>
            <w:tcW w:w="1672" w:type="dxa"/>
            <w:tcBorders>
              <w:top w:val="single" w:sz="4" w:space="0" w:color="000000"/>
              <w:left w:val="single" w:sz="4" w:space="0" w:color="000000"/>
              <w:bottom w:val="single" w:sz="4" w:space="0" w:color="000000"/>
              <w:right w:val="single" w:sz="4" w:space="0" w:color="000000"/>
            </w:tcBorders>
            <w:vAlign w:val="bottom"/>
          </w:tcPr>
          <w:p w:rsidR="00CF0324" w:rsidRDefault="00124A10">
            <w:pPr>
              <w:rPr>
                <w:sz w:val="18"/>
                <w:szCs w:val="18"/>
              </w:rPr>
            </w:pPr>
            <w:r>
              <w:rPr>
                <w:sz w:val="18"/>
                <w:szCs w:val="18"/>
              </w:rPr>
              <w:t>Топливная щепа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rPr>
            </w:pPr>
            <w:r>
              <w:rPr>
                <w:sz w:val="18"/>
                <w:szCs w:val="18"/>
              </w:rPr>
              <w:t>тыс. куб. м.</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119</w:t>
            </w:r>
          </w:p>
        </w:tc>
      </w:tr>
      <w:tr w:rsidR="00CF0324">
        <w:trPr>
          <w:trHeight w:val="267"/>
        </w:trPr>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b/>
                <w:sz w:val="18"/>
                <w:szCs w:val="18"/>
                <w:lang w:eastAsia="en-US"/>
              </w:rPr>
            </w:pPr>
            <w:r>
              <w:rPr>
                <w:rFonts w:eastAsia="Calibri"/>
                <w:b/>
                <w:sz w:val="18"/>
                <w:szCs w:val="18"/>
              </w:rPr>
              <w:t>3</w:t>
            </w:r>
          </w:p>
        </w:tc>
        <w:tc>
          <w:tcPr>
            <w:tcW w:w="8792" w:type="dxa"/>
            <w:gridSpan w:val="9"/>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b/>
                <w:sz w:val="18"/>
                <w:szCs w:val="18"/>
                <w:lang w:eastAsia="en-US"/>
              </w:rPr>
            </w:pPr>
            <w:r>
              <w:rPr>
                <w:rFonts w:eastAsia="Calibri"/>
                <w:b/>
                <w:sz w:val="18"/>
                <w:szCs w:val="18"/>
              </w:rPr>
              <w:t>Объем инвестиций в основной капитал</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3.1.</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00B0F0"/>
                <w:sz w:val="20"/>
                <w:szCs w:val="20"/>
                <w:lang w:eastAsia="en-US"/>
              </w:rPr>
              <w:t>целевые показатели</w:t>
            </w:r>
            <w:r>
              <w:rPr>
                <w:sz w:val="18"/>
                <w:szCs w:val="18"/>
              </w:rPr>
              <w:t xml:space="preserve"> </w:t>
            </w:r>
          </w:p>
        </w:tc>
        <w:tc>
          <w:tcPr>
            <w:tcW w:w="1134" w:type="dxa"/>
            <w:vMerge w:val="restart"/>
            <w:tcBorders>
              <w:top w:val="single" w:sz="4" w:space="0" w:color="000000"/>
              <w:left w:val="single" w:sz="4" w:space="0" w:color="000000"/>
              <w:right w:val="single" w:sz="4" w:space="0" w:color="000000"/>
            </w:tcBorders>
          </w:tcPr>
          <w:p w:rsidR="00CF0324" w:rsidRDefault="00124A10">
            <w:pPr>
              <w:jc w:val="center"/>
              <w:rPr>
                <w:sz w:val="18"/>
                <w:szCs w:val="18"/>
                <w:lang w:eastAsia="en-US"/>
              </w:rPr>
            </w:pPr>
            <w:r>
              <w:rPr>
                <w:sz w:val="18"/>
                <w:szCs w:val="18"/>
              </w:rPr>
              <w:t>млн. руб.,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10 093,9</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10 391,8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10 805,9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10 786,9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11 218,4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12 619,2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15 353,2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3.2.</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92D050"/>
                <w:sz w:val="20"/>
                <w:szCs w:val="20"/>
                <w:lang w:eastAsia="en-US"/>
              </w:rPr>
              <w:t>фактические данные</w:t>
            </w:r>
            <w:r>
              <w:rPr>
                <w:sz w:val="18"/>
                <w:szCs w:val="18"/>
              </w:rPr>
              <w:t xml:space="preserve"> </w:t>
            </w:r>
          </w:p>
        </w:tc>
        <w:tc>
          <w:tcPr>
            <w:tcW w:w="1134" w:type="dxa"/>
            <w:vMerge/>
            <w:tcBorders>
              <w:left w:val="single" w:sz="4" w:space="0" w:color="000000"/>
              <w:bottom w:val="single" w:sz="4" w:space="0" w:color="000000"/>
              <w:right w:val="single" w:sz="4" w:space="0" w:color="000000"/>
            </w:tcBorders>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19 435,3</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35 755,4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34 097,1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40 293,5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43 994,4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48 145,9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64 830,8</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3.3.</w:t>
            </w:r>
          </w:p>
        </w:tc>
        <w:tc>
          <w:tcPr>
            <w:tcW w:w="1672" w:type="dxa"/>
            <w:tcBorders>
              <w:top w:val="single" w:sz="4" w:space="0" w:color="000000"/>
              <w:left w:val="single" w:sz="4" w:space="0" w:color="000000"/>
              <w:bottom w:val="single" w:sz="4" w:space="0" w:color="000000"/>
              <w:right w:val="single" w:sz="4" w:space="0" w:color="000000"/>
            </w:tcBorders>
            <w:vAlign w:val="center"/>
          </w:tcPr>
          <w:p w:rsidR="00CF0324" w:rsidRDefault="00124A10">
            <w:pPr>
              <w:ind w:firstLine="180"/>
              <w:rPr>
                <w:color w:val="000000"/>
                <w:sz w:val="18"/>
                <w:szCs w:val="18"/>
                <w:lang w:eastAsia="en-US"/>
              </w:rPr>
            </w:pPr>
            <w:r>
              <w:rPr>
                <w:color w:val="000000"/>
                <w:sz w:val="18"/>
                <w:szCs w:val="18"/>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color w:val="000000"/>
                <w:sz w:val="18"/>
                <w:szCs w:val="18"/>
                <w:lang w:eastAsia="en-US"/>
              </w:rPr>
            </w:pPr>
            <w:r>
              <w:rPr>
                <w:color w:val="000000"/>
                <w:sz w:val="18"/>
                <w:szCs w:val="18"/>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177,4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90,6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104,3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117,5</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3.4.</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 в том числе добыча полезных ископаемых</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млн.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14 595,9</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29 136,0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28 548,1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34 004,2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39 631,8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42 248,4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61 085,6</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3.5.</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ind w:firstLine="180"/>
              <w:rPr>
                <w:color w:val="000000"/>
                <w:sz w:val="18"/>
                <w:szCs w:val="18"/>
                <w:lang w:eastAsia="en-US"/>
              </w:rPr>
            </w:pPr>
            <w:r>
              <w:rPr>
                <w:color w:val="000000"/>
                <w:sz w:val="18"/>
                <w:szCs w:val="18"/>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color w:val="000000"/>
                <w:sz w:val="18"/>
                <w:szCs w:val="18"/>
                <w:lang w:eastAsia="en-US"/>
              </w:rPr>
            </w:pPr>
            <w:r>
              <w:rPr>
                <w:color w:val="000000"/>
                <w:sz w:val="18"/>
                <w:szCs w:val="18"/>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rPr>
              <w:t>х</w:t>
            </w:r>
          </w:p>
        </w:tc>
        <w:tc>
          <w:tcPr>
            <w:tcW w:w="88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192,5</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93,1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111,5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110,4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101,6</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126,2</w:t>
            </w:r>
          </w:p>
        </w:tc>
      </w:tr>
    </w:tbl>
    <w:p w:rsidR="00CF0324" w:rsidRDefault="00124A10">
      <w:pPr>
        <w:spacing w:before="240" w:line="276" w:lineRule="auto"/>
        <w:ind w:firstLine="708"/>
        <w:jc w:val="both"/>
        <w:rPr>
          <w:bCs/>
        </w:rPr>
      </w:pPr>
      <w:r>
        <w:rPr>
          <w:bCs/>
        </w:rPr>
        <w:lastRenderedPageBreak/>
        <w:t>Численность работающих в промышленности (</w:t>
      </w:r>
      <w:r>
        <w:rPr>
          <w:color w:val="000000"/>
          <w:sz w:val="18"/>
          <w:szCs w:val="18"/>
          <w:shd w:val="clear" w:color="auto" w:fill="FFFFFF"/>
        </w:rPr>
        <w:t>В+С+</w:t>
      </w:r>
      <w:r>
        <w:rPr>
          <w:color w:val="000000"/>
          <w:sz w:val="18"/>
          <w:szCs w:val="18"/>
          <w:shd w:val="clear" w:color="auto" w:fill="FFFFFF"/>
          <w:lang w:val="en-US"/>
        </w:rPr>
        <w:t>D</w:t>
      </w:r>
      <w:r>
        <w:rPr>
          <w:color w:val="000000"/>
          <w:sz w:val="18"/>
          <w:szCs w:val="18"/>
          <w:shd w:val="clear" w:color="auto" w:fill="FFFFFF"/>
        </w:rPr>
        <w:t xml:space="preserve">+Е) </w:t>
      </w:r>
      <w:r>
        <w:rPr>
          <w:color w:val="000000"/>
          <w:shd w:val="clear" w:color="auto" w:fill="FFFFFF"/>
        </w:rPr>
        <w:t>Кондинского</w:t>
      </w:r>
      <w:r>
        <w:rPr>
          <w:color w:val="000000"/>
          <w:sz w:val="18"/>
          <w:szCs w:val="18"/>
          <w:shd w:val="clear" w:color="auto" w:fill="FFFFFF"/>
        </w:rPr>
        <w:t xml:space="preserve"> </w:t>
      </w:r>
      <w:r>
        <w:rPr>
          <w:color w:val="000000"/>
          <w:shd w:val="clear" w:color="auto" w:fill="FFFFFF"/>
        </w:rPr>
        <w:t>района составляет</w:t>
      </w:r>
      <w:r>
        <w:rPr>
          <w:bCs/>
        </w:rPr>
        <w:t xml:space="preserve"> 2800 чел. (таблица 1.11.), или 28% от общей численности, работающих в Кондинском районе. Доля работающих по виду экономической деятельности «добыча полезных ископаемых» составляет 80% от общей численности работающих в промышленности Кондинского района. За последние 7 лет численность работающих в промышленности (</w:t>
      </w:r>
      <w:r>
        <w:rPr>
          <w:color w:val="000000"/>
          <w:sz w:val="18"/>
          <w:szCs w:val="18"/>
          <w:shd w:val="clear" w:color="auto" w:fill="FFFFFF"/>
        </w:rPr>
        <w:t>В+С+</w:t>
      </w:r>
      <w:r>
        <w:rPr>
          <w:color w:val="000000"/>
          <w:sz w:val="18"/>
          <w:szCs w:val="18"/>
          <w:shd w:val="clear" w:color="auto" w:fill="FFFFFF"/>
          <w:lang w:val="en-US"/>
        </w:rPr>
        <w:t>D</w:t>
      </w:r>
      <w:r>
        <w:rPr>
          <w:color w:val="000000"/>
          <w:sz w:val="18"/>
          <w:szCs w:val="18"/>
          <w:shd w:val="clear" w:color="auto" w:fill="FFFFFF"/>
        </w:rPr>
        <w:t xml:space="preserve">+Е) </w:t>
      </w:r>
      <w:r>
        <w:rPr>
          <w:color w:val="000000"/>
          <w:shd w:val="clear" w:color="auto" w:fill="FFFFFF"/>
        </w:rPr>
        <w:t>Кондинского</w:t>
      </w:r>
      <w:r>
        <w:rPr>
          <w:color w:val="000000"/>
          <w:sz w:val="18"/>
          <w:szCs w:val="18"/>
          <w:shd w:val="clear" w:color="auto" w:fill="FFFFFF"/>
        </w:rPr>
        <w:t xml:space="preserve"> </w:t>
      </w:r>
      <w:r>
        <w:rPr>
          <w:color w:val="000000"/>
          <w:shd w:val="clear" w:color="auto" w:fill="FFFFFF"/>
        </w:rPr>
        <w:t>района увеличилась на 29%, в основном за счет нефтедобывающей промышленности.</w:t>
      </w:r>
    </w:p>
    <w:p w:rsidR="00CF0324" w:rsidRDefault="00124A10">
      <w:pPr>
        <w:pStyle w:val="1b"/>
        <w:spacing w:before="240" w:after="24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Таблица 1.11. – </w:t>
      </w:r>
      <w:r>
        <w:rPr>
          <w:rFonts w:ascii="Times New Roman" w:eastAsia="Calibri" w:hAnsi="Times New Roman" w:cs="Times New Roman"/>
          <w:sz w:val="24"/>
          <w:szCs w:val="24"/>
        </w:rPr>
        <w:t>Численность работающих в промышленности Кондинского района</w:t>
      </w:r>
      <w:r>
        <w:rPr>
          <w:rStyle w:val="16"/>
          <w:rFonts w:eastAsia="Calibri"/>
          <w:sz w:val="24"/>
          <w:szCs w:val="24"/>
        </w:rPr>
        <w:footnoteReference w:id="4"/>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672"/>
        <w:gridCol w:w="1275"/>
        <w:gridCol w:w="850"/>
        <w:gridCol w:w="851"/>
        <w:gridCol w:w="850"/>
        <w:gridCol w:w="851"/>
        <w:gridCol w:w="850"/>
        <w:gridCol w:w="851"/>
        <w:gridCol w:w="850"/>
      </w:tblGrid>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№п/п</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Показатели</w:t>
            </w:r>
          </w:p>
        </w:tc>
        <w:tc>
          <w:tcPr>
            <w:tcW w:w="1275"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rPr>
            </w:pPr>
            <w:r>
              <w:rPr>
                <w:rFonts w:eastAsia="Calibri"/>
                <w:sz w:val="18"/>
                <w:szCs w:val="18"/>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rPr>
            </w:pPr>
            <w:r>
              <w:rPr>
                <w:rFonts w:eastAsia="Calibri"/>
                <w:sz w:val="18"/>
                <w:szCs w:val="18"/>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2019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widowControl w:val="0"/>
              <w:jc w:val="center"/>
              <w:rPr>
                <w:rFonts w:eastAsia="Calibri"/>
                <w:sz w:val="18"/>
                <w:szCs w:val="18"/>
                <w:lang w:eastAsia="en-US"/>
              </w:rPr>
            </w:pPr>
            <w:r>
              <w:rPr>
                <w:rFonts w:eastAsia="Calibri"/>
                <w:sz w:val="18"/>
                <w:szCs w:val="18"/>
              </w:rPr>
              <w:t>2022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1.</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color w:val="000000"/>
                <w:sz w:val="18"/>
                <w:szCs w:val="18"/>
                <w:shd w:val="clear" w:color="auto" w:fill="FFFFFF"/>
              </w:rPr>
              <w:t>Среднесписочная численность работников организаций (без субъектов малого предпринимательства) В+С+</w:t>
            </w:r>
            <w:r>
              <w:rPr>
                <w:color w:val="000000"/>
                <w:sz w:val="18"/>
                <w:szCs w:val="18"/>
                <w:shd w:val="clear" w:color="auto" w:fill="FFFFFF"/>
                <w:lang w:val="en-US"/>
              </w:rPr>
              <w:t>D</w:t>
            </w:r>
            <w:r>
              <w:rPr>
                <w:color w:val="000000"/>
                <w:sz w:val="18"/>
                <w:szCs w:val="18"/>
                <w:shd w:val="clear" w:color="auto" w:fill="FFFFFF"/>
              </w:rPr>
              <w:t>+Е</w:t>
            </w:r>
          </w:p>
        </w:tc>
        <w:tc>
          <w:tcPr>
            <w:tcW w:w="1275"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человек</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2169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2233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2377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2328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2403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2622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val="en-US" w:eastAsia="en-US"/>
              </w:rPr>
            </w:pPr>
            <w:r>
              <w:rPr>
                <w:sz w:val="18"/>
                <w:szCs w:val="18"/>
                <w:lang w:val="en-US" w:eastAsia="en-US"/>
              </w:rPr>
              <w:t>2800</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2.</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Темп изменения</w:t>
            </w:r>
          </w:p>
        </w:tc>
        <w:tc>
          <w:tcPr>
            <w:tcW w:w="1275"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102,9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106,4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97,9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103,2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109,1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106,8</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3.</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 xml:space="preserve">   - в том числе добыча полезных ископаемых</w:t>
            </w:r>
          </w:p>
        </w:tc>
        <w:tc>
          <w:tcPr>
            <w:tcW w:w="1275"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человек</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1048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1223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1423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1628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1872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2080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2252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18"/>
                <w:szCs w:val="18"/>
                <w:lang w:eastAsia="en-US"/>
              </w:rPr>
            </w:pPr>
            <w:r>
              <w:rPr>
                <w:rFonts w:eastAsia="Calibri"/>
                <w:sz w:val="18"/>
                <w:szCs w:val="18"/>
              </w:rPr>
              <w:t>4.</w:t>
            </w:r>
          </w:p>
        </w:tc>
        <w:tc>
          <w:tcPr>
            <w:tcW w:w="1672"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Темп изменения</w:t>
            </w:r>
          </w:p>
        </w:tc>
        <w:tc>
          <w:tcPr>
            <w:tcW w:w="1275"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в % к предыдущему году</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116,7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116,4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114,4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114,9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111,1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108,3</w:t>
            </w:r>
          </w:p>
        </w:tc>
      </w:tr>
    </w:tbl>
    <w:p w:rsidR="00CF0324" w:rsidRDefault="00124A10">
      <w:pPr>
        <w:spacing w:before="240" w:line="276" w:lineRule="auto"/>
        <w:ind w:firstLine="708"/>
        <w:jc w:val="both"/>
        <w:rPr>
          <w:bCs/>
        </w:rPr>
      </w:pPr>
      <w:r>
        <w:rPr>
          <w:bCs/>
        </w:rPr>
        <w:t>В целом, можно констатировать, что роль лесопромышленного комплекса в экономике района, незначительна. Отрасль, по-прежнему находится под влиянием кризисных явлений. В то же время, на территории района сосредоточены значительные запасы древесных ресурсов с низким бонитетом, имеется трудовой потенциал, в целях диверсификации экономики следует принимать меры по развитию лесного комплекса района.</w:t>
      </w:r>
    </w:p>
    <w:p w:rsidR="00CF0324" w:rsidRDefault="00124A10">
      <w:pPr>
        <w:spacing w:line="276" w:lineRule="auto"/>
        <w:ind w:firstLine="708"/>
        <w:jc w:val="both"/>
      </w:pPr>
      <w:r>
        <w:t xml:space="preserve">Для развития традиционных направлений промышленного производства Кондинского района на данном этапе характерны следующие основные проблемы: </w:t>
      </w:r>
      <w:r>
        <w:rPr>
          <w:rFonts w:eastAsia="TimesNewRomanPSMT"/>
        </w:rPr>
        <w:t>недостаточная инновационная активность и инвестиционная привлекательность для развития капиталоемких производств по переработке древесины с высокими сроками окупаемости;</w:t>
      </w:r>
      <w:r>
        <w:t xml:space="preserve"> </w:t>
      </w:r>
      <w:r>
        <w:rPr>
          <w:rFonts w:eastAsia="TimesNewRomanPSMT"/>
        </w:rPr>
        <w:t>нарастающее техническое и технологическое отставание, обусловленное низкими темпами модернизации и технического перевооружения производств, высокой степенью износа основных фондов;</w:t>
      </w:r>
      <w:r>
        <w:t xml:space="preserve"> </w:t>
      </w:r>
      <w:r>
        <w:rPr>
          <w:rFonts w:eastAsia="TimesNewRomanPSMT"/>
        </w:rPr>
        <w:t>низкое транспортное обеспечение территории района,  пространственная «оторванность» восточной части района;</w:t>
      </w:r>
      <w:r>
        <w:t xml:space="preserve"> </w:t>
      </w:r>
      <w:r>
        <w:rPr>
          <w:rFonts w:eastAsia="TimesNewRomanPSMT"/>
        </w:rPr>
        <w:t>отсутствие лесовозных дорог; старение основных фондов по виду экономической деятельности «добыча полезных ископаемых», износ которых достигает 70%;</w:t>
      </w:r>
      <w:r>
        <w:t xml:space="preserve"> </w:t>
      </w:r>
      <w:r>
        <w:rPr>
          <w:rFonts w:eastAsia="TimesNewRomanPSMT"/>
        </w:rPr>
        <w:t>низкий уровень производительности труда;</w:t>
      </w:r>
      <w:r>
        <w:t xml:space="preserve"> </w:t>
      </w:r>
      <w:r>
        <w:rPr>
          <w:rFonts w:eastAsia="TimesNewRomanPSMT"/>
        </w:rPr>
        <w:t>изменение структуры минерально-сырьевой базы полезных ископаемых в сторону увеличения доли трудно извлекаемых запасов; недостаток мощностей по глубокой механической, химической и энергетической переработке древесного сырья;</w:t>
      </w:r>
      <w:r>
        <w:t xml:space="preserve"> </w:t>
      </w:r>
      <w:r>
        <w:rPr>
          <w:rFonts w:eastAsia="TimesNewRomanPSMT"/>
        </w:rPr>
        <w:t>необходимость высоких инвестиционных вложений в развитие лесной инфраструктуры, существенно снижающих доходность лесного бизнеса.</w:t>
      </w:r>
    </w:p>
    <w:p w:rsidR="00CF0324" w:rsidRDefault="00124A10">
      <w:pPr>
        <w:spacing w:line="276" w:lineRule="auto"/>
        <w:ind w:firstLine="708"/>
        <w:jc w:val="both"/>
        <w:rPr>
          <w:bCs/>
        </w:rPr>
      </w:pPr>
      <w:r>
        <w:rPr>
          <w:bCs/>
        </w:rPr>
        <w:lastRenderedPageBreak/>
        <w:t>В Кондинском районе имеется промышленный объем запасов нефти, газа, торфа, песка, глины. Данные направления деятельности достаточно перспективны. На территории Кондинского района выявлено 43 месторождения углеводородов</w:t>
      </w:r>
      <w:r>
        <w:rPr>
          <w:rStyle w:val="16"/>
          <w:bCs/>
        </w:rPr>
        <w:footnoteReference w:id="5"/>
      </w:r>
      <w:r>
        <w:rPr>
          <w:bCs/>
        </w:rPr>
        <w:t>, в том числе 13 месторождений – это нераспределённый фонд.</w:t>
      </w:r>
    </w:p>
    <w:p w:rsidR="00CF0324" w:rsidRDefault="00124A10">
      <w:pPr>
        <w:spacing w:line="276" w:lineRule="auto"/>
        <w:ind w:firstLine="708"/>
        <w:jc w:val="both"/>
        <w:rPr>
          <w:bCs/>
        </w:rPr>
      </w:pPr>
      <w:r>
        <w:rPr>
          <w:bCs/>
        </w:rPr>
        <w:t>Основным сдерживающим фактором, ограничивающим развитие в промышленном секторе Кондинского района, является сложная логистика, доставка продукции до потребителей южнее Кондинского района в связи недостроенной круглогодичной автотранспортной региональной дороги «Юг» в сторону г.Тюмень.</w:t>
      </w:r>
    </w:p>
    <w:p w:rsidR="00CF0324" w:rsidRPr="00124A10" w:rsidRDefault="00124A10">
      <w:pPr>
        <w:pStyle w:val="2"/>
        <w:spacing w:before="240" w:after="240"/>
        <w:jc w:val="left"/>
        <w:rPr>
          <w:b w:val="0"/>
          <w:i/>
          <w:sz w:val="24"/>
          <w:lang w:val="ru-RU"/>
        </w:rPr>
      </w:pPr>
      <w:bookmarkStart w:id="8" w:name="_Toc8"/>
      <w:r w:rsidRPr="00124A10">
        <w:rPr>
          <w:b w:val="0"/>
          <w:i/>
          <w:sz w:val="24"/>
          <w:lang w:val="ru-RU"/>
        </w:rPr>
        <w:t>1.5. Агропромышленный комплекс</w:t>
      </w:r>
      <w:bookmarkEnd w:id="8"/>
    </w:p>
    <w:p w:rsidR="00CF0324" w:rsidRDefault="00124A10">
      <w:pPr>
        <w:spacing w:line="276" w:lineRule="auto"/>
        <w:ind w:firstLine="708"/>
        <w:jc w:val="both"/>
      </w:pPr>
      <w:r>
        <w:t>В Кондинском районе сосредоточено 75% посевных площадей Ханты-Мансийского автономного округа – Югры под кормовые культуры, 32% жителей района проживает в сельских поселениях (по округу – в среднем 8%</w:t>
      </w:r>
      <w:r>
        <w:rPr>
          <w:rStyle w:val="16"/>
        </w:rPr>
        <w:footnoteReference w:id="6"/>
      </w:r>
      <w:r>
        <w:t>).</w:t>
      </w:r>
    </w:p>
    <w:p w:rsidR="00CF0324" w:rsidRDefault="00124A10">
      <w:pPr>
        <w:spacing w:line="276" w:lineRule="auto"/>
        <w:ind w:firstLine="709"/>
        <w:jc w:val="both"/>
      </w:pPr>
      <w:r>
        <w:t xml:space="preserve">Агропромышленный комплекс Кондинского района включает в себя сельскохозяйственные предприятия, предприятия пищевой промышленности, </w:t>
      </w:r>
      <w:r>
        <w:rPr>
          <w:bCs/>
        </w:rPr>
        <w:t>рыбодобывающие хозяйства и предприятия, занятые заготовкой и переработкой дикоросов.</w:t>
      </w:r>
      <w:r>
        <w:rPr>
          <w:color w:val="000000"/>
        </w:rPr>
        <w:t xml:space="preserve"> </w:t>
      </w:r>
      <w:r>
        <w:t>В 2022 году производством и реализацией сельскохозяйственной продукции в Кондинском районе занимались 7 крестьянских (фермерских) хозяйств, 1 сельскохозяйственный кооператив, 26 предприятий выловом и переработкой рыбы, 5 предприятий заготовкой продукции дикоросов, в том числе 2 предприятия производством продукции глубокой переработки дикоросов.</w:t>
      </w:r>
    </w:p>
    <w:p w:rsidR="00CF0324" w:rsidRDefault="00124A10">
      <w:pPr>
        <w:spacing w:line="276" w:lineRule="auto"/>
        <w:ind w:firstLine="709"/>
        <w:jc w:val="both"/>
      </w:pPr>
      <w:r>
        <w:rPr>
          <w:bCs/>
        </w:rPr>
        <w:t xml:space="preserve">Поголовье крупнорогатого скота (с учётом КФХ и СПК) в 2022 году составило 1145 гол. (105% к уровню 2021 года), в том числе коров 610 голов (130% к уровню 2021 года). Увеличение поголовья связано с включением в отчет поголовья граждан, ведущих личное подсобное хозяйство. </w:t>
      </w:r>
      <w:r>
        <w:t>Валовой надой молока за 2022 год получен в объеме 1 959 тонн (102% к уровню прошлого года (1 926 тонн)). Производство мяса на убой в живом весе за 2022 год составило 112,3 тонны (122% к уровню прошлого года (92 тонны за 2021 год)).</w:t>
      </w:r>
    </w:p>
    <w:p w:rsidR="00CF0324" w:rsidRDefault="00124A10">
      <w:pPr>
        <w:spacing w:line="276" w:lineRule="auto"/>
        <w:ind w:firstLine="708"/>
        <w:jc w:val="both"/>
        <w:rPr>
          <w:bCs/>
        </w:rPr>
      </w:pPr>
      <w:r>
        <w:t xml:space="preserve">В 2022 году сельскохозяйственные товаропроизводители района получили 44,3 млн. руб. государственной поддержки из средств окружного бюджета (на 11% больше в сравнении с 2021 годом). Основная доля – 79,5% в структуре субсидий выплачена за продукцию животноводства, 9% – </w:t>
      </w:r>
      <w:r>
        <w:rPr>
          <w:bCs/>
        </w:rPr>
        <w:t>на поддержку заготовки и переработки дикоросов и</w:t>
      </w:r>
      <w:r>
        <w:t xml:space="preserve"> 7% – на поддержку малых форм хозяйствования</w:t>
      </w:r>
      <w:r>
        <w:rPr>
          <w:bCs/>
        </w:rPr>
        <w:t>.</w:t>
      </w:r>
    </w:p>
    <w:p w:rsidR="00CF0324" w:rsidRDefault="00124A10">
      <w:pPr>
        <w:spacing w:line="276" w:lineRule="auto"/>
        <w:ind w:firstLine="708"/>
        <w:jc w:val="both"/>
      </w:pPr>
      <w:r>
        <w:t>За 2022 год выпечено хлеба и хлебобулочных изделий 1121,2 тонн (68% от потребности) и 99% от уровня 2021 года. Полностью обеспечивают население хлебом собственного производства городское поселение Кондинское, городское поселение Луговой, сельское поселение Болчары. Недостающее количество хлеба и хлебобулочных изделий, необходимое для обеспечения потребностей населения района, удовлетворяется за счет завоза продукции из других муниципальных образований и регионов и выпечки в домашних условиях (таблица 1.12).</w:t>
      </w:r>
    </w:p>
    <w:p w:rsidR="00CF0324" w:rsidRDefault="00124A10">
      <w:pPr>
        <w:spacing w:line="276" w:lineRule="auto"/>
        <w:ind w:firstLine="708"/>
        <w:jc w:val="both"/>
        <w:rPr>
          <w:bCs/>
        </w:rPr>
      </w:pPr>
      <w:r>
        <w:rPr>
          <w:bCs/>
        </w:rPr>
        <w:lastRenderedPageBreak/>
        <w:t>За 2022 год выловлено 581,1 тонн рыбы, в сравнении с 2021 годом объем вылова уменьшился на 28%, что связано с неблагоприятными гидрологическими условиями.</w:t>
      </w:r>
    </w:p>
    <w:p w:rsidR="00CF0324" w:rsidRDefault="00124A10">
      <w:pPr>
        <w:spacing w:line="276" w:lineRule="auto"/>
        <w:ind w:firstLine="708"/>
        <w:jc w:val="both"/>
        <w:rPr>
          <w:lang w:eastAsia="en-US"/>
        </w:rPr>
      </w:pPr>
      <w:r>
        <w:rPr>
          <w:lang w:eastAsia="en-US"/>
        </w:rPr>
        <w:t>Ежегодно в районе ведется заготовка биологических пищевых ресурсов. За 2022 год предприятиями и организациями осуществляющими заготовку дикоросов на территории Кондинского района заготовлено: грибов -  29,2 тонн (56% к уровню 2021 года), ягод - 47,9 тонн (84% к уровню 2021 года). Также в сезон 2022 года осуществлялась заготовка ореха кедрового, шишки кедровой, сбор составил – 7,9 тонн (51% к уровню 2021 года (15,4 тонны)).</w:t>
      </w:r>
    </w:p>
    <w:p w:rsidR="00CF0324" w:rsidRDefault="00124A10">
      <w:pPr>
        <w:spacing w:before="240" w:line="276" w:lineRule="auto"/>
        <w:rPr>
          <w:bCs/>
        </w:rPr>
      </w:pPr>
      <w:r>
        <w:rPr>
          <w:bCs/>
        </w:rPr>
        <w:t>Таблица 1.12. Производство пищевых продуктов в Кондинском районе, тонн</w:t>
      </w:r>
    </w:p>
    <w:tbl>
      <w:tblPr>
        <w:tblW w:w="9969"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1"/>
        <w:gridCol w:w="850"/>
        <w:gridCol w:w="851"/>
        <w:gridCol w:w="851"/>
        <w:gridCol w:w="850"/>
        <w:gridCol w:w="821"/>
        <w:gridCol w:w="905"/>
        <w:gridCol w:w="823"/>
        <w:gridCol w:w="847"/>
        <w:gridCol w:w="850"/>
      </w:tblGrid>
      <w:tr w:rsidR="00CF0324">
        <w:tc>
          <w:tcPr>
            <w:tcW w:w="2321" w:type="dxa"/>
            <w:vMerge w:val="restart"/>
            <w:vAlign w:val="center"/>
          </w:tcPr>
          <w:p w:rsidR="00CF0324" w:rsidRDefault="00124A10">
            <w:pPr>
              <w:spacing w:line="276" w:lineRule="auto"/>
              <w:jc w:val="center"/>
              <w:rPr>
                <w:bCs/>
                <w:sz w:val="22"/>
                <w:szCs w:val="22"/>
                <w:lang w:eastAsia="en-US"/>
              </w:rPr>
            </w:pPr>
            <w:r>
              <w:rPr>
                <w:bCs/>
                <w:sz w:val="22"/>
                <w:szCs w:val="22"/>
                <w:lang w:eastAsia="en-US"/>
              </w:rPr>
              <w:t>Наименование продукции</w:t>
            </w:r>
          </w:p>
        </w:tc>
        <w:tc>
          <w:tcPr>
            <w:tcW w:w="850" w:type="dxa"/>
          </w:tcPr>
          <w:p w:rsidR="00CF0324" w:rsidRDefault="00CF0324">
            <w:pPr>
              <w:spacing w:line="276" w:lineRule="auto"/>
              <w:jc w:val="center"/>
              <w:rPr>
                <w:bCs/>
                <w:sz w:val="22"/>
                <w:szCs w:val="22"/>
                <w:lang w:eastAsia="en-US"/>
              </w:rPr>
            </w:pPr>
          </w:p>
        </w:tc>
        <w:tc>
          <w:tcPr>
            <w:tcW w:w="851" w:type="dxa"/>
          </w:tcPr>
          <w:p w:rsidR="00CF0324" w:rsidRDefault="00CF0324">
            <w:pPr>
              <w:spacing w:line="276" w:lineRule="auto"/>
              <w:jc w:val="center"/>
              <w:rPr>
                <w:bCs/>
                <w:sz w:val="22"/>
                <w:szCs w:val="22"/>
                <w:lang w:eastAsia="en-US"/>
              </w:rPr>
            </w:pPr>
          </w:p>
        </w:tc>
        <w:tc>
          <w:tcPr>
            <w:tcW w:w="4250" w:type="dxa"/>
            <w:gridSpan w:val="5"/>
            <w:vAlign w:val="center"/>
          </w:tcPr>
          <w:p w:rsidR="00CF0324" w:rsidRDefault="00124A10">
            <w:pPr>
              <w:spacing w:line="276" w:lineRule="auto"/>
              <w:jc w:val="center"/>
              <w:rPr>
                <w:bCs/>
                <w:sz w:val="22"/>
                <w:szCs w:val="22"/>
                <w:lang w:eastAsia="en-US"/>
              </w:rPr>
            </w:pPr>
            <w:r>
              <w:rPr>
                <w:bCs/>
                <w:sz w:val="22"/>
                <w:szCs w:val="22"/>
                <w:lang w:eastAsia="en-US"/>
              </w:rPr>
              <w:t>Годы</w:t>
            </w:r>
          </w:p>
        </w:tc>
        <w:tc>
          <w:tcPr>
            <w:tcW w:w="1697" w:type="dxa"/>
            <w:gridSpan w:val="2"/>
            <w:vAlign w:val="center"/>
          </w:tcPr>
          <w:p w:rsidR="00CF0324" w:rsidRDefault="00124A10">
            <w:pPr>
              <w:spacing w:line="276" w:lineRule="auto"/>
              <w:jc w:val="center"/>
              <w:rPr>
                <w:sz w:val="22"/>
                <w:szCs w:val="22"/>
              </w:rPr>
            </w:pPr>
            <w:r>
              <w:rPr>
                <w:sz w:val="22"/>
                <w:szCs w:val="22"/>
              </w:rPr>
              <w:t>Темп роста, %</w:t>
            </w:r>
          </w:p>
        </w:tc>
      </w:tr>
      <w:tr w:rsidR="00CF0324">
        <w:tc>
          <w:tcPr>
            <w:tcW w:w="2321" w:type="dxa"/>
            <w:vMerge/>
            <w:vAlign w:val="center"/>
          </w:tcPr>
          <w:p w:rsidR="00CF0324" w:rsidRDefault="00CF0324">
            <w:pPr>
              <w:spacing w:line="276" w:lineRule="auto"/>
              <w:jc w:val="both"/>
              <w:rPr>
                <w:bCs/>
                <w:sz w:val="22"/>
                <w:szCs w:val="22"/>
                <w:lang w:eastAsia="en-US"/>
              </w:rPr>
            </w:pP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2016</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2017</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2018</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2019</w:t>
            </w:r>
          </w:p>
        </w:tc>
        <w:tc>
          <w:tcPr>
            <w:tcW w:w="821" w:type="dxa"/>
            <w:vAlign w:val="center"/>
          </w:tcPr>
          <w:p w:rsidR="00CF0324" w:rsidRDefault="00124A10">
            <w:pPr>
              <w:spacing w:line="276" w:lineRule="auto"/>
              <w:jc w:val="center"/>
              <w:rPr>
                <w:bCs/>
                <w:sz w:val="22"/>
                <w:szCs w:val="22"/>
                <w:lang w:eastAsia="en-US"/>
              </w:rPr>
            </w:pPr>
            <w:r>
              <w:rPr>
                <w:bCs/>
                <w:sz w:val="22"/>
                <w:szCs w:val="22"/>
                <w:lang w:eastAsia="en-US"/>
              </w:rPr>
              <w:t>2020</w:t>
            </w:r>
          </w:p>
        </w:tc>
        <w:tc>
          <w:tcPr>
            <w:tcW w:w="905" w:type="dxa"/>
            <w:vAlign w:val="center"/>
          </w:tcPr>
          <w:p w:rsidR="00CF0324" w:rsidRDefault="00124A10">
            <w:pPr>
              <w:spacing w:line="276" w:lineRule="auto"/>
              <w:jc w:val="center"/>
              <w:rPr>
                <w:bCs/>
                <w:sz w:val="22"/>
                <w:szCs w:val="22"/>
                <w:lang w:eastAsia="en-US"/>
              </w:rPr>
            </w:pPr>
            <w:r>
              <w:rPr>
                <w:bCs/>
                <w:sz w:val="22"/>
                <w:szCs w:val="22"/>
                <w:lang w:eastAsia="en-US"/>
              </w:rPr>
              <w:t>2021</w:t>
            </w:r>
          </w:p>
        </w:tc>
        <w:tc>
          <w:tcPr>
            <w:tcW w:w="823" w:type="dxa"/>
            <w:vAlign w:val="center"/>
          </w:tcPr>
          <w:p w:rsidR="00CF0324" w:rsidRDefault="00124A10">
            <w:pPr>
              <w:spacing w:line="276" w:lineRule="auto"/>
              <w:jc w:val="center"/>
              <w:rPr>
                <w:bCs/>
                <w:sz w:val="22"/>
                <w:szCs w:val="22"/>
                <w:lang w:eastAsia="en-US"/>
              </w:rPr>
            </w:pPr>
            <w:r>
              <w:rPr>
                <w:bCs/>
                <w:sz w:val="22"/>
                <w:szCs w:val="22"/>
                <w:lang w:eastAsia="en-US"/>
              </w:rPr>
              <w:t>2022</w:t>
            </w:r>
          </w:p>
        </w:tc>
        <w:tc>
          <w:tcPr>
            <w:tcW w:w="847" w:type="dxa"/>
            <w:vAlign w:val="center"/>
          </w:tcPr>
          <w:p w:rsidR="00CF0324" w:rsidRDefault="00124A10">
            <w:pPr>
              <w:spacing w:line="276" w:lineRule="auto"/>
              <w:jc w:val="center"/>
              <w:rPr>
                <w:bCs/>
                <w:sz w:val="22"/>
                <w:szCs w:val="22"/>
                <w:lang w:eastAsia="en-US"/>
              </w:rPr>
            </w:pPr>
            <w:r>
              <w:rPr>
                <w:bCs/>
                <w:sz w:val="22"/>
                <w:szCs w:val="22"/>
                <w:lang w:eastAsia="en-US"/>
              </w:rPr>
              <w:t>2022/ 2021</w:t>
            </w:r>
          </w:p>
        </w:tc>
        <w:tc>
          <w:tcPr>
            <w:tcW w:w="850" w:type="dxa"/>
          </w:tcPr>
          <w:p w:rsidR="00CF0324" w:rsidRDefault="00124A10">
            <w:pPr>
              <w:spacing w:line="276" w:lineRule="auto"/>
              <w:jc w:val="center"/>
              <w:rPr>
                <w:bCs/>
                <w:sz w:val="22"/>
                <w:szCs w:val="22"/>
                <w:lang w:eastAsia="en-US"/>
              </w:rPr>
            </w:pPr>
            <w:r>
              <w:rPr>
                <w:bCs/>
                <w:sz w:val="22"/>
                <w:szCs w:val="22"/>
                <w:lang w:eastAsia="en-US"/>
              </w:rPr>
              <w:t>2022/ 2016</w:t>
            </w:r>
          </w:p>
        </w:tc>
      </w:tr>
      <w:tr w:rsidR="00CF0324">
        <w:tc>
          <w:tcPr>
            <w:tcW w:w="2321" w:type="dxa"/>
            <w:vAlign w:val="center"/>
          </w:tcPr>
          <w:p w:rsidR="00CF0324" w:rsidRDefault="00124A10">
            <w:pPr>
              <w:jc w:val="both"/>
              <w:rPr>
                <w:bCs/>
                <w:sz w:val="22"/>
                <w:szCs w:val="22"/>
                <w:lang w:eastAsia="en-US"/>
              </w:rPr>
            </w:pPr>
            <w:r>
              <w:rPr>
                <w:bCs/>
                <w:sz w:val="22"/>
                <w:szCs w:val="22"/>
                <w:lang w:eastAsia="en-US"/>
              </w:rPr>
              <w:t>1.Хлеб и хлебобулочные изделия</w:t>
            </w:r>
          </w:p>
        </w:tc>
        <w:tc>
          <w:tcPr>
            <w:tcW w:w="850" w:type="dxa"/>
            <w:vAlign w:val="center"/>
          </w:tcPr>
          <w:p w:rsidR="00CF0324" w:rsidRDefault="00124A10">
            <w:pPr>
              <w:spacing w:line="276" w:lineRule="auto"/>
              <w:jc w:val="center"/>
              <w:rPr>
                <w:bCs/>
                <w:sz w:val="22"/>
                <w:szCs w:val="22"/>
              </w:rPr>
            </w:pPr>
            <w:r>
              <w:rPr>
                <w:bCs/>
                <w:sz w:val="22"/>
                <w:szCs w:val="22"/>
              </w:rPr>
              <w:t>1331,5</w:t>
            </w:r>
          </w:p>
        </w:tc>
        <w:tc>
          <w:tcPr>
            <w:tcW w:w="851" w:type="dxa"/>
            <w:vAlign w:val="center"/>
          </w:tcPr>
          <w:p w:rsidR="00CF0324" w:rsidRDefault="00124A10">
            <w:pPr>
              <w:spacing w:line="276" w:lineRule="auto"/>
              <w:jc w:val="center"/>
              <w:rPr>
                <w:bCs/>
                <w:sz w:val="22"/>
                <w:szCs w:val="22"/>
              </w:rPr>
            </w:pPr>
            <w:r>
              <w:rPr>
                <w:bCs/>
                <w:sz w:val="22"/>
                <w:szCs w:val="22"/>
              </w:rPr>
              <w:t>1223,5</w:t>
            </w:r>
          </w:p>
        </w:tc>
        <w:tc>
          <w:tcPr>
            <w:tcW w:w="851" w:type="dxa"/>
            <w:vAlign w:val="center"/>
          </w:tcPr>
          <w:p w:rsidR="00CF0324" w:rsidRDefault="00124A10">
            <w:pPr>
              <w:spacing w:line="276" w:lineRule="auto"/>
              <w:jc w:val="center"/>
              <w:rPr>
                <w:bCs/>
                <w:sz w:val="22"/>
                <w:szCs w:val="22"/>
              </w:rPr>
            </w:pPr>
            <w:r>
              <w:rPr>
                <w:bCs/>
                <w:sz w:val="22"/>
                <w:szCs w:val="22"/>
              </w:rPr>
              <w:t>1346,7</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1246,5</w:t>
            </w:r>
          </w:p>
        </w:tc>
        <w:tc>
          <w:tcPr>
            <w:tcW w:w="821" w:type="dxa"/>
            <w:vAlign w:val="center"/>
          </w:tcPr>
          <w:p w:rsidR="00CF0324" w:rsidRDefault="00124A10">
            <w:pPr>
              <w:spacing w:line="276" w:lineRule="auto"/>
              <w:jc w:val="center"/>
              <w:rPr>
                <w:bCs/>
                <w:sz w:val="22"/>
                <w:szCs w:val="22"/>
                <w:lang w:eastAsia="en-US"/>
              </w:rPr>
            </w:pPr>
            <w:r>
              <w:rPr>
                <w:bCs/>
                <w:sz w:val="22"/>
                <w:szCs w:val="22"/>
                <w:lang w:eastAsia="en-US"/>
              </w:rPr>
              <w:t>1145,9</w:t>
            </w:r>
          </w:p>
        </w:tc>
        <w:tc>
          <w:tcPr>
            <w:tcW w:w="905" w:type="dxa"/>
            <w:vAlign w:val="center"/>
          </w:tcPr>
          <w:p w:rsidR="00CF0324" w:rsidRDefault="00124A10">
            <w:pPr>
              <w:spacing w:line="276" w:lineRule="auto"/>
              <w:jc w:val="center"/>
              <w:rPr>
                <w:bCs/>
                <w:sz w:val="22"/>
                <w:szCs w:val="22"/>
              </w:rPr>
            </w:pPr>
            <w:r>
              <w:rPr>
                <w:bCs/>
                <w:sz w:val="22"/>
                <w:szCs w:val="22"/>
              </w:rPr>
              <w:t>1133,5</w:t>
            </w:r>
          </w:p>
        </w:tc>
        <w:tc>
          <w:tcPr>
            <w:tcW w:w="823" w:type="dxa"/>
            <w:vAlign w:val="center"/>
          </w:tcPr>
          <w:p w:rsidR="00CF0324" w:rsidRDefault="00124A10">
            <w:pPr>
              <w:spacing w:line="276" w:lineRule="auto"/>
              <w:jc w:val="center"/>
              <w:rPr>
                <w:bCs/>
                <w:sz w:val="22"/>
                <w:szCs w:val="22"/>
              </w:rPr>
            </w:pPr>
            <w:r>
              <w:rPr>
                <w:bCs/>
                <w:sz w:val="22"/>
                <w:szCs w:val="22"/>
              </w:rPr>
              <w:t>1121,2</w:t>
            </w:r>
          </w:p>
        </w:tc>
        <w:tc>
          <w:tcPr>
            <w:tcW w:w="847" w:type="dxa"/>
            <w:vAlign w:val="center"/>
          </w:tcPr>
          <w:p w:rsidR="00CF0324" w:rsidRDefault="00124A10">
            <w:pPr>
              <w:spacing w:line="276" w:lineRule="auto"/>
              <w:jc w:val="center"/>
              <w:rPr>
                <w:bCs/>
                <w:sz w:val="22"/>
                <w:szCs w:val="22"/>
              </w:rPr>
            </w:pPr>
            <w:r>
              <w:rPr>
                <w:bCs/>
                <w:sz w:val="22"/>
                <w:szCs w:val="22"/>
              </w:rPr>
              <w:t>99</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84</w:t>
            </w:r>
          </w:p>
        </w:tc>
      </w:tr>
      <w:tr w:rsidR="00CF0324">
        <w:tc>
          <w:tcPr>
            <w:tcW w:w="2321" w:type="dxa"/>
            <w:vAlign w:val="center"/>
          </w:tcPr>
          <w:p w:rsidR="00CF0324" w:rsidRDefault="00124A10">
            <w:pPr>
              <w:jc w:val="both"/>
              <w:rPr>
                <w:bCs/>
                <w:sz w:val="22"/>
                <w:szCs w:val="22"/>
                <w:lang w:eastAsia="en-US"/>
              </w:rPr>
            </w:pPr>
            <w:r>
              <w:rPr>
                <w:bCs/>
                <w:sz w:val="22"/>
                <w:szCs w:val="22"/>
                <w:lang w:eastAsia="en-US"/>
              </w:rPr>
              <w:t>2.Пищевая рыбопродукция</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1058,5</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1457,2</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1607,9</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1017,7</w:t>
            </w:r>
          </w:p>
        </w:tc>
        <w:tc>
          <w:tcPr>
            <w:tcW w:w="821" w:type="dxa"/>
            <w:vAlign w:val="center"/>
          </w:tcPr>
          <w:p w:rsidR="00CF0324" w:rsidRDefault="00124A10">
            <w:pPr>
              <w:spacing w:line="276" w:lineRule="auto"/>
              <w:jc w:val="center"/>
              <w:rPr>
                <w:bCs/>
                <w:sz w:val="22"/>
                <w:szCs w:val="22"/>
                <w:lang w:eastAsia="en-US"/>
              </w:rPr>
            </w:pPr>
            <w:r>
              <w:rPr>
                <w:bCs/>
                <w:sz w:val="22"/>
                <w:szCs w:val="22"/>
                <w:lang w:eastAsia="en-US"/>
              </w:rPr>
              <w:t>788,7</w:t>
            </w:r>
          </w:p>
        </w:tc>
        <w:tc>
          <w:tcPr>
            <w:tcW w:w="905" w:type="dxa"/>
            <w:vAlign w:val="center"/>
          </w:tcPr>
          <w:p w:rsidR="00CF0324" w:rsidRDefault="00124A10">
            <w:pPr>
              <w:spacing w:line="276" w:lineRule="auto"/>
              <w:jc w:val="center"/>
              <w:rPr>
                <w:bCs/>
                <w:sz w:val="22"/>
                <w:szCs w:val="22"/>
                <w:lang w:eastAsia="en-US"/>
              </w:rPr>
            </w:pPr>
            <w:r>
              <w:rPr>
                <w:bCs/>
                <w:sz w:val="22"/>
                <w:szCs w:val="22"/>
                <w:lang w:eastAsia="en-US"/>
              </w:rPr>
              <w:t>803,1</w:t>
            </w:r>
          </w:p>
        </w:tc>
        <w:tc>
          <w:tcPr>
            <w:tcW w:w="823" w:type="dxa"/>
            <w:vAlign w:val="center"/>
          </w:tcPr>
          <w:p w:rsidR="00CF0324" w:rsidRDefault="00124A10">
            <w:pPr>
              <w:spacing w:line="276" w:lineRule="auto"/>
              <w:jc w:val="center"/>
              <w:rPr>
                <w:bCs/>
                <w:sz w:val="22"/>
                <w:szCs w:val="22"/>
                <w:lang w:eastAsia="en-US"/>
              </w:rPr>
            </w:pPr>
            <w:r>
              <w:rPr>
                <w:bCs/>
                <w:sz w:val="22"/>
                <w:szCs w:val="22"/>
                <w:lang w:eastAsia="en-US"/>
              </w:rPr>
              <w:t>581,1</w:t>
            </w:r>
          </w:p>
        </w:tc>
        <w:tc>
          <w:tcPr>
            <w:tcW w:w="847" w:type="dxa"/>
            <w:vAlign w:val="center"/>
          </w:tcPr>
          <w:p w:rsidR="00CF0324" w:rsidRDefault="00124A10">
            <w:pPr>
              <w:spacing w:line="276" w:lineRule="auto"/>
              <w:jc w:val="center"/>
              <w:rPr>
                <w:sz w:val="22"/>
                <w:szCs w:val="22"/>
              </w:rPr>
            </w:pPr>
            <w:r>
              <w:rPr>
                <w:sz w:val="22"/>
                <w:szCs w:val="22"/>
              </w:rPr>
              <w:t>72</w:t>
            </w:r>
          </w:p>
        </w:tc>
        <w:tc>
          <w:tcPr>
            <w:tcW w:w="850" w:type="dxa"/>
            <w:vAlign w:val="center"/>
          </w:tcPr>
          <w:p w:rsidR="00CF0324" w:rsidRDefault="00124A10">
            <w:pPr>
              <w:spacing w:line="276" w:lineRule="auto"/>
              <w:jc w:val="center"/>
              <w:rPr>
                <w:sz w:val="22"/>
                <w:szCs w:val="22"/>
              </w:rPr>
            </w:pPr>
            <w:r>
              <w:rPr>
                <w:sz w:val="22"/>
                <w:szCs w:val="22"/>
              </w:rPr>
              <w:t>55</w:t>
            </w:r>
          </w:p>
        </w:tc>
      </w:tr>
      <w:tr w:rsidR="00CF0324">
        <w:tc>
          <w:tcPr>
            <w:tcW w:w="2321" w:type="dxa"/>
            <w:vAlign w:val="center"/>
          </w:tcPr>
          <w:p w:rsidR="00CF0324" w:rsidRDefault="00124A10">
            <w:pPr>
              <w:spacing w:line="276" w:lineRule="auto"/>
              <w:jc w:val="both"/>
              <w:rPr>
                <w:bCs/>
                <w:sz w:val="22"/>
                <w:szCs w:val="22"/>
                <w:lang w:eastAsia="en-US"/>
              </w:rPr>
            </w:pPr>
            <w:r>
              <w:rPr>
                <w:bCs/>
                <w:sz w:val="22"/>
                <w:szCs w:val="22"/>
                <w:lang w:eastAsia="en-US"/>
              </w:rPr>
              <w:t>3. Заготовка грибов</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11,1</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13,5</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37,2</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64,8</w:t>
            </w:r>
          </w:p>
        </w:tc>
        <w:tc>
          <w:tcPr>
            <w:tcW w:w="821" w:type="dxa"/>
            <w:vAlign w:val="center"/>
          </w:tcPr>
          <w:p w:rsidR="00CF0324" w:rsidRDefault="00124A10">
            <w:pPr>
              <w:spacing w:line="276" w:lineRule="auto"/>
              <w:jc w:val="center"/>
              <w:rPr>
                <w:bCs/>
                <w:sz w:val="22"/>
                <w:szCs w:val="22"/>
                <w:lang w:eastAsia="en-US"/>
              </w:rPr>
            </w:pPr>
            <w:r>
              <w:rPr>
                <w:bCs/>
                <w:sz w:val="22"/>
                <w:szCs w:val="22"/>
                <w:lang w:eastAsia="en-US"/>
              </w:rPr>
              <w:t>146,5</w:t>
            </w:r>
          </w:p>
        </w:tc>
        <w:tc>
          <w:tcPr>
            <w:tcW w:w="905" w:type="dxa"/>
            <w:vAlign w:val="center"/>
          </w:tcPr>
          <w:p w:rsidR="00CF0324" w:rsidRDefault="00124A10">
            <w:pPr>
              <w:spacing w:line="276" w:lineRule="auto"/>
              <w:jc w:val="center"/>
              <w:rPr>
                <w:bCs/>
                <w:sz w:val="22"/>
                <w:szCs w:val="22"/>
                <w:lang w:eastAsia="en-US"/>
              </w:rPr>
            </w:pPr>
            <w:r>
              <w:rPr>
                <w:bCs/>
                <w:sz w:val="22"/>
                <w:szCs w:val="22"/>
                <w:lang w:eastAsia="en-US"/>
              </w:rPr>
              <w:t>51,8</w:t>
            </w:r>
          </w:p>
        </w:tc>
        <w:tc>
          <w:tcPr>
            <w:tcW w:w="823" w:type="dxa"/>
            <w:vAlign w:val="center"/>
          </w:tcPr>
          <w:p w:rsidR="00CF0324" w:rsidRDefault="00124A10">
            <w:pPr>
              <w:spacing w:line="276" w:lineRule="auto"/>
              <w:jc w:val="center"/>
              <w:rPr>
                <w:bCs/>
                <w:sz w:val="22"/>
                <w:szCs w:val="22"/>
                <w:lang w:eastAsia="en-US"/>
              </w:rPr>
            </w:pPr>
            <w:r>
              <w:rPr>
                <w:bCs/>
                <w:sz w:val="22"/>
                <w:szCs w:val="22"/>
                <w:lang w:eastAsia="en-US"/>
              </w:rPr>
              <w:t>29,2</w:t>
            </w:r>
          </w:p>
        </w:tc>
        <w:tc>
          <w:tcPr>
            <w:tcW w:w="847" w:type="dxa"/>
            <w:vAlign w:val="center"/>
          </w:tcPr>
          <w:p w:rsidR="00CF0324" w:rsidRDefault="00124A10">
            <w:pPr>
              <w:spacing w:line="276" w:lineRule="auto"/>
              <w:jc w:val="center"/>
              <w:rPr>
                <w:sz w:val="22"/>
                <w:szCs w:val="22"/>
              </w:rPr>
            </w:pPr>
            <w:r>
              <w:rPr>
                <w:sz w:val="22"/>
                <w:szCs w:val="22"/>
              </w:rPr>
              <w:t>56</w:t>
            </w:r>
          </w:p>
        </w:tc>
        <w:tc>
          <w:tcPr>
            <w:tcW w:w="850" w:type="dxa"/>
            <w:vAlign w:val="center"/>
          </w:tcPr>
          <w:p w:rsidR="00CF0324" w:rsidRDefault="00124A10">
            <w:pPr>
              <w:spacing w:line="276" w:lineRule="auto"/>
              <w:jc w:val="center"/>
              <w:rPr>
                <w:sz w:val="22"/>
                <w:szCs w:val="22"/>
              </w:rPr>
            </w:pPr>
            <w:r>
              <w:rPr>
                <w:sz w:val="22"/>
                <w:szCs w:val="22"/>
              </w:rPr>
              <w:t>263</w:t>
            </w:r>
          </w:p>
        </w:tc>
      </w:tr>
      <w:tr w:rsidR="00CF0324">
        <w:tc>
          <w:tcPr>
            <w:tcW w:w="2321" w:type="dxa"/>
            <w:vAlign w:val="center"/>
          </w:tcPr>
          <w:p w:rsidR="00CF0324" w:rsidRDefault="00124A10">
            <w:pPr>
              <w:spacing w:line="276" w:lineRule="auto"/>
              <w:jc w:val="both"/>
              <w:rPr>
                <w:bCs/>
                <w:sz w:val="22"/>
                <w:szCs w:val="22"/>
                <w:lang w:eastAsia="en-US"/>
              </w:rPr>
            </w:pPr>
            <w:r>
              <w:rPr>
                <w:bCs/>
                <w:sz w:val="22"/>
                <w:szCs w:val="22"/>
                <w:lang w:eastAsia="en-US"/>
              </w:rPr>
              <w:t>4. Заготовка ягод</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16,1</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64,5</w:t>
            </w:r>
          </w:p>
        </w:tc>
        <w:tc>
          <w:tcPr>
            <w:tcW w:w="851" w:type="dxa"/>
            <w:vAlign w:val="center"/>
          </w:tcPr>
          <w:p w:rsidR="00CF0324" w:rsidRDefault="00124A10">
            <w:pPr>
              <w:spacing w:line="276" w:lineRule="auto"/>
              <w:jc w:val="center"/>
              <w:rPr>
                <w:bCs/>
                <w:sz w:val="22"/>
                <w:szCs w:val="22"/>
                <w:lang w:eastAsia="en-US"/>
              </w:rPr>
            </w:pPr>
            <w:r>
              <w:rPr>
                <w:bCs/>
                <w:sz w:val="22"/>
                <w:szCs w:val="22"/>
                <w:lang w:eastAsia="en-US"/>
              </w:rPr>
              <w:t>133,9</w:t>
            </w:r>
          </w:p>
        </w:tc>
        <w:tc>
          <w:tcPr>
            <w:tcW w:w="850" w:type="dxa"/>
            <w:vAlign w:val="center"/>
          </w:tcPr>
          <w:p w:rsidR="00CF0324" w:rsidRDefault="00124A10">
            <w:pPr>
              <w:spacing w:line="276" w:lineRule="auto"/>
              <w:jc w:val="center"/>
              <w:rPr>
                <w:bCs/>
                <w:sz w:val="22"/>
                <w:szCs w:val="22"/>
                <w:lang w:eastAsia="en-US"/>
              </w:rPr>
            </w:pPr>
            <w:r>
              <w:rPr>
                <w:bCs/>
                <w:sz w:val="22"/>
                <w:szCs w:val="22"/>
                <w:lang w:eastAsia="en-US"/>
              </w:rPr>
              <w:t>52,9</w:t>
            </w:r>
          </w:p>
        </w:tc>
        <w:tc>
          <w:tcPr>
            <w:tcW w:w="821" w:type="dxa"/>
            <w:vAlign w:val="center"/>
          </w:tcPr>
          <w:p w:rsidR="00CF0324" w:rsidRDefault="00124A10">
            <w:pPr>
              <w:spacing w:line="276" w:lineRule="auto"/>
              <w:jc w:val="center"/>
              <w:rPr>
                <w:bCs/>
                <w:sz w:val="22"/>
                <w:szCs w:val="22"/>
                <w:lang w:eastAsia="en-US"/>
              </w:rPr>
            </w:pPr>
            <w:r>
              <w:rPr>
                <w:bCs/>
                <w:sz w:val="22"/>
                <w:szCs w:val="22"/>
                <w:lang w:eastAsia="en-US"/>
              </w:rPr>
              <w:t>51,2</w:t>
            </w:r>
          </w:p>
        </w:tc>
        <w:tc>
          <w:tcPr>
            <w:tcW w:w="905" w:type="dxa"/>
            <w:vAlign w:val="center"/>
          </w:tcPr>
          <w:p w:rsidR="00CF0324" w:rsidRDefault="00124A10">
            <w:pPr>
              <w:spacing w:line="276" w:lineRule="auto"/>
              <w:jc w:val="center"/>
              <w:rPr>
                <w:bCs/>
                <w:sz w:val="22"/>
                <w:szCs w:val="22"/>
                <w:lang w:eastAsia="en-US"/>
              </w:rPr>
            </w:pPr>
            <w:r>
              <w:rPr>
                <w:bCs/>
                <w:sz w:val="22"/>
                <w:szCs w:val="22"/>
                <w:lang w:eastAsia="en-US"/>
              </w:rPr>
              <w:t>57,1</w:t>
            </w:r>
          </w:p>
        </w:tc>
        <w:tc>
          <w:tcPr>
            <w:tcW w:w="823" w:type="dxa"/>
            <w:vAlign w:val="center"/>
          </w:tcPr>
          <w:p w:rsidR="00CF0324" w:rsidRDefault="00124A10">
            <w:pPr>
              <w:spacing w:line="276" w:lineRule="auto"/>
              <w:jc w:val="center"/>
              <w:rPr>
                <w:bCs/>
                <w:sz w:val="22"/>
                <w:szCs w:val="22"/>
                <w:lang w:eastAsia="en-US"/>
              </w:rPr>
            </w:pPr>
            <w:r>
              <w:rPr>
                <w:bCs/>
                <w:sz w:val="22"/>
                <w:szCs w:val="22"/>
                <w:lang w:eastAsia="en-US"/>
              </w:rPr>
              <w:t>47,9</w:t>
            </w:r>
          </w:p>
        </w:tc>
        <w:tc>
          <w:tcPr>
            <w:tcW w:w="847" w:type="dxa"/>
            <w:vAlign w:val="center"/>
          </w:tcPr>
          <w:p w:rsidR="00CF0324" w:rsidRDefault="00124A10">
            <w:pPr>
              <w:spacing w:line="276" w:lineRule="auto"/>
              <w:jc w:val="center"/>
              <w:rPr>
                <w:sz w:val="22"/>
                <w:szCs w:val="22"/>
              </w:rPr>
            </w:pPr>
            <w:r>
              <w:rPr>
                <w:sz w:val="22"/>
                <w:szCs w:val="22"/>
              </w:rPr>
              <w:t>84</w:t>
            </w:r>
          </w:p>
        </w:tc>
        <w:tc>
          <w:tcPr>
            <w:tcW w:w="850" w:type="dxa"/>
            <w:vAlign w:val="center"/>
          </w:tcPr>
          <w:p w:rsidR="00CF0324" w:rsidRDefault="00124A10">
            <w:pPr>
              <w:spacing w:line="276" w:lineRule="auto"/>
              <w:jc w:val="center"/>
              <w:rPr>
                <w:sz w:val="22"/>
                <w:szCs w:val="22"/>
              </w:rPr>
            </w:pPr>
            <w:r>
              <w:rPr>
                <w:sz w:val="22"/>
                <w:szCs w:val="22"/>
              </w:rPr>
              <w:t>297</w:t>
            </w:r>
          </w:p>
        </w:tc>
      </w:tr>
      <w:tr w:rsidR="00CF0324">
        <w:tc>
          <w:tcPr>
            <w:tcW w:w="2321" w:type="dxa"/>
            <w:vAlign w:val="center"/>
          </w:tcPr>
          <w:p w:rsidR="00CF0324" w:rsidRDefault="00124A10">
            <w:pPr>
              <w:jc w:val="both"/>
              <w:rPr>
                <w:bCs/>
                <w:sz w:val="22"/>
                <w:szCs w:val="22"/>
              </w:rPr>
            </w:pPr>
            <w:r>
              <w:rPr>
                <w:bCs/>
                <w:sz w:val="22"/>
                <w:szCs w:val="22"/>
              </w:rPr>
              <w:t>5.</w:t>
            </w:r>
            <w:r>
              <w:rPr>
                <w:sz w:val="22"/>
                <w:szCs w:val="22"/>
              </w:rPr>
              <w:t>Объем производства продукции растениеводства в действующих ценах, тыс. руб.</w:t>
            </w:r>
          </w:p>
        </w:tc>
        <w:tc>
          <w:tcPr>
            <w:tcW w:w="850" w:type="dxa"/>
            <w:vAlign w:val="center"/>
          </w:tcPr>
          <w:p w:rsidR="00CF0324" w:rsidRDefault="00124A10">
            <w:pPr>
              <w:jc w:val="center"/>
              <w:rPr>
                <w:bCs/>
                <w:sz w:val="22"/>
                <w:szCs w:val="22"/>
              </w:rPr>
            </w:pPr>
            <w:r>
              <w:rPr>
                <w:bCs/>
                <w:sz w:val="22"/>
                <w:szCs w:val="22"/>
              </w:rPr>
              <w:t>417,2</w:t>
            </w:r>
          </w:p>
        </w:tc>
        <w:tc>
          <w:tcPr>
            <w:tcW w:w="851" w:type="dxa"/>
            <w:vAlign w:val="center"/>
          </w:tcPr>
          <w:p w:rsidR="00CF0324" w:rsidRDefault="00124A10">
            <w:pPr>
              <w:jc w:val="center"/>
              <w:rPr>
                <w:bCs/>
                <w:sz w:val="22"/>
                <w:szCs w:val="22"/>
              </w:rPr>
            </w:pPr>
            <w:r>
              <w:rPr>
                <w:bCs/>
                <w:sz w:val="22"/>
                <w:szCs w:val="22"/>
              </w:rPr>
              <w:t>447,5</w:t>
            </w:r>
          </w:p>
        </w:tc>
        <w:tc>
          <w:tcPr>
            <w:tcW w:w="851" w:type="dxa"/>
            <w:vAlign w:val="center"/>
          </w:tcPr>
          <w:p w:rsidR="00CF0324" w:rsidRDefault="00124A10">
            <w:pPr>
              <w:jc w:val="center"/>
              <w:rPr>
                <w:bCs/>
                <w:sz w:val="22"/>
                <w:szCs w:val="22"/>
              </w:rPr>
            </w:pPr>
            <w:r>
              <w:rPr>
                <w:bCs/>
                <w:sz w:val="22"/>
                <w:szCs w:val="22"/>
              </w:rPr>
              <w:t>466,3</w:t>
            </w:r>
          </w:p>
        </w:tc>
        <w:tc>
          <w:tcPr>
            <w:tcW w:w="850" w:type="dxa"/>
            <w:vAlign w:val="center"/>
          </w:tcPr>
          <w:p w:rsidR="00CF0324" w:rsidRDefault="00124A10">
            <w:pPr>
              <w:jc w:val="center"/>
              <w:rPr>
                <w:bCs/>
                <w:sz w:val="22"/>
                <w:szCs w:val="22"/>
              </w:rPr>
            </w:pPr>
            <w:r>
              <w:rPr>
                <w:bCs/>
                <w:sz w:val="22"/>
                <w:szCs w:val="22"/>
              </w:rPr>
              <w:t>469,0</w:t>
            </w:r>
          </w:p>
        </w:tc>
        <w:tc>
          <w:tcPr>
            <w:tcW w:w="821" w:type="dxa"/>
            <w:vAlign w:val="center"/>
          </w:tcPr>
          <w:p w:rsidR="00CF0324" w:rsidRDefault="00124A10">
            <w:pPr>
              <w:jc w:val="center"/>
              <w:rPr>
                <w:bCs/>
                <w:sz w:val="22"/>
                <w:szCs w:val="22"/>
              </w:rPr>
            </w:pPr>
            <w:r>
              <w:rPr>
                <w:bCs/>
                <w:sz w:val="22"/>
                <w:szCs w:val="22"/>
              </w:rPr>
              <w:t>525,7</w:t>
            </w:r>
          </w:p>
        </w:tc>
        <w:tc>
          <w:tcPr>
            <w:tcW w:w="905" w:type="dxa"/>
            <w:vAlign w:val="center"/>
          </w:tcPr>
          <w:p w:rsidR="00CF0324" w:rsidRDefault="00124A10">
            <w:pPr>
              <w:jc w:val="center"/>
              <w:rPr>
                <w:bCs/>
                <w:sz w:val="22"/>
                <w:szCs w:val="22"/>
              </w:rPr>
            </w:pPr>
            <w:r>
              <w:rPr>
                <w:bCs/>
                <w:sz w:val="22"/>
                <w:szCs w:val="22"/>
              </w:rPr>
              <w:t>718,6</w:t>
            </w:r>
          </w:p>
        </w:tc>
        <w:tc>
          <w:tcPr>
            <w:tcW w:w="823" w:type="dxa"/>
            <w:vAlign w:val="center"/>
          </w:tcPr>
          <w:p w:rsidR="00CF0324" w:rsidRDefault="00124A10">
            <w:pPr>
              <w:jc w:val="center"/>
              <w:rPr>
                <w:bCs/>
                <w:sz w:val="22"/>
                <w:szCs w:val="22"/>
              </w:rPr>
            </w:pPr>
            <w:r>
              <w:rPr>
                <w:bCs/>
                <w:sz w:val="22"/>
                <w:szCs w:val="22"/>
              </w:rPr>
              <w:t>825,7</w:t>
            </w:r>
          </w:p>
        </w:tc>
        <w:tc>
          <w:tcPr>
            <w:tcW w:w="847" w:type="dxa"/>
            <w:vAlign w:val="center"/>
          </w:tcPr>
          <w:p w:rsidR="00CF0324" w:rsidRDefault="00124A10">
            <w:pPr>
              <w:jc w:val="center"/>
              <w:rPr>
                <w:sz w:val="22"/>
                <w:szCs w:val="22"/>
              </w:rPr>
            </w:pPr>
            <w:r>
              <w:rPr>
                <w:sz w:val="22"/>
                <w:szCs w:val="22"/>
              </w:rPr>
              <w:t>115</w:t>
            </w:r>
          </w:p>
        </w:tc>
        <w:tc>
          <w:tcPr>
            <w:tcW w:w="850" w:type="dxa"/>
            <w:vAlign w:val="center"/>
          </w:tcPr>
          <w:p w:rsidR="00CF0324" w:rsidRDefault="00124A10">
            <w:pPr>
              <w:jc w:val="center"/>
              <w:rPr>
                <w:sz w:val="22"/>
                <w:szCs w:val="22"/>
              </w:rPr>
            </w:pPr>
            <w:r>
              <w:rPr>
                <w:sz w:val="22"/>
                <w:szCs w:val="22"/>
              </w:rPr>
              <w:t>198</w:t>
            </w:r>
          </w:p>
        </w:tc>
      </w:tr>
    </w:tbl>
    <w:p w:rsidR="00CF0324" w:rsidRDefault="00124A10">
      <w:pPr>
        <w:spacing w:before="240" w:line="276" w:lineRule="auto"/>
        <w:ind w:firstLine="708"/>
        <w:jc w:val="both"/>
      </w:pPr>
      <w:r>
        <w:t>Более 90% дикоросов заготавливается в трех поселениях: Междуреченский, Кондинское и Болчары. Активно работают предприятия ООО «Югорская ягода», ООО «Регион-К» (пгт. Междуреченский), ОКМНС «Киндаль», ОКМНС «Соболь», НО КМНС «Кама», ИП Змановский.</w:t>
      </w:r>
    </w:p>
    <w:p w:rsidR="00CF0324" w:rsidRDefault="00124A10">
      <w:pPr>
        <w:tabs>
          <w:tab w:val="left" w:pos="709"/>
        </w:tabs>
        <w:spacing w:line="276" w:lineRule="auto"/>
        <w:ind w:firstLine="708"/>
        <w:jc w:val="both"/>
      </w:pPr>
      <w:r>
        <w:t>В период с 2016 по 2022 годы на территории Кондинского района за счет средств частных инвесторов реализованы инвестиционные проекты:</w:t>
      </w:r>
    </w:p>
    <w:p w:rsidR="00CF0324" w:rsidRDefault="00124A10">
      <w:pPr>
        <w:tabs>
          <w:tab w:val="left" w:pos="709"/>
        </w:tabs>
        <w:spacing w:line="276" w:lineRule="auto"/>
        <w:ind w:firstLine="708"/>
        <w:jc w:val="both"/>
      </w:pPr>
      <w:r>
        <w:t>1. Открытие хлебопекарни в д. Шугур. Инвестор ООО "Карымское строительно-коммунальное предприятие";</w:t>
      </w:r>
    </w:p>
    <w:p w:rsidR="00CF0324" w:rsidRDefault="00124A10">
      <w:pPr>
        <w:tabs>
          <w:tab w:val="left" w:pos="709"/>
        </w:tabs>
        <w:spacing w:line="276" w:lineRule="auto"/>
        <w:ind w:firstLine="708"/>
        <w:jc w:val="both"/>
      </w:pPr>
      <w:r>
        <w:t>2. «Развитие мощностей по выращиванию овощей в открытом грунте п. Ягодный». Инвестор КФХ Мухин И.А.</w:t>
      </w:r>
    </w:p>
    <w:p w:rsidR="00CF0324" w:rsidRDefault="00124A10">
      <w:pPr>
        <w:tabs>
          <w:tab w:val="left" w:pos="709"/>
        </w:tabs>
        <w:spacing w:line="276" w:lineRule="auto"/>
        <w:ind w:firstLine="708"/>
        <w:jc w:val="both"/>
      </w:pPr>
      <w:r>
        <w:t>3. «Развитие перерабатывающего процесса продукции дикорастущих на территории Кондинского района». Инвестор ООО «Регион – К»;</w:t>
      </w:r>
    </w:p>
    <w:p w:rsidR="00CF0324" w:rsidRDefault="00124A10">
      <w:pPr>
        <w:tabs>
          <w:tab w:val="left" w:pos="709"/>
        </w:tabs>
        <w:spacing w:line="276" w:lineRule="auto"/>
        <w:ind w:firstLine="708"/>
        <w:jc w:val="both"/>
      </w:pPr>
      <w:r>
        <w:t>4. Строительство модульного завода по переработке молока пгт. Куминский мощностью 500 л. в смену. Инвестор КФХ Клевакин А.И.;</w:t>
      </w:r>
    </w:p>
    <w:p w:rsidR="00CF0324" w:rsidRDefault="00124A10">
      <w:pPr>
        <w:tabs>
          <w:tab w:val="left" w:pos="709"/>
        </w:tabs>
        <w:spacing w:line="276" w:lineRule="auto"/>
        <w:ind w:firstLine="708"/>
        <w:jc w:val="both"/>
      </w:pPr>
      <w:r>
        <w:t>5. «Развитие рыбного промысла»: «Заготовка, хранение и транспортировка продукции». Инвестор ОКМНС «Красный Яр»;</w:t>
      </w:r>
    </w:p>
    <w:p w:rsidR="00CF0324" w:rsidRDefault="00124A10">
      <w:pPr>
        <w:tabs>
          <w:tab w:val="left" w:pos="709"/>
        </w:tabs>
        <w:spacing w:line="276" w:lineRule="auto"/>
        <w:ind w:firstLine="708"/>
        <w:jc w:val="both"/>
      </w:pPr>
      <w:r>
        <w:t>6. Расширение производства пищевой продукции в пгт. Междуреченский. Инвестор ООО «Регион – К»;</w:t>
      </w:r>
    </w:p>
    <w:p w:rsidR="00CF0324" w:rsidRDefault="00124A10">
      <w:pPr>
        <w:tabs>
          <w:tab w:val="left" w:pos="709"/>
        </w:tabs>
        <w:spacing w:line="276" w:lineRule="auto"/>
        <w:ind w:firstLine="708"/>
        <w:jc w:val="both"/>
      </w:pPr>
      <w:r>
        <w:t>7. Строительство цеха и приобретение оборудования по переработке мяса в п. Леуши. Инвестор ИП Энзель А. Н.;</w:t>
      </w:r>
    </w:p>
    <w:p w:rsidR="00CF0324" w:rsidRDefault="00124A10">
      <w:pPr>
        <w:tabs>
          <w:tab w:val="left" w:pos="709"/>
        </w:tabs>
        <w:spacing w:line="276" w:lineRule="auto"/>
        <w:ind w:firstLine="708"/>
        <w:jc w:val="both"/>
      </w:pPr>
      <w:r>
        <w:t>8. Организация заготовки и производства рыбной продукции в Кондинском районе пгт. Междуреченский. Инвестор ООО «Югорская ягода»;</w:t>
      </w:r>
    </w:p>
    <w:p w:rsidR="00CF0324" w:rsidRDefault="00124A10">
      <w:pPr>
        <w:tabs>
          <w:tab w:val="left" w:pos="709"/>
        </w:tabs>
        <w:spacing w:line="276" w:lineRule="auto"/>
        <w:ind w:firstLine="708"/>
        <w:jc w:val="both"/>
        <w:rPr>
          <w:bCs/>
        </w:rPr>
      </w:pPr>
      <w:r>
        <w:rPr>
          <w:bCs/>
        </w:rPr>
        <w:lastRenderedPageBreak/>
        <w:t>9. Развитие производства хлебобулочных и кондитерских изделий в пгт.Междуреченский (строительство пекарни «Булка»).</w:t>
      </w:r>
    </w:p>
    <w:p w:rsidR="00CF0324" w:rsidRDefault="00124A10">
      <w:pPr>
        <w:spacing w:line="276" w:lineRule="auto"/>
        <w:ind w:firstLine="709"/>
        <w:jc w:val="both"/>
      </w:pPr>
      <w:r>
        <w:t>В 2022 году произошло одно из значимых событий для нашего района, это открытие главой крестьянского (фермерского) хозяйства Чурилович Ф. В. высокотехнологического (роботизированного) молочного животноводческого комплекса в п. Лиственичный. Мощность комплекса составляет 130 голов крупного рогатого скота молочного направления, планируемый объем производства молока, составит 780 тонн ежегодно, что позволит осуществлять поставку в социальную сферу и на прилавки магазинов для населения более качественной молочной продукции (процесс доения коров исключит человеческий и другие факторы, негативно влияющие на производство молока).</w:t>
      </w:r>
    </w:p>
    <w:p w:rsidR="00CF0324" w:rsidRDefault="00124A10">
      <w:pPr>
        <w:spacing w:line="276" w:lineRule="auto"/>
        <w:ind w:firstLine="709"/>
        <w:jc w:val="both"/>
      </w:pPr>
      <w:r>
        <w:t>Три предприятия Кондинского района в 2022 году включены в Единый государственный реестр производителей органической продукции, это ОКМНС «Соболь», ОКМНС «Киндаль» и ООО «Регион-К», получены сертификаты производителей органической продукции. Также в текущем году под зарегистрированными товарными знаками «Дары Югры» и «Попробуй Югру на Вкус» (предприятие ООО «Регион-К») открыты торговые объекты в г. Уфа и г. Урай.</w:t>
      </w:r>
    </w:p>
    <w:p w:rsidR="00CF0324" w:rsidRDefault="00124A10">
      <w:pPr>
        <w:spacing w:line="276" w:lineRule="auto"/>
        <w:ind w:firstLine="709"/>
        <w:jc w:val="both"/>
      </w:pPr>
      <w:r>
        <w:t>Победителями окружного конкурса «Лучший товар Югры-2022» признаны: Глава КФХ Чурилович Федор Васильевич в номинации «Производство молочных продуктов» со следующими видами продукции: масло сливочное «Традиционное» м.д.ж. 82,5 %, сметана м.д.ж. 20 %, молоко питьевое, м.д.ж. 3,2 %; ООО «Югорская ягода» в номинации «Рыба и рыбная продукция» с продукцией консервы рыбные: карась с гречневой кашей. Глава КФХ Мухин Игорь Андреевич в номинации «Продукция сельского хозяйства» с продукцией «картофель продовольственный». Победители награждены дипломами Союза «Торгово-промышленной палаты Ханты - Мансийского автономного округа – Югры» и товарным знаком «Лучший товар Югры-2022».</w:t>
      </w:r>
    </w:p>
    <w:p w:rsidR="00CF0324" w:rsidRDefault="00124A10">
      <w:pPr>
        <w:spacing w:line="276" w:lineRule="auto"/>
        <w:ind w:firstLine="708"/>
        <w:jc w:val="both"/>
        <w:rPr>
          <w:rFonts w:eastAsia="TimesNewRomanPSMT"/>
        </w:rPr>
      </w:pPr>
      <w:r>
        <w:rPr>
          <w:rFonts w:eastAsia="TimesNewRomanPSMT"/>
        </w:rPr>
        <w:t>Для развития агропромышленного комплекса Кондинского района на данном этапе характерны следующие основные проблемы: неблагоприятные природно-климатические условия; сохраняющийся существенный дисбаланс между ценами на сельскохозяйственную технику, удобрения и топливно-энергетические ресурсы и ценами на готовую продукцию; дефицит квалифицированных кадров, вызванный низким уровнем качества жизни и социальной непривлекательностью сельских поселений;  низкий уровень развития рыночной  инфраструктуры, затрудняющий доступ сельскохозяйственных товаропроизводителей к рынкам материально-технических и информационных ресурсов; низкий уровень притока инвестиционных ресурсов; слабая техническая оснащенность сельскохозяйственного производства, наличие в хозяйствах техники, находящейся за пределами сроков амортизации; использование в производственной деятельности непрогрессивных, устаревших технологий; создание конкуренции со стороны торговых сетей, ввозящих в район сельхозпродукцию.</w:t>
      </w:r>
    </w:p>
    <w:p w:rsidR="00CF0324" w:rsidRDefault="00124A10">
      <w:pPr>
        <w:spacing w:line="276" w:lineRule="auto"/>
        <w:ind w:firstLine="708"/>
        <w:jc w:val="both"/>
      </w:pPr>
      <w:r>
        <w:t>Основные задачи, стоящие перед агропромышленным комплексом района – это вовлечение в сферу сельскохозяйственного производства предпринимателей, создание новых крестьянских (фермерских) хозяйств и сельскохозяйственных кооперативов.</w:t>
      </w:r>
    </w:p>
    <w:p w:rsidR="00CF0324" w:rsidRDefault="00124A10">
      <w:pPr>
        <w:pStyle w:val="2"/>
        <w:spacing w:before="240" w:after="240"/>
        <w:jc w:val="left"/>
        <w:rPr>
          <w:b w:val="0"/>
          <w:i/>
          <w:sz w:val="24"/>
          <w:lang w:val="ru-RU"/>
        </w:rPr>
      </w:pPr>
      <w:bookmarkStart w:id="9" w:name="_Toc9"/>
      <w:r w:rsidRPr="00124A10">
        <w:rPr>
          <w:b w:val="0"/>
          <w:i/>
          <w:sz w:val="24"/>
          <w:lang w:val="ru-RU"/>
        </w:rPr>
        <w:t>1.6. Туризм</w:t>
      </w:r>
      <w:bookmarkEnd w:id="9"/>
    </w:p>
    <w:p w:rsidR="00CF0324" w:rsidRDefault="00124A10">
      <w:pPr>
        <w:spacing w:line="276" w:lineRule="auto"/>
        <w:ind w:firstLine="708"/>
        <w:contextualSpacing/>
        <w:jc w:val="both"/>
        <w:rPr>
          <w:rFonts w:eastAsia="Calibri"/>
          <w:lang w:eastAsia="en-US"/>
        </w:rPr>
      </w:pPr>
      <w:r>
        <w:rPr>
          <w:rFonts w:eastAsia="Calibri"/>
          <w:lang w:eastAsia="en-US"/>
        </w:rPr>
        <w:t xml:space="preserve">Кондинский район Ханты-Мансийского автономного округа – Югры имеет выгодное </w:t>
      </w:r>
      <w:r w:rsidRPr="00124A10">
        <w:rPr>
          <w:rFonts w:eastAsia="Calibri"/>
          <w:lang w:eastAsia="en-US"/>
        </w:rPr>
        <w:t>географическое положение</w:t>
      </w:r>
      <w:r>
        <w:rPr>
          <w:rFonts w:eastAsia="Calibri"/>
          <w:lang w:eastAsia="en-US"/>
        </w:rPr>
        <w:t xml:space="preserve"> для развития туристической отрасли. Кондинский </w:t>
      </w:r>
      <w:r>
        <w:rPr>
          <w:rFonts w:eastAsia="Calibri"/>
          <w:lang w:eastAsia="en-US"/>
        </w:rPr>
        <w:lastRenderedPageBreak/>
        <w:t>район приравнен к районам Крайнего Севера, расположен в юго-западной части Ханты - Мансийского автономного округа – Югры, на западе Западно-Сибирской равнины, в пределах Кондинской низменности. Протяженность с севера на юг 300 км, с запада на восток – 340 км. Район занимает площадь 54,7 тыс. км</w:t>
      </w:r>
      <w:r>
        <w:rPr>
          <w:rFonts w:eastAsia="Calibri"/>
          <w:vertAlign w:val="superscript"/>
          <w:lang w:eastAsia="en-US"/>
        </w:rPr>
        <w:t>2</w:t>
      </w:r>
      <w:r>
        <w:rPr>
          <w:rFonts w:eastAsia="Calibri"/>
          <w:lang w:eastAsia="en-US"/>
        </w:rPr>
        <w:t>, что составляет 1/10 площади территории Ханты-Мансийского автономного округа-Югры. На юго-западе и западе Кондинский район граничит с Тавдинским, Таборинским, Гаринским районами Свердловской области, на северо-востоке и севере – с Советским, Октябрьским и Ханты-Мансийским районами Ханты-Мансийского автономного округа-Югры, на востоке и юго-востоке – с Уватским и Тобольским районами Тюменской области.</w:t>
      </w:r>
    </w:p>
    <w:p w:rsidR="00CF0324" w:rsidRDefault="00124A10">
      <w:pPr>
        <w:spacing w:line="276" w:lineRule="auto"/>
        <w:ind w:firstLine="708"/>
        <w:contextualSpacing/>
        <w:jc w:val="both"/>
        <w:rPr>
          <w:rFonts w:eastAsia="Calibri"/>
          <w:lang w:eastAsia="en-US"/>
        </w:rPr>
      </w:pPr>
      <w:r>
        <w:rPr>
          <w:rFonts w:eastAsia="Calibri"/>
          <w:lang w:eastAsia="en-US"/>
        </w:rPr>
        <w:t>Климат резко континентальный. Характеризуется суровой, многоснежной и продолжительной зимой, теплым непродолжительным летом. Средняя температура января минус 20-22°С, июля – плюс 17-18°С, среднегодовая – минус 1-4°С, средняя температура наиболее холодной пятидневки минус 37°С. Земельные угодья, в основном, представлены лесами, болотами, реками и озерами. На их долю приходится 97,8% (в том числе, болота – 46,2%) от всей площади Кондинского района.</w:t>
      </w:r>
    </w:p>
    <w:p w:rsidR="00CF0324" w:rsidRDefault="00124A10">
      <w:pPr>
        <w:spacing w:line="276" w:lineRule="auto"/>
        <w:ind w:firstLine="708"/>
        <w:jc w:val="both"/>
        <w:rPr>
          <w:rFonts w:eastAsia="Calibri"/>
        </w:rPr>
      </w:pPr>
      <w:r>
        <w:rPr>
          <w:rFonts w:eastAsia="Calibri"/>
        </w:rPr>
        <w:t>На территории Кондинского района действует 7 туристических баз отдыха на 110 мест:</w:t>
      </w:r>
      <w:r>
        <w:t xml:space="preserve"> </w:t>
      </w:r>
      <w:r>
        <w:rPr>
          <w:rFonts w:eastAsia="Calibri"/>
        </w:rPr>
        <w:t>туристическая база «В гостях у лешего», 16 мест, озеро Панаевское, удаленность от районного центра 120 км по реке Конда, 60 км по зимней дороге; туристическая база «Медвежий угол», 12 мест, озеро Сумарья; рыболовная база «Глухая 2», 24 места, озеро Красный Яр; база отдыха «Светлый Сор», 20 мест, д. Кама  озеро Светлый Сор; база отдыха «Крестовый сор», 20 мест, д. Кама озеро Крестовый Сор; база отдыха «Леушинка», 6 мест, Леушинское урочище (в квартале 78, река Леушинка); база отдыха «Белая поляна», 12 мест, озеро Запорское.</w:t>
      </w:r>
    </w:p>
    <w:p w:rsidR="00CF0324" w:rsidRDefault="00124A10">
      <w:pPr>
        <w:spacing w:line="276" w:lineRule="auto"/>
        <w:ind w:firstLine="708"/>
        <w:jc w:val="both"/>
        <w:rPr>
          <w:rFonts w:eastAsia="Calibri"/>
        </w:rPr>
      </w:pPr>
      <w:r>
        <w:rPr>
          <w:rFonts w:eastAsia="Calibri"/>
        </w:rPr>
        <w:t>Гостиничную  инфраструктуру Кондинского района составляют 10 коллективных средств размещения</w:t>
      </w:r>
      <w:r>
        <w:rPr>
          <w:rStyle w:val="16"/>
          <w:rFonts w:eastAsia="Calibri"/>
        </w:rPr>
        <w:footnoteReference w:id="7"/>
      </w:r>
      <w:r>
        <w:rPr>
          <w:rFonts w:eastAsia="Calibri"/>
        </w:rPr>
        <w:t xml:space="preserve"> с общим номерным фондом на 121 мест, из них 70% в пгт.Междуреченский.</w:t>
      </w:r>
    </w:p>
    <w:p w:rsidR="00CF0324" w:rsidRDefault="00124A10">
      <w:pPr>
        <w:pStyle w:val="1b"/>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1.13. – Состояние туристической отрасли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08"/>
        <w:gridCol w:w="709"/>
        <w:gridCol w:w="709"/>
        <w:gridCol w:w="709"/>
        <w:gridCol w:w="708"/>
        <w:gridCol w:w="729"/>
        <w:gridCol w:w="690"/>
        <w:gridCol w:w="855"/>
        <w:gridCol w:w="846"/>
      </w:tblGrid>
      <w:tr w:rsidR="00CF0324">
        <w:tc>
          <w:tcPr>
            <w:tcW w:w="2835"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Показатели</w:t>
            </w:r>
          </w:p>
        </w:tc>
        <w:tc>
          <w:tcPr>
            <w:tcW w:w="4962"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Годы</w:t>
            </w:r>
          </w:p>
        </w:tc>
        <w:tc>
          <w:tcPr>
            <w:tcW w:w="1701"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hAnsi="Times New Roman" w:cs="Times New Roman"/>
              </w:rPr>
              <w:t>Темп роста, %</w:t>
            </w:r>
          </w:p>
        </w:tc>
      </w:tr>
      <w:tr w:rsidR="00CF0324">
        <w:tc>
          <w:tcPr>
            <w:tcW w:w="2835"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2"/>
                <w:szCs w:val="22"/>
                <w:lang w:eastAsia="en-US"/>
              </w:rPr>
            </w:pPr>
          </w:p>
        </w:tc>
        <w:tc>
          <w:tcPr>
            <w:tcW w:w="70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2016</w:t>
            </w:r>
          </w:p>
        </w:tc>
        <w:tc>
          <w:tcPr>
            <w:tcW w:w="70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2017</w:t>
            </w:r>
          </w:p>
        </w:tc>
        <w:tc>
          <w:tcPr>
            <w:tcW w:w="70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2018</w:t>
            </w:r>
          </w:p>
        </w:tc>
        <w:tc>
          <w:tcPr>
            <w:tcW w:w="70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2019</w:t>
            </w:r>
          </w:p>
        </w:tc>
        <w:tc>
          <w:tcPr>
            <w:tcW w:w="70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2020</w:t>
            </w:r>
          </w:p>
        </w:tc>
        <w:tc>
          <w:tcPr>
            <w:tcW w:w="72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2021</w:t>
            </w:r>
          </w:p>
        </w:tc>
        <w:tc>
          <w:tcPr>
            <w:tcW w:w="690"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2"/>
                <w:szCs w:val="22"/>
              </w:rPr>
            </w:pPr>
            <w:r>
              <w:rPr>
                <w:bCs/>
                <w:sz w:val="22"/>
                <w:szCs w:val="22"/>
              </w:rPr>
              <w:t>2022/ 2021</w:t>
            </w:r>
          </w:p>
        </w:tc>
        <w:tc>
          <w:tcPr>
            <w:tcW w:w="846"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2"/>
                <w:szCs w:val="22"/>
              </w:rPr>
            </w:pPr>
            <w:r>
              <w:rPr>
                <w:bCs/>
                <w:sz w:val="22"/>
                <w:szCs w:val="22"/>
              </w:rPr>
              <w:t>2022/ 2016</w:t>
            </w:r>
          </w:p>
        </w:tc>
      </w:tr>
      <w:tr w:rsidR="00CF0324">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Число гостиниц и аналогичных средств размещения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18</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16</w:t>
            </w:r>
          </w:p>
        </w:tc>
        <w:tc>
          <w:tcPr>
            <w:tcW w:w="72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91</w:t>
            </w:r>
          </w:p>
        </w:tc>
      </w:tr>
      <w:tr w:rsidR="00CF0324">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color w:val="92D050"/>
                <w:lang w:eastAsia="en-US"/>
              </w:rPr>
            </w:pPr>
            <w:r>
              <w:rPr>
                <w:rFonts w:ascii="Times New Roman" w:eastAsia="Times New Roman" w:hAnsi="Times New Roman" w:cs="Times New Roman"/>
                <w:lang w:eastAsia="en-US"/>
              </w:rPr>
              <w:t>Количество объектов общественного питания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45</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41</w:t>
            </w:r>
          </w:p>
        </w:tc>
        <w:tc>
          <w:tcPr>
            <w:tcW w:w="72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45</w:t>
            </w:r>
          </w:p>
        </w:tc>
        <w:tc>
          <w:tcPr>
            <w:tcW w:w="69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79</w:t>
            </w:r>
          </w:p>
        </w:tc>
      </w:tr>
      <w:tr w:rsidR="00CF0324">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Количество предприятий розничной торговли в муниципальном 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376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341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313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311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312</w:t>
            </w:r>
          </w:p>
        </w:tc>
        <w:tc>
          <w:tcPr>
            <w:tcW w:w="72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309</w:t>
            </w:r>
          </w:p>
        </w:tc>
        <w:tc>
          <w:tcPr>
            <w:tcW w:w="69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309</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82</w:t>
            </w:r>
          </w:p>
        </w:tc>
      </w:tr>
      <w:tr w:rsidR="00CF0324">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Количество предприятий сферы досуга и развлечений в муниципальном </w:t>
            </w:r>
            <w:r>
              <w:rPr>
                <w:rFonts w:ascii="Times New Roman" w:eastAsia="Times New Roman" w:hAnsi="Times New Roman" w:cs="Times New Roman"/>
                <w:lang w:eastAsia="en-US"/>
              </w:rPr>
              <w:lastRenderedPageBreak/>
              <w:t>образовании</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lastRenderedPageBreak/>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72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69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100</w:t>
            </w:r>
          </w:p>
        </w:tc>
      </w:tr>
    </w:tbl>
    <w:p w:rsidR="00CF0324" w:rsidRDefault="00CF0324">
      <w:pPr>
        <w:rPr>
          <w:lang w:eastAsia="en-US"/>
        </w:rPr>
      </w:pPr>
    </w:p>
    <w:p w:rsidR="00CF0324" w:rsidRDefault="00124A10">
      <w:pPr>
        <w:spacing w:line="276" w:lineRule="auto"/>
        <w:ind w:firstLine="708"/>
        <w:jc w:val="both"/>
        <w:rPr>
          <w:rFonts w:eastAsia="Calibri"/>
        </w:rPr>
      </w:pPr>
      <w:r>
        <w:rPr>
          <w:rFonts w:eastAsia="Calibri"/>
        </w:rPr>
        <w:t>На территории Кондинского района работают два музея</w:t>
      </w:r>
      <w:r>
        <w:rPr>
          <w:rStyle w:val="16"/>
          <w:rFonts w:eastAsia="Calibri"/>
        </w:rPr>
        <w:footnoteReference w:id="8"/>
      </w:r>
      <w:r>
        <w:rPr>
          <w:rFonts w:eastAsia="Calibri"/>
        </w:rPr>
        <w:t xml:space="preserve"> по формированию туристических маршрутов и экскурсионных программ. На 2023 год сформировано 9 туристических</w:t>
      </w:r>
      <w:r>
        <w:rPr>
          <w:bCs/>
          <w:color w:val="000000"/>
        </w:rPr>
        <w:t xml:space="preserve"> маршрутов</w:t>
      </w:r>
      <w:r>
        <w:rPr>
          <w:bCs/>
          <w:color w:val="000000"/>
          <w:spacing w:val="-8"/>
        </w:rPr>
        <w:t xml:space="preserve">, </w:t>
      </w:r>
      <w:r>
        <w:rPr>
          <w:bCs/>
          <w:color w:val="000000"/>
        </w:rPr>
        <w:t>экскурсий (программ)</w:t>
      </w:r>
      <w:r>
        <w:rPr>
          <w:bCs/>
          <w:color w:val="000000"/>
          <w:spacing w:val="-8"/>
        </w:rPr>
        <w:t>:</w:t>
      </w:r>
      <w:r>
        <w:rPr>
          <w:rFonts w:eastAsia="Calibri"/>
          <w:color w:val="000000"/>
        </w:rPr>
        <w:t xml:space="preserve"> На берегу «золотой» речки; Хранители земли Кондинской; Нахрачи – Кондинское: взгляд через время; </w:t>
      </w:r>
      <w:r>
        <w:t xml:space="preserve">«Путешествие в страну вогулов»; </w:t>
      </w:r>
      <w:r>
        <w:rPr>
          <w:color w:val="000000"/>
        </w:rPr>
        <w:t xml:space="preserve">«Зимняя тропа»; Игровая программа «Покорители урманов»; </w:t>
      </w:r>
      <w:r>
        <w:rPr>
          <w:shd w:val="clear" w:color="auto" w:fill="FFFFFF"/>
        </w:rPr>
        <w:t>«Один день жизни манси»; «Из глубины веков».</w:t>
      </w:r>
    </w:p>
    <w:p w:rsidR="00CF0324" w:rsidRDefault="00124A10">
      <w:pPr>
        <w:spacing w:line="276" w:lineRule="auto"/>
        <w:jc w:val="both"/>
      </w:pPr>
      <w:r>
        <w:tab/>
        <w:t>Учитываемый поток туристов на территории Кондинского района за 2022 год составил 14 275 чел., за счет культурно-познавательного туризма. В сравнении с 2021 годом количество туристов увеличилось в 2,5 раза, за счет вовлечения детей до 18 лет.</w:t>
      </w:r>
    </w:p>
    <w:p w:rsidR="00CF0324" w:rsidRDefault="00CF0324">
      <w:pPr>
        <w:spacing w:line="276" w:lineRule="auto"/>
        <w:jc w:val="both"/>
      </w:pPr>
    </w:p>
    <w:tbl>
      <w:tblPr>
        <w:tblW w:w="9570" w:type="dxa"/>
        <w:tblLook w:val="04A0" w:firstRow="1" w:lastRow="0" w:firstColumn="1" w:lastColumn="0" w:noHBand="0" w:noVBand="1"/>
      </w:tblPr>
      <w:tblGrid>
        <w:gridCol w:w="4785"/>
        <w:gridCol w:w="4785"/>
      </w:tblGrid>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E36C0A"/>
              </w:rPr>
            </w:pPr>
            <w:r>
              <w:rPr>
                <w:b/>
                <w:i/>
                <w:color w:val="E36C0A"/>
              </w:rPr>
              <w:t>Возрастная структура туристов Кондинского района в 2021 году,%</w:t>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0070C0"/>
              </w:rPr>
            </w:pPr>
            <w:r>
              <w:rPr>
                <w:b/>
                <w:i/>
                <w:color w:val="0070C0"/>
              </w:rPr>
              <w:t>Возрастная структура туристов Кондинского района в 2022 году,%</w:t>
            </w:r>
          </w:p>
        </w:tc>
      </w:tr>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pPr>
            <w:r>
              <w:rPr>
                <w:noProof/>
              </w:rPr>
              <w:drawing>
                <wp:inline distT="0" distB="0" distL="0" distR="0">
                  <wp:extent cx="2751265" cy="1836509"/>
                  <wp:effectExtent l="0" t="0" r="0" b="0"/>
                  <wp:docPr id="10"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9730" t="-12827" r="-49" b="-11664"/>
                          <a:stretch/>
                        </pic:blipFill>
                        <pic:spPr bwMode="auto">
                          <a:xfrm>
                            <a:off x="0" y="0"/>
                            <a:ext cx="2751265" cy="1836509"/>
                          </a:xfrm>
                          <a:prstGeom prst="rect">
                            <a:avLst/>
                          </a:prstGeom>
                          <a:noFill/>
                          <a:ln>
                            <a:noFill/>
                          </a:ln>
                        </pic:spPr>
                      </pic:pic>
                    </a:graphicData>
                  </a:graphic>
                </wp:inline>
              </w:drawing>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pPr>
            <w:r>
              <w:rPr>
                <w:noProof/>
              </w:rPr>
              <w:drawing>
                <wp:inline distT="0" distB="0" distL="0" distR="0">
                  <wp:extent cx="2751265" cy="1836509"/>
                  <wp:effectExtent l="0" t="0" r="0" b="0"/>
                  <wp:docPr id="11"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9730" t="-12827" r="-49" b="-11664"/>
                          <a:stretch/>
                        </pic:blipFill>
                        <pic:spPr bwMode="auto">
                          <a:xfrm>
                            <a:off x="0" y="0"/>
                            <a:ext cx="2751265" cy="1836509"/>
                          </a:xfrm>
                          <a:prstGeom prst="rect">
                            <a:avLst/>
                          </a:prstGeom>
                          <a:noFill/>
                          <a:ln>
                            <a:noFill/>
                          </a:ln>
                        </pic:spPr>
                      </pic:pic>
                    </a:graphicData>
                  </a:graphic>
                </wp:inline>
              </w:drawing>
            </w:r>
          </w:p>
        </w:tc>
      </w:tr>
    </w:tbl>
    <w:p w:rsidR="00CF0324" w:rsidRDefault="00124A10">
      <w:pPr>
        <w:jc w:val="both"/>
      </w:pPr>
      <w:r>
        <w:t xml:space="preserve">Рисунок 1.6. Структура туристов и экскурсантов Кондинского района с разбивкой по возрасту </w:t>
      </w:r>
      <w:r>
        <w:rPr>
          <w:rStyle w:val="16"/>
        </w:rPr>
        <w:footnoteReference w:id="9"/>
      </w:r>
    </w:p>
    <w:p w:rsidR="00CF0324" w:rsidRDefault="00124A10">
      <w:pPr>
        <w:spacing w:before="240" w:line="276" w:lineRule="auto"/>
        <w:ind w:firstLine="708"/>
        <w:jc w:val="both"/>
      </w:pPr>
      <w:r>
        <w:rPr>
          <w:color w:val="000000"/>
        </w:rPr>
        <w:t xml:space="preserve">В Ханты-Мансийском автономном округе – Югра действует </w:t>
      </w:r>
      <w:r>
        <w:t>Единая цифровая туристическая платформа VISITUGRA.RU, где размещена информация о достопримечательностях и туристических местах Кондинского района (рисунок 1.7.).</w:t>
      </w:r>
    </w:p>
    <w:p w:rsidR="00CF0324" w:rsidRDefault="00124A10">
      <w:pPr>
        <w:spacing w:line="276" w:lineRule="auto"/>
        <w:jc w:val="center"/>
      </w:pPr>
      <w:r>
        <w:rPr>
          <w:noProof/>
        </w:rPr>
        <w:lastRenderedPageBreak/>
        <w:drawing>
          <wp:inline distT="0" distB="0" distL="0" distR="0">
            <wp:extent cx="5175504" cy="2911221"/>
            <wp:effectExtent l="0" t="0" r="0" b="0"/>
            <wp:docPr id="12"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pic:blipFill>
                  <pic:spPr bwMode="auto">
                    <a:xfrm>
                      <a:off x="0" y="0"/>
                      <a:ext cx="5175504" cy="2911221"/>
                    </a:xfrm>
                    <a:prstGeom prst="rect">
                      <a:avLst/>
                    </a:prstGeom>
                    <a:noFill/>
                    <a:ln>
                      <a:noFill/>
                    </a:ln>
                  </pic:spPr>
                </pic:pic>
              </a:graphicData>
            </a:graphic>
          </wp:inline>
        </w:drawing>
      </w:r>
    </w:p>
    <w:p w:rsidR="00CF0324" w:rsidRDefault="00124A10">
      <w:pPr>
        <w:jc w:val="both"/>
      </w:pPr>
      <w:r>
        <w:t>Рисунок 1.7. Информация о популярных местах для посещения в Кондинском районе на туристической платформе VISITUGRA.RU</w:t>
      </w:r>
      <w:r>
        <w:rPr>
          <w:rStyle w:val="16"/>
        </w:rPr>
        <w:t xml:space="preserve"> </w:t>
      </w:r>
      <w:r>
        <w:rPr>
          <w:rStyle w:val="16"/>
        </w:rPr>
        <w:footnoteReference w:id="10"/>
      </w:r>
    </w:p>
    <w:p w:rsidR="00CF0324" w:rsidRDefault="00CF0324">
      <w:pPr>
        <w:spacing w:line="276" w:lineRule="auto"/>
        <w:jc w:val="both"/>
      </w:pPr>
    </w:p>
    <w:p w:rsidR="00CF0324" w:rsidRDefault="00124A10">
      <w:pPr>
        <w:spacing w:line="276" w:lineRule="auto"/>
        <w:jc w:val="both"/>
      </w:pPr>
      <w:r>
        <w:tab/>
      </w:r>
      <w:r>
        <w:rPr>
          <w:color w:val="000000"/>
          <w:shd w:val="clear" w:color="auto" w:fill="FFFFFF"/>
        </w:rPr>
        <w:t xml:space="preserve">В Восточной части Кондинского района находится памятник природы «Ильичевский бор» на высоком  острове левого берега реки Конда в 15 км на юге-востоке от пгт. Кондинское </w:t>
      </w:r>
      <w:r>
        <w:rPr>
          <w:rStyle w:val="16"/>
          <w:color w:val="000000"/>
          <w:shd w:val="clear" w:color="auto" w:fill="FFFFFF"/>
        </w:rPr>
        <w:footnoteReference w:id="11"/>
      </w:r>
      <w:r>
        <w:rPr>
          <w:color w:val="000000"/>
          <w:shd w:val="clear" w:color="auto" w:fill="FFFFFF"/>
        </w:rPr>
        <w:t>.</w:t>
      </w:r>
    </w:p>
    <w:p w:rsidR="00CF0324" w:rsidRDefault="00124A10">
      <w:pPr>
        <w:tabs>
          <w:tab w:val="left" w:pos="993"/>
        </w:tabs>
        <w:spacing w:line="276" w:lineRule="auto"/>
        <w:ind w:firstLine="709"/>
        <w:jc w:val="both"/>
      </w:pPr>
      <w:r>
        <w:rPr>
          <w:lang w:val="en-US"/>
        </w:rPr>
        <w:t>SWOT</w:t>
      </w:r>
      <w:r>
        <w:t>-анализ состояния туристской отрасли Кондинского района Ханты-Мансийского автономного округа – Югры позволил выделить сильные и слабые стороны, угрозы и возможности рекреационного комплекса (таблица 1.14.).</w:t>
      </w:r>
    </w:p>
    <w:p w:rsidR="00CF0324" w:rsidRDefault="00CF0324">
      <w:pPr>
        <w:tabs>
          <w:tab w:val="left" w:pos="993"/>
        </w:tabs>
        <w:spacing w:line="276" w:lineRule="auto"/>
        <w:ind w:firstLine="709"/>
        <w:jc w:val="both"/>
      </w:pPr>
    </w:p>
    <w:p w:rsidR="00CF0324" w:rsidRDefault="00124A10">
      <w:pPr>
        <w:tabs>
          <w:tab w:val="left" w:pos="993"/>
        </w:tabs>
        <w:ind w:firstLine="709"/>
      </w:pPr>
      <w:r>
        <w:t xml:space="preserve">Таблица 1.14. Матрица </w:t>
      </w:r>
      <w:r>
        <w:rPr>
          <w:lang w:val="en-US"/>
        </w:rPr>
        <w:t>SWOT</w:t>
      </w:r>
      <w:r>
        <w:t>-анализа туристической отрасли Кондинского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86"/>
      </w:tblGrid>
      <w:tr w:rsidR="00CF0324">
        <w:tc>
          <w:tcPr>
            <w:tcW w:w="4785" w:type="dxa"/>
          </w:tcPr>
          <w:p w:rsidR="00CF0324" w:rsidRDefault="00124A10">
            <w:pPr>
              <w:spacing w:line="276" w:lineRule="auto"/>
              <w:jc w:val="center"/>
              <w:rPr>
                <w:b/>
              </w:rPr>
            </w:pPr>
            <w:r>
              <w:rPr>
                <w:b/>
              </w:rPr>
              <w:t>Сильные стороны</w:t>
            </w:r>
          </w:p>
        </w:tc>
        <w:tc>
          <w:tcPr>
            <w:tcW w:w="4786" w:type="dxa"/>
          </w:tcPr>
          <w:p w:rsidR="00CF0324" w:rsidRDefault="00124A10">
            <w:pPr>
              <w:spacing w:line="276" w:lineRule="auto"/>
              <w:jc w:val="center"/>
              <w:rPr>
                <w:b/>
              </w:rPr>
            </w:pPr>
            <w:r>
              <w:rPr>
                <w:b/>
              </w:rPr>
              <w:t>Слабые стороны</w:t>
            </w:r>
          </w:p>
        </w:tc>
      </w:tr>
      <w:tr w:rsidR="00CF0324">
        <w:tc>
          <w:tcPr>
            <w:tcW w:w="4785" w:type="dxa"/>
          </w:tcPr>
          <w:p w:rsidR="00CF0324" w:rsidRDefault="00124A10">
            <w:pPr>
              <w:spacing w:line="276" w:lineRule="auto"/>
              <w:jc w:val="both"/>
            </w:pPr>
            <w:r>
              <w:t>Природные ресурсы (леса, реки, озера, болота, дикоросы, рыбы и др.);</w:t>
            </w:r>
          </w:p>
          <w:p w:rsidR="00CF0324" w:rsidRDefault="00124A10">
            <w:pPr>
              <w:spacing w:line="276" w:lineRule="auto"/>
              <w:jc w:val="both"/>
            </w:pPr>
            <w:r>
              <w:rPr>
                <w:color w:val="000000"/>
                <w:shd w:val="clear" w:color="auto" w:fill="FFFFFF"/>
              </w:rPr>
              <w:t>Памятник природы «Ильичевский бор»;</w:t>
            </w:r>
          </w:p>
          <w:p w:rsidR="00CF0324" w:rsidRDefault="00124A10">
            <w:pPr>
              <w:spacing w:line="276" w:lineRule="auto"/>
              <w:jc w:val="both"/>
            </w:pPr>
            <w:r>
              <w:t>Южное географическое положение в Югре (Южные ворота Югры);</w:t>
            </w:r>
          </w:p>
          <w:p w:rsidR="00CF0324" w:rsidRDefault="00124A10">
            <w:pPr>
              <w:spacing w:line="276" w:lineRule="auto"/>
              <w:jc w:val="both"/>
            </w:pPr>
            <w:r>
              <w:t>Производство местных продуктов;</w:t>
            </w:r>
          </w:p>
          <w:p w:rsidR="00CF0324" w:rsidRDefault="00124A10">
            <w:pPr>
              <w:spacing w:line="276" w:lineRule="auto"/>
              <w:jc w:val="both"/>
            </w:pPr>
            <w:r>
              <w:t>Богатая история Кондинского района;</w:t>
            </w:r>
          </w:p>
          <w:p w:rsidR="00CF0324" w:rsidRDefault="00124A10">
            <w:pPr>
              <w:spacing w:line="276" w:lineRule="auto"/>
              <w:jc w:val="both"/>
            </w:pPr>
            <w:r>
              <w:t>Мощный пласт культуры народов района;</w:t>
            </w:r>
          </w:p>
          <w:p w:rsidR="00CF0324" w:rsidRDefault="00124A10">
            <w:pPr>
              <w:spacing w:line="276" w:lineRule="auto"/>
              <w:jc w:val="both"/>
            </w:pPr>
            <w:r>
              <w:t>Наличие народных мастеров;</w:t>
            </w:r>
          </w:p>
          <w:p w:rsidR="00CF0324" w:rsidRDefault="00124A10">
            <w:pPr>
              <w:spacing w:line="276" w:lineRule="auto"/>
              <w:jc w:val="both"/>
            </w:pPr>
            <w:r>
              <w:t>Развитая сеть объектов социальной инфраструктуры;</w:t>
            </w:r>
          </w:p>
          <w:p w:rsidR="00CF0324" w:rsidRDefault="00124A10">
            <w:pPr>
              <w:spacing w:line="276" w:lineRule="auto"/>
              <w:jc w:val="both"/>
            </w:pPr>
            <w:r>
              <w:t>Наличие родовых общин коренных малочисленных народов Севера;</w:t>
            </w:r>
          </w:p>
        </w:tc>
        <w:tc>
          <w:tcPr>
            <w:tcW w:w="4786" w:type="dxa"/>
          </w:tcPr>
          <w:p w:rsidR="00CF0324" w:rsidRDefault="00124A10">
            <w:pPr>
              <w:spacing w:line="276" w:lineRule="auto"/>
              <w:jc w:val="both"/>
            </w:pPr>
            <w:r>
              <w:t>Сложная транспортно-логистическая схема, отсутствие круглогодичной автомобильной дороги на г. Тюмень;</w:t>
            </w:r>
          </w:p>
          <w:p w:rsidR="00CF0324" w:rsidRDefault="00124A10">
            <w:pPr>
              <w:spacing w:line="276" w:lineRule="auto"/>
              <w:jc w:val="both"/>
            </w:pPr>
            <w:r>
              <w:t xml:space="preserve">Туристическая инфраструктура слабо развита (кафе, благоустроенные общественные пространства и др.); </w:t>
            </w:r>
          </w:p>
          <w:p w:rsidR="00CF0324" w:rsidRDefault="00124A10">
            <w:pPr>
              <w:spacing w:line="276" w:lineRule="auto"/>
              <w:jc w:val="both"/>
            </w:pPr>
            <w:r>
              <w:t>Отсутствие многофункциональных комплексов дорожного сервиса (заправки, паркинги, отели, магазины и др.);</w:t>
            </w:r>
          </w:p>
          <w:p w:rsidR="00CF0324" w:rsidRDefault="00124A10">
            <w:pPr>
              <w:spacing w:line="276" w:lineRule="auto"/>
              <w:jc w:val="both"/>
            </w:pPr>
            <w:r>
              <w:t>Наличие несанкционированных свалок.</w:t>
            </w:r>
          </w:p>
          <w:p w:rsidR="00CF0324" w:rsidRDefault="00CF0324">
            <w:pPr>
              <w:spacing w:line="276" w:lineRule="auto"/>
              <w:jc w:val="both"/>
            </w:pPr>
          </w:p>
        </w:tc>
      </w:tr>
      <w:tr w:rsidR="00CF0324">
        <w:tc>
          <w:tcPr>
            <w:tcW w:w="4785" w:type="dxa"/>
          </w:tcPr>
          <w:p w:rsidR="00CF0324" w:rsidRDefault="00124A10">
            <w:pPr>
              <w:spacing w:line="276" w:lineRule="auto"/>
              <w:jc w:val="center"/>
              <w:rPr>
                <w:b/>
              </w:rPr>
            </w:pPr>
            <w:r>
              <w:rPr>
                <w:b/>
              </w:rPr>
              <w:t>Возможности</w:t>
            </w:r>
          </w:p>
        </w:tc>
        <w:tc>
          <w:tcPr>
            <w:tcW w:w="4786" w:type="dxa"/>
          </w:tcPr>
          <w:p w:rsidR="00CF0324" w:rsidRDefault="00124A10">
            <w:pPr>
              <w:spacing w:line="276" w:lineRule="auto"/>
              <w:jc w:val="center"/>
              <w:rPr>
                <w:b/>
              </w:rPr>
            </w:pPr>
            <w:r>
              <w:rPr>
                <w:b/>
              </w:rPr>
              <w:t>Угрозы</w:t>
            </w:r>
          </w:p>
        </w:tc>
      </w:tr>
      <w:tr w:rsidR="00CF0324">
        <w:tc>
          <w:tcPr>
            <w:tcW w:w="4785" w:type="dxa"/>
          </w:tcPr>
          <w:p w:rsidR="00CF0324" w:rsidRDefault="00124A10">
            <w:pPr>
              <w:spacing w:line="276" w:lineRule="auto"/>
              <w:jc w:val="both"/>
            </w:pPr>
            <w:r>
              <w:t>Создание Центра креативных индустрий (ремесел Конды);</w:t>
            </w:r>
          </w:p>
          <w:p w:rsidR="00CF0324" w:rsidRDefault="00124A10">
            <w:pPr>
              <w:spacing w:line="276" w:lineRule="auto"/>
              <w:jc w:val="both"/>
              <w:rPr>
                <w:color w:val="000000"/>
              </w:rPr>
            </w:pPr>
            <w:r>
              <w:rPr>
                <w:color w:val="000000"/>
              </w:rPr>
              <w:lastRenderedPageBreak/>
              <w:t>Создание информационного туристского портала «С удочкой по Конде»;</w:t>
            </w:r>
          </w:p>
          <w:p w:rsidR="00CF0324" w:rsidRDefault="00124A10">
            <w:pPr>
              <w:spacing w:line="276" w:lineRule="auto"/>
              <w:jc w:val="both"/>
              <w:rPr>
                <w:color w:val="000000"/>
              </w:rPr>
            </w:pPr>
            <w:r>
              <w:rPr>
                <w:color w:val="000000"/>
              </w:rPr>
              <w:t>Развитие различных направлений туризма в Кондинском районе, в том числе: агротуризма;</w:t>
            </w:r>
          </w:p>
          <w:p w:rsidR="00CF0324" w:rsidRDefault="00124A10">
            <w:pPr>
              <w:spacing w:line="276" w:lineRule="auto"/>
              <w:jc w:val="both"/>
            </w:pPr>
            <w:r>
              <w:t>Привлечение финансовых ресурсов из федерального бюджета на развитие туристической отрасли в Кондинском районе;</w:t>
            </w:r>
          </w:p>
          <w:p w:rsidR="00CF0324" w:rsidRDefault="00124A10">
            <w:pPr>
              <w:spacing w:line="276" w:lineRule="auto"/>
              <w:jc w:val="both"/>
            </w:pPr>
            <w:r>
              <w:t>Развитие внутреннего туризма;</w:t>
            </w:r>
          </w:p>
          <w:p w:rsidR="00CF0324" w:rsidRDefault="00124A10">
            <w:pPr>
              <w:spacing w:line="276" w:lineRule="auto"/>
              <w:jc w:val="both"/>
            </w:pPr>
            <w:r>
              <w:t>Развитие туристических объектов, в том числе объектов гостеприимства в новом формате - глэмпинг;</w:t>
            </w:r>
          </w:p>
          <w:p w:rsidR="00CF0324" w:rsidRDefault="00124A10">
            <w:pPr>
              <w:pBdr>
                <w:top w:val="none" w:sz="4" w:space="0" w:color="000000"/>
                <w:left w:val="none" w:sz="4" w:space="0" w:color="000000"/>
                <w:bottom w:val="none" w:sz="4" w:space="0" w:color="000000"/>
                <w:right w:val="none" w:sz="4" w:space="0" w:color="000000"/>
                <w:between w:val="none" w:sz="4" w:space="0" w:color="000000"/>
              </w:pBdr>
              <w:tabs>
                <w:tab w:val="left" w:pos="993"/>
              </w:tabs>
              <w:jc w:val="both"/>
              <w:rPr>
                <w:color w:val="000000"/>
              </w:rPr>
            </w:pPr>
            <w:r>
              <w:rPr>
                <w:color w:val="000000"/>
              </w:rPr>
              <w:t>Рост интереса туристов к самобытному культурному наследию коренных малочисленных народов, их традиционным формам хозяйствования, а также к природным ресурсам.</w:t>
            </w:r>
          </w:p>
        </w:tc>
        <w:tc>
          <w:tcPr>
            <w:tcW w:w="4786" w:type="dxa"/>
          </w:tcPr>
          <w:p w:rsidR="00CF0324" w:rsidRDefault="00124A10">
            <w:pPr>
              <w:spacing w:line="276" w:lineRule="auto"/>
              <w:jc w:val="both"/>
            </w:pPr>
            <w:r>
              <w:lastRenderedPageBreak/>
              <w:t xml:space="preserve">Отсутствие финансовых ресурсов на развитие туристической инфраструктуры у </w:t>
            </w:r>
            <w:r>
              <w:lastRenderedPageBreak/>
              <w:t>МСП;</w:t>
            </w:r>
          </w:p>
          <w:p w:rsidR="00CF0324" w:rsidRDefault="00124A10">
            <w:pPr>
              <w:pBdr>
                <w:top w:val="none" w:sz="4" w:space="0" w:color="000000"/>
                <w:left w:val="none" w:sz="4" w:space="0" w:color="000000"/>
                <w:bottom w:val="none" w:sz="4" w:space="0" w:color="000000"/>
                <w:right w:val="none" w:sz="4" w:space="0" w:color="000000"/>
                <w:between w:val="none" w:sz="4" w:space="0" w:color="000000"/>
              </w:pBdr>
              <w:tabs>
                <w:tab w:val="left" w:pos="993"/>
              </w:tabs>
              <w:jc w:val="both"/>
              <w:rPr>
                <w:color w:val="000000"/>
              </w:rPr>
            </w:pPr>
            <w:r>
              <w:rPr>
                <w:color w:val="000000"/>
              </w:rPr>
              <w:t>Нестабильная экономическая ситуация, прямо влияющая на объемы спроса в туризме (волатильный рынок).</w:t>
            </w:r>
          </w:p>
          <w:p w:rsidR="00CF0324" w:rsidRDefault="00124A10">
            <w:pPr>
              <w:spacing w:line="276" w:lineRule="auto"/>
              <w:jc w:val="both"/>
            </w:pPr>
            <w:r>
              <w:rPr>
                <w:color w:val="000000"/>
              </w:rPr>
              <w:t>Конкуренция со стороны муниципальных образований Югры, также вкладывающихся в развитие туризма.</w:t>
            </w:r>
          </w:p>
        </w:tc>
      </w:tr>
    </w:tbl>
    <w:p w:rsidR="00CF0324" w:rsidRDefault="00124A10">
      <w:pPr>
        <w:spacing w:before="240" w:line="276" w:lineRule="auto"/>
        <w:jc w:val="both"/>
      </w:pPr>
      <w:r>
        <w:lastRenderedPageBreak/>
        <w:tab/>
        <w:t>Согласно концепции развития внутреннего и въездного туризма в Ханты-Мансийском автономном округе – Югре</w:t>
      </w:r>
      <w:r>
        <w:rPr>
          <w:rStyle w:val="16"/>
        </w:rPr>
        <w:footnoteReference w:id="12"/>
      </w:r>
      <w:r>
        <w:t>, Кондинский район отнесен к перспективной территории развития туризма «г. Урай – Кондинский район», которая востребована среди любителей охоты, рыбалки, активных туров, но недостаточно обеспечена, в том числе средствами размещения и сервисами по аренде оборудования. Направлениями развития территории станет улучшение инфраструктуры баз отдыха, этностойбищ, рыболовно-охотничьих баз, объектов сельского туризма. В перспективе возможно развитие инфраструктуры ойл-туризма.</w:t>
      </w:r>
    </w:p>
    <w:p w:rsidR="00CF0324" w:rsidRDefault="00124A10">
      <w:pPr>
        <w:spacing w:line="276" w:lineRule="auto"/>
        <w:ind w:firstLine="708"/>
        <w:jc w:val="both"/>
      </w:pPr>
      <w:r>
        <w:t>Индустрия туризма в Кондинском районе развита недостаточно, потенциал природных, исторических и культурных возможностей используется незначительно, что обусловлено с неразвитостью сопутствующих объектов гостеприимства и транспортной инфраструктуры, отсутствием единой туристической цепочки внутри предпринимательского сообщества,</w:t>
      </w:r>
      <w:r>
        <w:rPr>
          <w:color w:val="000000"/>
        </w:rPr>
        <w:t xml:space="preserve"> туристско-информационных центров</w:t>
      </w:r>
      <w:r>
        <w:t xml:space="preserve"> и информационных пунктов.</w:t>
      </w:r>
    </w:p>
    <w:p w:rsidR="00CF0324" w:rsidRPr="00124A10" w:rsidRDefault="00124A10">
      <w:pPr>
        <w:pStyle w:val="2"/>
        <w:spacing w:before="240" w:after="240"/>
        <w:jc w:val="left"/>
        <w:rPr>
          <w:b w:val="0"/>
          <w:i/>
          <w:sz w:val="24"/>
          <w:lang w:val="ru-RU"/>
        </w:rPr>
      </w:pPr>
      <w:bookmarkStart w:id="10" w:name="_Toc10"/>
      <w:r w:rsidRPr="00124A10">
        <w:rPr>
          <w:b w:val="0"/>
          <w:i/>
          <w:sz w:val="24"/>
          <w:lang w:val="ru-RU"/>
        </w:rPr>
        <w:t>1.7.Пространственное развитие</w:t>
      </w:r>
      <w:bookmarkEnd w:id="10"/>
    </w:p>
    <w:p w:rsidR="00CF0324" w:rsidRDefault="00124A10">
      <w:pPr>
        <w:spacing w:line="276" w:lineRule="auto"/>
        <w:ind w:firstLine="709"/>
        <w:jc w:val="both"/>
      </w:pPr>
      <w:r>
        <w:t>Кондинский район занимает выгодное южное положение в границах Ханты-Мансийского автономного округа – Югры. От особенностей ландшафта зависят направления хозяйствования в городских и сельских поселениях района. В Кондинском районе наблюдается крупный ареал южной тайги - с высокой долей мелколиственных пород деревьев</w:t>
      </w:r>
      <w:r>
        <w:rPr>
          <w:rStyle w:val="16"/>
        </w:rPr>
        <w:footnoteReference w:id="13"/>
      </w:r>
      <w:r>
        <w:t xml:space="preserve">. Специализация городских и сельских поселений Кондинского района, </w:t>
      </w:r>
      <w:r>
        <w:lastRenderedPageBreak/>
        <w:t>основывается на природных ресурсах и сформировавшейся транспортной инфраструктуре (таблица 1.15.).</w:t>
      </w:r>
    </w:p>
    <w:p w:rsidR="00CF0324" w:rsidRDefault="00124A10">
      <w:r>
        <w:t>Таблица 1.15. Конкурентные преимущества, ограничения и отраслевая специализация муниципальных образований Кондинского района</w:t>
      </w:r>
    </w:p>
    <w:tbl>
      <w:tblPr>
        <w:tblW w:w="9207" w:type="dxa"/>
        <w:tblInd w:w="150" w:type="dxa"/>
        <w:tblCellMar>
          <w:left w:w="0" w:type="dxa"/>
          <w:right w:w="0" w:type="dxa"/>
        </w:tblCellMar>
        <w:tblLook w:val="04A0" w:firstRow="1" w:lastRow="0" w:firstColumn="1" w:lastColumn="0" w:noHBand="0" w:noVBand="1"/>
      </w:tblPr>
      <w:tblGrid>
        <w:gridCol w:w="1893"/>
        <w:gridCol w:w="2907"/>
        <w:gridCol w:w="2139"/>
        <w:gridCol w:w="2268"/>
      </w:tblGrid>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pPr>
              <w:jc w:val="center"/>
            </w:pPr>
            <w:r>
              <w:t xml:space="preserve">Городские и сельские поселения </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pPr>
              <w:jc w:val="center"/>
            </w:pPr>
            <w:r>
              <w:t xml:space="preserve">Преимущества </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pPr>
              <w:jc w:val="center"/>
            </w:pPr>
            <w:r>
              <w:t xml:space="preserve">Ограничения </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pPr>
              <w:jc w:val="center"/>
            </w:pPr>
            <w:r>
              <w:t xml:space="preserve">Отраслевая специализация </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1.Городское поселение Междуреченский</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-административный центр Кондинского района;</w:t>
            </w:r>
          </w:p>
          <w:p w:rsidR="00CF0324" w:rsidRDefault="00124A10">
            <w:r>
              <w:t>-транспортный хаб внутри Кондинского района (взаимосвязаны все виды транспорта);</w:t>
            </w:r>
          </w:p>
          <w:p w:rsidR="00CF0324" w:rsidRDefault="00124A10">
            <w:r>
              <w:t>-железная дорога;</w:t>
            </w:r>
          </w:p>
          <w:p w:rsidR="00CF0324" w:rsidRDefault="00124A10">
            <w:r>
              <w:t xml:space="preserve">-развитая социальная инфраструктура. </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 xml:space="preserve">-отсутствие  автомобильной дороги круглогодичного действия в южном направлении до г.Тюмень </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-пищевая промышленность;</w:t>
            </w:r>
          </w:p>
          <w:p w:rsidR="00CF0324" w:rsidRDefault="00124A10">
            <w:r>
              <w:t>-лесная промышленность;</w:t>
            </w:r>
          </w:p>
          <w:p w:rsidR="00CF0324" w:rsidRDefault="00124A10">
            <w:r>
              <w:t>-гостиничный сервис;</w:t>
            </w:r>
          </w:p>
          <w:p w:rsidR="00CF0324" w:rsidRDefault="00124A10">
            <w:r>
              <w:t>-туристические услуги (базы отдыха);</w:t>
            </w:r>
          </w:p>
          <w:p w:rsidR="00CF0324" w:rsidRDefault="00124A10">
            <w:r>
              <w:t>-общественное питание.</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2.Городское поселение Мортка</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-наличие производственных мощностей, в том числе в Индустриальном парке «Кондинский»;</w:t>
            </w:r>
          </w:p>
          <w:p w:rsidR="00CF0324" w:rsidRDefault="00124A10">
            <w:r>
              <w:t xml:space="preserve">-железная дорога; </w:t>
            </w:r>
          </w:p>
          <w:p w:rsidR="00CF0324" w:rsidRDefault="00124A10">
            <w:r>
              <w:t>-наличие лесных, водных и биологических ресурсов;</w:t>
            </w:r>
          </w:p>
          <w:p w:rsidR="00CF0324" w:rsidRDefault="00124A10">
            <w:r>
              <w:t>-место расселения коренных малочисленных народов</w:t>
            </w:r>
            <w:r>
              <w:rPr>
                <w:rStyle w:val="16"/>
              </w:rPr>
              <w:footnoteReference w:id="14"/>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-удаленность лесосырьевой базы от производственных мощностей;</w:t>
            </w:r>
          </w:p>
          <w:p w:rsidR="00CF0324" w:rsidRDefault="00124A10">
            <w: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-пищевая промышленность;</w:t>
            </w:r>
          </w:p>
          <w:p w:rsidR="00CF0324" w:rsidRDefault="00124A10">
            <w:r>
              <w:t>-лесная промышленность;</w:t>
            </w:r>
          </w:p>
          <w:p w:rsidR="00CF0324" w:rsidRDefault="00124A10">
            <w:r>
              <w:t>-сельское хозяйство и рыболовство;</w:t>
            </w:r>
          </w:p>
          <w:p w:rsidR="00CF0324" w:rsidRDefault="00124A10">
            <w:r>
              <w:t>-строительство жилья.</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3.Городско</w:t>
            </w:r>
            <w:r>
              <w:rPr>
                <w:highlight w:val="white"/>
                <w:shd w:val="clear" w:color="FFFFFF" w:themeColor="background1" w:fill="FFFFFF" w:themeFill="background1"/>
              </w:rPr>
              <w:t xml:space="preserve">е </w:t>
            </w:r>
            <w:r>
              <w:t>поселение Кондинское</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-наличие лесных, водных и биологических ресурсов;</w:t>
            </w:r>
          </w:p>
          <w:p w:rsidR="00CF0324" w:rsidRDefault="00124A10">
            <w:r>
              <w:t>-место расселения коренных малочисленных народов;</w:t>
            </w:r>
          </w:p>
          <w:p w:rsidR="00CF0324" w:rsidRDefault="00124A10">
            <w:r>
              <w:t>-наличие аэропорта</w:t>
            </w:r>
          </w:p>
          <w:p w:rsidR="00CF0324" w:rsidRDefault="00124A10">
            <w:r>
              <w:t>-наличие музея.</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w:t>
            </w:r>
          </w:p>
          <w:p w:rsidR="00CF0324" w:rsidRDefault="00124A10">
            <w: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-пищевая промышленность;</w:t>
            </w:r>
          </w:p>
          <w:p w:rsidR="00CF0324" w:rsidRDefault="00124A10">
            <w:r>
              <w:t>-лесная промышленность;</w:t>
            </w:r>
          </w:p>
          <w:p w:rsidR="00CF0324" w:rsidRDefault="00124A10">
            <w:r>
              <w:t>-рыболовство,</w:t>
            </w:r>
          </w:p>
          <w:p w:rsidR="00CF0324" w:rsidRDefault="00124A10">
            <w:r>
              <w:t>-строительство жилья.</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4.Городское поселение Куминский</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-наличие лесных и биологических ресурсов;</w:t>
            </w:r>
          </w:p>
          <w:p w:rsidR="00CF0324" w:rsidRDefault="00124A10">
            <w:r>
              <w:t>-железная дорога</w:t>
            </w:r>
            <w:r>
              <w:rPr>
                <w:shd w:val="clear" w:color="FFFFFF" w:themeColor="background1" w:fill="FFFFFF" w:themeFill="background1"/>
              </w:rPr>
              <w:t xml:space="preserve"> в </w:t>
            </w:r>
            <w:r>
              <w:t xml:space="preserve">Свердловскую область. </w:t>
            </w:r>
          </w:p>
          <w:p w:rsidR="00CF0324" w:rsidRDefault="00CF0324"/>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-лесная промышленность;</w:t>
            </w:r>
          </w:p>
          <w:p w:rsidR="00CF0324" w:rsidRDefault="00124A10">
            <w:r>
              <w:t>-животноводство;</w:t>
            </w:r>
          </w:p>
          <w:p w:rsidR="00CF0324" w:rsidRDefault="00124A10">
            <w:r>
              <w:t>-строительство жилья.</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 xml:space="preserve">5.Городское поселение Луговой </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-лесные, водные и</w:t>
            </w:r>
          </w:p>
          <w:p w:rsidR="00CF0324" w:rsidRDefault="00124A10">
            <w:r>
              <w:t>биологические ресурсы;</w:t>
            </w:r>
          </w:p>
          <w:p w:rsidR="00CF0324" w:rsidRDefault="00124A10">
            <w:r>
              <w:t xml:space="preserve">-наличие детского </w:t>
            </w:r>
            <w:r>
              <w:lastRenderedPageBreak/>
              <w:t>оздоровительного лагеря;</w:t>
            </w:r>
          </w:p>
          <w:p w:rsidR="00CF0324" w:rsidRDefault="00124A10">
            <w:r>
              <w:t>-наличие вертолетной площадки.</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lastRenderedPageBreak/>
              <w:t>-отсутствие</w:t>
            </w:r>
          </w:p>
          <w:p w:rsidR="00CF0324" w:rsidRDefault="00124A10">
            <w:r>
              <w:t xml:space="preserve">круглогодичной автомобильной </w:t>
            </w:r>
            <w:r>
              <w:lastRenderedPageBreak/>
              <w:t>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lastRenderedPageBreak/>
              <w:t>-лесная промышленность;</w:t>
            </w:r>
          </w:p>
          <w:p w:rsidR="00CF0324" w:rsidRDefault="00124A10">
            <w:r>
              <w:t>-животноводство;</w:t>
            </w:r>
          </w:p>
          <w:p w:rsidR="00CF0324" w:rsidRDefault="00124A10">
            <w:r>
              <w:lastRenderedPageBreak/>
              <w:t>-сбор дикоросов;</w:t>
            </w:r>
          </w:p>
          <w:p w:rsidR="00CF0324" w:rsidRDefault="00124A10">
            <w:r>
              <w:t>-строительство жилья.</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lastRenderedPageBreak/>
              <w:t>6.Сельское поселение Леуши</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-наличие сельскохозяйственных земель;</w:t>
            </w:r>
          </w:p>
          <w:p w:rsidR="00CF0324" w:rsidRDefault="00124A10">
            <w:r>
              <w:t>-лесные, водные и</w:t>
            </w:r>
          </w:p>
          <w:p w:rsidR="00CF0324" w:rsidRDefault="00124A10">
            <w:r>
              <w:t>биологические ресурсы;</w:t>
            </w:r>
          </w:p>
          <w:p w:rsidR="00CF0324" w:rsidRDefault="00124A10">
            <w:r>
              <w:t>-место расселения коренных малочисленных народов;</w:t>
            </w:r>
          </w:p>
          <w:p w:rsidR="00CF0324" w:rsidRDefault="00124A10">
            <w:r>
              <w:t>-близость к городу Урай;</w:t>
            </w:r>
          </w:p>
          <w:p w:rsidR="00CF0324" w:rsidRDefault="00124A10">
            <w:r>
              <w:t>-близость к железной дороге в Свердловскую область.</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 автомобильной дороги круглогодичного действия в южном направлении до г.Тюмень;</w:t>
            </w:r>
          </w:p>
          <w:p w:rsidR="00CF0324" w:rsidRDefault="00124A10">
            <w:r>
              <w:t>-нехватка квалифицированных кадров.</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-пищевая промышленность;</w:t>
            </w:r>
          </w:p>
          <w:p w:rsidR="00CF0324" w:rsidRDefault="00124A10">
            <w:r>
              <w:t>-лесная промышленность;</w:t>
            </w:r>
          </w:p>
          <w:p w:rsidR="00CF0324" w:rsidRDefault="00124A10">
            <w:r>
              <w:t>-сельское хозяйство;</w:t>
            </w:r>
          </w:p>
          <w:p w:rsidR="00CF0324" w:rsidRDefault="00124A10">
            <w:r>
              <w:t>-рыболовство.</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7.Сельское поселение Болчары</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-лесные, водные и</w:t>
            </w:r>
          </w:p>
          <w:p w:rsidR="00CF0324" w:rsidRDefault="00124A10">
            <w:r>
              <w:t>биологические ресурсы;</w:t>
            </w:r>
          </w:p>
          <w:p w:rsidR="00CF0324" w:rsidRDefault="00124A10">
            <w: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w:t>
            </w:r>
          </w:p>
          <w:p w:rsidR="00CF0324" w:rsidRDefault="00124A10">
            <w:r>
              <w:t>круглогодичной автомобильной транспортной доступности с административным центром 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-лесная промышленность;</w:t>
            </w:r>
          </w:p>
          <w:p w:rsidR="00CF0324" w:rsidRDefault="00124A10">
            <w:r>
              <w:t>-сельское хозяйство;</w:t>
            </w:r>
          </w:p>
          <w:p w:rsidR="00CF0324" w:rsidRDefault="00124A10">
            <w:r>
              <w:t>-пищевая промышленность;</w:t>
            </w:r>
          </w:p>
          <w:p w:rsidR="00CF0324" w:rsidRDefault="00124A10">
            <w:r>
              <w:t>-гостиничный сервис;</w:t>
            </w:r>
          </w:p>
          <w:p w:rsidR="00CF0324" w:rsidRDefault="00124A10">
            <w:r>
              <w:t xml:space="preserve">-строительство жилья. </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8.Сельское поселение Мулымья</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-лесные, водные и</w:t>
            </w:r>
          </w:p>
          <w:p w:rsidR="00CF0324" w:rsidRDefault="00124A10">
            <w:r>
              <w:t>биологические ресурсы;</w:t>
            </w:r>
          </w:p>
          <w:p w:rsidR="00CF0324" w:rsidRDefault="00124A10">
            <w:r>
              <w:t>-высокая транспортная доступность, вблизи действует аэропорт г.Урай;</w:t>
            </w:r>
          </w:p>
          <w:p w:rsidR="00CF0324" w:rsidRDefault="00124A10">
            <w:r>
              <w:t>-наличие газопровода;</w:t>
            </w:r>
          </w:p>
          <w:p w:rsidR="00CF0324" w:rsidRDefault="00124A10">
            <w: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-лесная промышленность;</w:t>
            </w:r>
          </w:p>
          <w:p w:rsidR="00CF0324" w:rsidRDefault="00124A10">
            <w:r>
              <w:t>-пищевая промышленность;</w:t>
            </w:r>
          </w:p>
          <w:p w:rsidR="00CF0324" w:rsidRDefault="00124A10">
            <w:r>
              <w:t>-строительство жилья;</w:t>
            </w:r>
          </w:p>
          <w:p w:rsidR="00CF0324" w:rsidRDefault="00124A10">
            <w:r>
              <w:t>-туристические услуги.</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 xml:space="preserve">9.Сельское поселение Половинка </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-этнографический музей,</w:t>
            </w:r>
          </w:p>
          <w:p w:rsidR="00CF0324" w:rsidRDefault="00124A10">
            <w:r>
              <w:t>-наличие транспортной инфраструктуры; вблизи действует аэропорт г.Урай,</w:t>
            </w:r>
          </w:p>
          <w:p w:rsidR="00CF0324" w:rsidRDefault="00124A10">
            <w:r>
              <w:t>-лесные, водные и биологические ресурсы;</w:t>
            </w:r>
          </w:p>
          <w:p w:rsidR="00CF0324" w:rsidRDefault="00124A10">
            <w: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-лесная промышленность;</w:t>
            </w:r>
          </w:p>
          <w:p w:rsidR="00CF0324" w:rsidRDefault="00124A10">
            <w:r>
              <w:t>-пищевая промышленность;</w:t>
            </w:r>
          </w:p>
          <w:p w:rsidR="00CF0324" w:rsidRDefault="00124A10">
            <w:r>
              <w:t>-рыболовство.</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t>10.Сельское поселение Шугур</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-лесные, водные и биологические ресурсы;</w:t>
            </w:r>
          </w:p>
          <w:p w:rsidR="00CF0324" w:rsidRDefault="00124A10">
            <w:r>
              <w:t>-место расселения коренных малочисленных народов</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-отсутствие</w:t>
            </w:r>
          </w:p>
          <w:p w:rsidR="00CF0324" w:rsidRDefault="00124A10">
            <w:r>
              <w:t xml:space="preserve">круглогодичной автомобильной транспортной доступности с административным центром </w:t>
            </w:r>
            <w:r>
              <w:lastRenderedPageBreak/>
              <w:t>Кондинского района;</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lastRenderedPageBreak/>
              <w:t>-рыболовство;</w:t>
            </w:r>
          </w:p>
          <w:p w:rsidR="00CF0324" w:rsidRDefault="00124A10">
            <w:r>
              <w:t>-туристические услуги;</w:t>
            </w:r>
          </w:p>
          <w:p w:rsidR="00CF0324" w:rsidRDefault="00124A10">
            <w:r>
              <w:t>-строительство дорог.</w:t>
            </w:r>
          </w:p>
        </w:tc>
      </w:tr>
      <w:tr w:rsidR="00CF0324">
        <w:tc>
          <w:tcPr>
            <w:tcW w:w="1906" w:type="auto"/>
            <w:tcBorders>
              <w:top w:val="single" w:sz="6" w:space="0" w:color="000000"/>
              <w:left w:val="single" w:sz="6" w:space="0" w:color="000000"/>
              <w:bottom w:val="single" w:sz="6" w:space="0" w:color="000000"/>
              <w:right w:val="single" w:sz="6" w:space="0" w:color="000000"/>
            </w:tcBorders>
          </w:tcPr>
          <w:p w:rsidR="00CF0324" w:rsidRDefault="00124A10">
            <w:r>
              <w:lastRenderedPageBreak/>
              <w:t>11.Межселенная территория Кондинского района</w:t>
            </w:r>
          </w:p>
        </w:tc>
        <w:tc>
          <w:tcPr>
            <w:tcW w:w="2907" w:type="dxa"/>
            <w:tcBorders>
              <w:top w:val="single" w:sz="6" w:space="0" w:color="000000"/>
              <w:left w:val="single" w:sz="6" w:space="0" w:color="000000"/>
              <w:bottom w:val="single" w:sz="6" w:space="0" w:color="000000"/>
              <w:right w:val="single" w:sz="6" w:space="0" w:color="000000"/>
            </w:tcBorders>
          </w:tcPr>
          <w:p w:rsidR="00CF0324" w:rsidRDefault="00124A10">
            <w:r>
              <w:t>-лесные, водные биологические ресурсы;</w:t>
            </w:r>
          </w:p>
          <w:p w:rsidR="00CF0324" w:rsidRDefault="00124A10">
            <w:r>
              <w:t>-полезные ископаемые.</w:t>
            </w:r>
          </w:p>
        </w:tc>
        <w:tc>
          <w:tcPr>
            <w:tcW w:w="2126" w:type="dxa"/>
            <w:tcBorders>
              <w:top w:val="single" w:sz="6" w:space="0" w:color="000000"/>
              <w:left w:val="single" w:sz="6" w:space="0" w:color="000000"/>
              <w:bottom w:val="single" w:sz="6" w:space="0" w:color="000000"/>
              <w:right w:val="single" w:sz="6" w:space="0" w:color="000000"/>
            </w:tcBorders>
          </w:tcPr>
          <w:p w:rsidR="00CF0324" w:rsidRDefault="00124A10">
            <w:r>
              <w:t>-лесные ресурсы представлены древесиной низких</w:t>
            </w:r>
            <w:r>
              <w:rPr>
                <w:shd w:val="clear" w:color="auto" w:fill="FFFC00"/>
              </w:rPr>
              <w:t xml:space="preserve"> </w:t>
            </w:r>
            <w:r>
              <w:t>сортов;</w:t>
            </w:r>
          </w:p>
          <w:p w:rsidR="00CF0324" w:rsidRDefault="00124A10">
            <w:r>
              <w:t>-отсутствие автомобильной дороги круглогодичного действия в южном направлении до г.Тюмень.</w:t>
            </w:r>
          </w:p>
        </w:tc>
        <w:tc>
          <w:tcPr>
            <w:tcW w:w="2268" w:type="dxa"/>
            <w:tcBorders>
              <w:top w:val="single" w:sz="6" w:space="0" w:color="000000"/>
              <w:left w:val="single" w:sz="6" w:space="0" w:color="000000"/>
              <w:bottom w:val="single" w:sz="6" w:space="0" w:color="000000"/>
              <w:right w:val="single" w:sz="6" w:space="0" w:color="000000"/>
            </w:tcBorders>
          </w:tcPr>
          <w:p w:rsidR="00CF0324" w:rsidRDefault="00124A10">
            <w:r>
              <w:t>-добыча полезных ископаемых.</w:t>
            </w:r>
          </w:p>
        </w:tc>
      </w:tr>
    </w:tbl>
    <w:p w:rsidR="00CF0324" w:rsidRDefault="00CF0324">
      <w:pPr>
        <w:spacing w:line="276" w:lineRule="auto"/>
        <w:jc w:val="both"/>
      </w:pPr>
    </w:p>
    <w:p w:rsidR="00CF0324" w:rsidRDefault="00124A10">
      <w:pPr>
        <w:jc w:val="center"/>
      </w:pPr>
      <w:r>
        <w:rPr>
          <w:rFonts w:ascii="Arial" w:hAnsi="Arial" w:cs="Arial"/>
          <w:b/>
          <w:bCs/>
        </w:rPr>
        <w:t>Опорный каркас</w:t>
      </w:r>
      <w:r>
        <w:t xml:space="preserve"> </w:t>
      </w:r>
    </w:p>
    <w:p w:rsidR="00CF0324" w:rsidRDefault="00124A10">
      <w:pPr>
        <w:spacing w:line="276" w:lineRule="auto"/>
        <w:ind w:firstLine="540"/>
        <w:jc w:val="both"/>
      </w:pPr>
      <w:r>
        <w:t>Опорный каркас расселения (далее - ОКР) Кондинского района характеризуется неравномерной линейно-узловой структурой вдоль автомобильной дороги регионального значения «Юг» и реки Конда. В пгт. Междуреченский сконцентрирована треть населения Кондинского района (рисунок 1.8.), в то время как большая часть площади района заселена не равномерно, посредством небольших населенных пунктов, большая часть которых отнесена к местам традиционного проживания коренных малочисленных народов Севера.</w:t>
      </w:r>
    </w:p>
    <w:p w:rsidR="00CF0324" w:rsidRDefault="00BA49AD">
      <w:pPr>
        <w:spacing w:line="276" w:lineRule="auto"/>
        <w:ind w:firstLine="540"/>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4"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A61D" id="AutoShape 1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Ui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yMQ1Ii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5615940" cy="321437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214370"/>
                    </a:xfrm>
                    <a:prstGeom prst="rect">
                      <a:avLst/>
                    </a:prstGeom>
                    <a:noFill/>
                    <a:ln>
                      <a:noFill/>
                    </a:ln>
                  </pic:spPr>
                </pic:pic>
              </a:graphicData>
            </a:graphic>
          </wp:inline>
        </w:drawing>
      </w:r>
      <w:r w:rsidR="00124A10">
        <w:t xml:space="preserve"> Рисунок 1.8 </w:t>
      </w:r>
      <w:r w:rsidR="00124A10">
        <w:rPr>
          <w:i/>
        </w:rPr>
        <w:t>Структура населения Кондинского района по городским и сельским поселениям по состоянию на 01.01.2023</w:t>
      </w:r>
    </w:p>
    <w:p w:rsidR="00CF0324" w:rsidRDefault="00124A10">
      <w:pPr>
        <w:spacing w:line="276" w:lineRule="auto"/>
        <w:ind w:firstLine="540"/>
        <w:jc w:val="both"/>
      </w:pPr>
      <w:r>
        <w:t>Плотность населения в Кондинском районе в последние 7 лет не изменилась и составила менее 1 чел. на 1 кв. км (таблица 1.16.), что ниже среднеокружного значения в 5 раз (Ханты-Мансийский автономный округа – Югра – 3,2 чел./км2</w:t>
      </w:r>
      <w:r>
        <w:rPr>
          <w:rStyle w:val="16"/>
        </w:rPr>
        <w:footnoteReference w:id="15"/>
      </w:r>
      <w:r>
        <w:t>) и ниже среднероссийского показателя в 14 раз (РФ – 8 чел./км2).</w:t>
      </w:r>
    </w:p>
    <w:p w:rsidR="00CF0324" w:rsidRDefault="00124A10">
      <w:pPr>
        <w:pStyle w:val="2a"/>
        <w:shd w:val="clear" w:color="auto" w:fill="FEFEFE"/>
        <w:tabs>
          <w:tab w:val="right" w:pos="9344"/>
        </w:tab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1.16. -  Группировка показателей по разделу </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444444"/>
          <w:sz w:val="24"/>
          <w:szCs w:val="24"/>
        </w:rPr>
        <w:t>Пространственное развитие</w:t>
      </w:r>
      <w:r>
        <w:rPr>
          <w:rFonts w:ascii="Times New Roman" w:eastAsia="Times New Roman" w:hAnsi="Times New Roman" w:cs="Times New Roman"/>
          <w:color w:val="333333"/>
          <w:sz w:val="24"/>
          <w:szCs w:val="24"/>
        </w:rPr>
        <w:t>»</w:t>
      </w:r>
      <w:r>
        <w:rPr>
          <w:rFonts w:ascii="Times New Roman" w:eastAsia="Times New Roman" w:hAnsi="Times New Roman" w:cs="Times New Roman"/>
          <w:sz w:val="24"/>
          <w:szCs w:val="24"/>
        </w:rPr>
        <w:t xml:space="preserve"> </w:t>
      </w:r>
    </w:p>
    <w:tbl>
      <w:tblPr>
        <w:tblW w:w="9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2"/>
        <w:gridCol w:w="992"/>
        <w:gridCol w:w="992"/>
        <w:gridCol w:w="993"/>
        <w:gridCol w:w="992"/>
        <w:gridCol w:w="992"/>
        <w:gridCol w:w="993"/>
        <w:gridCol w:w="850"/>
      </w:tblGrid>
      <w:tr w:rsidR="00CF0324">
        <w:tc>
          <w:tcPr>
            <w:tcW w:w="2722" w:type="dxa"/>
            <w:tcMar>
              <w:top w:w="28" w:type="dxa"/>
              <w:left w:w="28" w:type="dxa"/>
              <w:bottom w:w="28" w:type="dxa"/>
              <w:right w:w="28" w:type="dxa"/>
            </w:tcMar>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Рекомендуемые показатели</w:t>
            </w:r>
          </w:p>
        </w:tc>
        <w:tc>
          <w:tcPr>
            <w:tcW w:w="992" w:type="dxa"/>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2016</w:t>
            </w:r>
          </w:p>
        </w:tc>
        <w:tc>
          <w:tcPr>
            <w:tcW w:w="992" w:type="dxa"/>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2017</w:t>
            </w:r>
          </w:p>
        </w:tc>
        <w:tc>
          <w:tcPr>
            <w:tcW w:w="993" w:type="dxa"/>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2018</w:t>
            </w:r>
          </w:p>
        </w:tc>
        <w:tc>
          <w:tcPr>
            <w:tcW w:w="992" w:type="dxa"/>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2019</w:t>
            </w:r>
          </w:p>
        </w:tc>
        <w:tc>
          <w:tcPr>
            <w:tcW w:w="992" w:type="dxa"/>
            <w:tcMar>
              <w:top w:w="28" w:type="dxa"/>
              <w:left w:w="28" w:type="dxa"/>
              <w:bottom w:w="28" w:type="dxa"/>
              <w:right w:w="28" w:type="dxa"/>
            </w:tcMar>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2020</w:t>
            </w:r>
          </w:p>
        </w:tc>
        <w:tc>
          <w:tcPr>
            <w:tcW w:w="993" w:type="dxa"/>
            <w:tcMar>
              <w:top w:w="28" w:type="dxa"/>
              <w:left w:w="28" w:type="dxa"/>
              <w:bottom w:w="28" w:type="dxa"/>
              <w:right w:w="28" w:type="dxa"/>
            </w:tcMar>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2021</w:t>
            </w:r>
          </w:p>
        </w:tc>
        <w:tc>
          <w:tcPr>
            <w:tcW w:w="850" w:type="dxa"/>
            <w:tcMar>
              <w:top w:w="28" w:type="dxa"/>
              <w:left w:w="28" w:type="dxa"/>
              <w:bottom w:w="28" w:type="dxa"/>
              <w:right w:w="28" w:type="dxa"/>
            </w:tcMar>
          </w:tcPr>
          <w:p w:rsidR="00CF0324" w:rsidRDefault="00124A10">
            <w:pPr>
              <w:pStyle w:val="2a"/>
              <w:spacing w:line="240" w:lineRule="auto"/>
              <w:jc w:val="center"/>
              <w:rPr>
                <w:rFonts w:ascii="Times New Roman" w:eastAsia="Times New Roman" w:hAnsi="Times New Roman" w:cs="Times New Roman"/>
              </w:rPr>
            </w:pPr>
            <w:r>
              <w:rPr>
                <w:rFonts w:ascii="Times New Roman" w:eastAsia="Times New Roman" w:hAnsi="Times New Roman" w:cs="Times New Roman"/>
              </w:rPr>
              <w:t>2022</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Плотность населения чел./км2</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993"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992"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993"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850"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0,56</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Число муниципальных образований</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993" w:type="dxa"/>
          </w:tcPr>
          <w:p w:rsidR="00CF0324" w:rsidRDefault="00124A10">
            <w:pPr>
              <w:jc w:val="center"/>
            </w:pPr>
            <w:r>
              <w:t>11</w:t>
            </w:r>
          </w:p>
        </w:tc>
        <w:tc>
          <w:tcPr>
            <w:tcW w:w="992" w:type="dxa"/>
          </w:tcPr>
          <w:p w:rsidR="00CF0324" w:rsidRDefault="00124A10">
            <w:pPr>
              <w:jc w:val="center"/>
            </w:pPr>
            <w:r>
              <w:t>11</w:t>
            </w:r>
          </w:p>
        </w:tc>
        <w:tc>
          <w:tcPr>
            <w:tcW w:w="992" w:type="dxa"/>
            <w:tcMar>
              <w:top w:w="28" w:type="dxa"/>
              <w:left w:w="28" w:type="dxa"/>
              <w:bottom w:w="28" w:type="dxa"/>
              <w:right w:w="28" w:type="dxa"/>
            </w:tcMar>
          </w:tcPr>
          <w:p w:rsidR="00CF0324" w:rsidRDefault="00124A10">
            <w:pPr>
              <w:jc w:val="center"/>
            </w:pPr>
            <w:r>
              <w:t>11</w:t>
            </w:r>
          </w:p>
        </w:tc>
        <w:tc>
          <w:tcPr>
            <w:tcW w:w="993" w:type="dxa"/>
            <w:tcMar>
              <w:top w:w="28" w:type="dxa"/>
              <w:left w:w="28" w:type="dxa"/>
              <w:bottom w:w="28" w:type="dxa"/>
              <w:right w:w="28" w:type="dxa"/>
            </w:tcMar>
          </w:tcPr>
          <w:p w:rsidR="00CF0324" w:rsidRDefault="00124A10">
            <w:pPr>
              <w:jc w:val="center"/>
            </w:pPr>
            <w:r>
              <w:t>11</w:t>
            </w:r>
          </w:p>
        </w:tc>
        <w:tc>
          <w:tcPr>
            <w:tcW w:w="850" w:type="dxa"/>
            <w:tcMar>
              <w:top w:w="28" w:type="dxa"/>
              <w:left w:w="28" w:type="dxa"/>
              <w:bottom w:w="28" w:type="dxa"/>
              <w:right w:w="28" w:type="dxa"/>
            </w:tcMar>
          </w:tcPr>
          <w:p w:rsidR="00CF0324" w:rsidRDefault="00124A10">
            <w:pPr>
              <w:jc w:val="center"/>
            </w:pPr>
            <w:r>
              <w:t>11</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Удельный вес городского и сельского населения в общей численности населения, %</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70/30</w:t>
            </w:r>
          </w:p>
        </w:tc>
        <w:tc>
          <w:tcPr>
            <w:tcW w:w="992" w:type="dxa"/>
          </w:tcPr>
          <w:p w:rsidR="00CF0324" w:rsidRDefault="00124A10">
            <w:pPr>
              <w:jc w:val="center"/>
            </w:pPr>
            <w:r>
              <w:rPr>
                <w:sz w:val="22"/>
                <w:szCs w:val="22"/>
              </w:rPr>
              <w:t>70/30</w:t>
            </w:r>
          </w:p>
        </w:tc>
        <w:tc>
          <w:tcPr>
            <w:tcW w:w="993" w:type="dxa"/>
          </w:tcPr>
          <w:p w:rsidR="00CF0324" w:rsidRDefault="00124A10">
            <w:pPr>
              <w:jc w:val="center"/>
            </w:pPr>
            <w:r>
              <w:rPr>
                <w:sz w:val="22"/>
                <w:szCs w:val="22"/>
              </w:rPr>
              <w:t>70/30</w:t>
            </w:r>
          </w:p>
        </w:tc>
        <w:tc>
          <w:tcPr>
            <w:tcW w:w="992" w:type="dxa"/>
          </w:tcPr>
          <w:p w:rsidR="00CF0324" w:rsidRDefault="00124A10">
            <w:pPr>
              <w:jc w:val="center"/>
            </w:pPr>
            <w:r>
              <w:rPr>
                <w:sz w:val="22"/>
                <w:szCs w:val="22"/>
              </w:rPr>
              <w:t>70/30</w:t>
            </w:r>
          </w:p>
        </w:tc>
        <w:tc>
          <w:tcPr>
            <w:tcW w:w="992" w:type="dxa"/>
            <w:tcMar>
              <w:top w:w="28" w:type="dxa"/>
              <w:left w:w="28" w:type="dxa"/>
              <w:bottom w:w="28" w:type="dxa"/>
              <w:right w:w="28" w:type="dxa"/>
            </w:tcMar>
          </w:tcPr>
          <w:p w:rsidR="00CF0324" w:rsidRDefault="00124A10">
            <w:pPr>
              <w:jc w:val="center"/>
            </w:pPr>
            <w:r>
              <w:rPr>
                <w:sz w:val="22"/>
                <w:szCs w:val="22"/>
              </w:rPr>
              <w:t>70/30</w:t>
            </w:r>
          </w:p>
        </w:tc>
        <w:tc>
          <w:tcPr>
            <w:tcW w:w="993" w:type="dxa"/>
            <w:tcMar>
              <w:top w:w="28" w:type="dxa"/>
              <w:left w:w="28" w:type="dxa"/>
              <w:bottom w:w="28" w:type="dxa"/>
              <w:right w:w="28" w:type="dxa"/>
            </w:tcMar>
          </w:tcPr>
          <w:p w:rsidR="00CF0324" w:rsidRDefault="00124A10">
            <w:pPr>
              <w:jc w:val="center"/>
            </w:pPr>
            <w:r>
              <w:rPr>
                <w:sz w:val="22"/>
                <w:szCs w:val="22"/>
              </w:rPr>
              <w:t>70/30</w:t>
            </w:r>
          </w:p>
        </w:tc>
        <w:tc>
          <w:tcPr>
            <w:tcW w:w="850"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68/32</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Коэффициент демографической нагрузки, чел. на 1000 чел. трудоспособного населения</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854</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837</w:t>
            </w:r>
          </w:p>
        </w:tc>
        <w:tc>
          <w:tcPr>
            <w:tcW w:w="993"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865</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900</w:t>
            </w:r>
          </w:p>
        </w:tc>
        <w:tc>
          <w:tcPr>
            <w:tcW w:w="992"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848</w:t>
            </w:r>
          </w:p>
        </w:tc>
        <w:tc>
          <w:tcPr>
            <w:tcW w:w="993"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856</w:t>
            </w:r>
          </w:p>
        </w:tc>
        <w:tc>
          <w:tcPr>
            <w:tcW w:w="850"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816</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Коэффициент миграционного прироста, чел. на 10 000 чел. населения</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-142,8</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-82,3</w:t>
            </w:r>
          </w:p>
        </w:tc>
        <w:tc>
          <w:tcPr>
            <w:tcW w:w="993"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-46,3</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8,1</w:t>
            </w:r>
          </w:p>
        </w:tc>
        <w:tc>
          <w:tcPr>
            <w:tcW w:w="992"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-32,6</w:t>
            </w:r>
          </w:p>
        </w:tc>
        <w:tc>
          <w:tcPr>
            <w:tcW w:w="993"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-14,1</w:t>
            </w:r>
          </w:p>
        </w:tc>
        <w:tc>
          <w:tcPr>
            <w:tcW w:w="850"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-6,5</w:t>
            </w:r>
          </w:p>
        </w:tc>
      </w:tr>
      <w:tr w:rsidR="00CF0324">
        <w:tc>
          <w:tcPr>
            <w:tcW w:w="2722"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tcPr>
          <w:p w:rsidR="00CF0324" w:rsidRDefault="00124A10">
            <w:pPr>
              <w:pStyle w:val="2a"/>
              <w:spacing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Плотность автодорог общего пользования с твердым покрытием (км путей на 1000 кв. км территории)</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993"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992" w:type="dxa"/>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992"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4,4</w:t>
            </w:r>
          </w:p>
        </w:tc>
        <w:tc>
          <w:tcPr>
            <w:tcW w:w="993"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4,4</w:t>
            </w:r>
          </w:p>
        </w:tc>
        <w:tc>
          <w:tcPr>
            <w:tcW w:w="850" w:type="dxa"/>
            <w:tcMar>
              <w:top w:w="28" w:type="dxa"/>
              <w:left w:w="28" w:type="dxa"/>
              <w:bottom w:w="28" w:type="dxa"/>
              <w:right w:w="28" w:type="dxa"/>
            </w:tcMar>
          </w:tcPr>
          <w:p w:rsidR="00CF0324" w:rsidRDefault="00124A10">
            <w:pPr>
              <w:pStyle w:val="2a"/>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4,3</w:t>
            </w:r>
          </w:p>
        </w:tc>
      </w:tr>
    </w:tbl>
    <w:p w:rsidR="00CF0324" w:rsidRDefault="00124A10">
      <w:pPr>
        <w:spacing w:before="240" w:line="276" w:lineRule="auto"/>
        <w:ind w:firstLine="708"/>
        <w:jc w:val="both"/>
      </w:pPr>
      <w:r>
        <w:t>Планируется пространственное развитие Кондинского района в рамках опорных населенных пунктов пгт.Междуреченский, пгт. Кондинское, пгт. Мортка с прилегающей территорией (сельских агломераций)</w:t>
      </w:r>
      <w:r>
        <w:rPr>
          <w:rStyle w:val="16"/>
        </w:rPr>
        <w:footnoteReference w:id="16"/>
      </w:r>
      <w:r>
        <w:t>.</w:t>
      </w:r>
    </w:p>
    <w:p w:rsidR="00CF0324" w:rsidRDefault="00124A10">
      <w:pPr>
        <w:spacing w:line="276" w:lineRule="auto"/>
        <w:ind w:firstLine="540"/>
        <w:jc w:val="both"/>
      </w:pPr>
      <w:r>
        <w:t xml:space="preserve">Кроме того, в Стратегии пространственного развития Ханты-Мансийского автономного округа – Югры, определены основные походы к формированию агломерационных образований в Ханты-Мансийском автономном округе – Югре </w:t>
      </w:r>
      <w:r>
        <w:rPr>
          <w:rStyle w:val="16"/>
        </w:rPr>
        <w:t xml:space="preserve"> </w:t>
      </w:r>
      <w:r>
        <w:rPr>
          <w:rStyle w:val="16"/>
        </w:rPr>
        <w:footnoteReference w:id="17"/>
      </w:r>
      <w:r>
        <w:t>.</w:t>
      </w:r>
    </w:p>
    <w:p w:rsidR="00CF0324" w:rsidRDefault="00CF0324">
      <w:pPr>
        <w:spacing w:line="276" w:lineRule="auto"/>
        <w:ind w:firstLine="540"/>
        <w:jc w:val="both"/>
      </w:pPr>
    </w:p>
    <w:p w:rsidR="00CF0324" w:rsidRDefault="00124A10">
      <w:pPr>
        <w:spacing w:line="276" w:lineRule="auto"/>
        <w:jc w:val="center"/>
      </w:pPr>
      <w:r>
        <w:rPr>
          <w:rFonts w:ascii="Arial" w:hAnsi="Arial" w:cs="Arial"/>
          <w:b/>
          <w:bCs/>
        </w:rPr>
        <w:t>Транспортный каркас</w:t>
      </w:r>
      <w:r>
        <w:t xml:space="preserve"> </w:t>
      </w:r>
    </w:p>
    <w:p w:rsidR="00CF0324" w:rsidRDefault="00124A10">
      <w:pPr>
        <w:spacing w:line="276" w:lineRule="auto"/>
        <w:ind w:firstLine="709"/>
        <w:jc w:val="both"/>
      </w:pPr>
      <w:r>
        <w:t>Транспортный комплекс Кондинского района представлен автомобильным, воздушным и железнодорожным видами транспорта и включает в себя: сеть автомобильных дорог различного значения, железные дороги и водные пути, 3 железнодорожные станции, 1 аэропорт, 6 вертолетных площадок, пристани.</w:t>
      </w:r>
    </w:p>
    <w:p w:rsidR="00CF0324" w:rsidRDefault="00124A10">
      <w:pPr>
        <w:spacing w:line="276" w:lineRule="auto"/>
        <w:ind w:firstLine="709"/>
        <w:jc w:val="both"/>
      </w:pPr>
      <w:r>
        <w:t>Кондинский район выгодно отличается от других муниципалитетов западной части автономного округа сочетанием на своей территории всех возможных в регионе видов транспорта.</w:t>
      </w:r>
      <w:r>
        <w:rPr>
          <w:bCs/>
        </w:rPr>
        <w:t xml:space="preserve"> Между районным центром имеется постоянное автомобильное сообщение с г.Ханты-Мансийск, соседними районами и городами. В то же время, не все населенные пункты имеют возможность круглогодичного выхода на транспортную сеть Российской Федерации. </w:t>
      </w:r>
      <w:r>
        <w:t>В период распутицы, а затем и в теплое время года люди вынуждены пользоваться услугами воздушного и водного транспорта, а население сельского поселения Шугур только воздушным транспортом добирается на большую землю.</w:t>
      </w:r>
    </w:p>
    <w:p w:rsidR="00CF0324" w:rsidRDefault="00124A10">
      <w:pPr>
        <w:tabs>
          <w:tab w:val="left" w:pos="567"/>
          <w:tab w:val="left" w:pos="851"/>
        </w:tabs>
        <w:spacing w:line="276" w:lineRule="auto"/>
        <w:ind w:firstLine="709"/>
        <w:jc w:val="both"/>
        <w:rPr>
          <w:bCs/>
          <w:i/>
          <w:iCs/>
          <w:sz w:val="28"/>
          <w:szCs w:val="28"/>
        </w:rPr>
      </w:pPr>
      <w:r>
        <w:lastRenderedPageBreak/>
        <w:t>Изначально основным транспортом и каркасом для формирования системы расселения Кондинского района служила река Конда. Речной транспорт и сегодня играет связующую роль для населенных пунктов пгт. Луговой, пгт. Кондинское, с. Болчары, п.Алтай с пгт.Междуреченский в летний период.</w:t>
      </w:r>
      <w:r>
        <w:rPr>
          <w:bCs/>
        </w:rPr>
        <w:t xml:space="preserve"> Протяженность судоходных водных путей составляет 498 км. На водных путях Кондинского района функционирует три регулярные линии. Протяженность внутрирайонных и межмуниципальных маршрутов составляет от 24 до 289 км. По внутренним водным путям, протяженность которых составляет 586 км, ежегодно перевозится более 20,0 тыс. пассажиров. Обеспечивается доставка народнохозяйственных грузов в отдаленные населенные пункты района по программе досрочного завоза,</w:t>
      </w:r>
      <w:r>
        <w:rPr>
          <w:bCs/>
          <w:i/>
          <w:iCs/>
        </w:rPr>
        <w:t xml:space="preserve"> </w:t>
      </w:r>
      <w:r>
        <w:rPr>
          <w:bCs/>
        </w:rPr>
        <w:t>объемы которого ежегодно составляют более 1,5 тыс. тонн топлива и грузов народного потребления. Перевозка пассажиров осуществляется теплоходами «Заря» на основных социальных регулярных маршрутах: «Междуреченский - Луговой - Междуреченский», «Кондинское - Междуреченский - Кондинское».</w:t>
      </w:r>
    </w:p>
    <w:p w:rsidR="00CF0324" w:rsidRDefault="00124A10">
      <w:pPr>
        <w:spacing w:line="276" w:lineRule="auto"/>
        <w:ind w:firstLine="709"/>
        <w:jc w:val="both"/>
        <w:rPr>
          <w:bCs/>
        </w:rPr>
      </w:pPr>
      <w:r>
        <w:t xml:space="preserve">Железная дорога связывает Свердловскую область и Кондинский район Ханты-Мансийского автономного округа – Югры по маршруту «Екатеринбург - Тавда - Устье-Аха», которая оказывает значительное влияние на развитие района. </w:t>
      </w:r>
      <w:r>
        <w:rPr>
          <w:bCs/>
        </w:rPr>
        <w:t>На территории Кондинского района функционируют три железнодорожные станции: Устье-Аха, Мортка, Куминский. Основной пассажирообразующей станцией является ст. Устье-Аха, на которую приходится наибольшее количество отправленных и прибывших пассажиров. Эксплуатационная длина сети железных дорог общего пользования на территории Кондинского района составляет 117 км железнодорожной ветки «Екатеринбург - Егоршино - Тавда - Устье-Аха». Перевозка пассажиров железнодорожным транспортом в соответствии с действующим расписанием осуществляется по двум регулярным маршрутам: № 609/610 «Екатеринбург - Устье-Аха - Екатеринбург» и № 7397/7398 «Устье-Аха - Тавда - Устье-Аха».</w:t>
      </w:r>
    </w:p>
    <w:p w:rsidR="00CF0324" w:rsidRDefault="00124A10">
      <w:pPr>
        <w:spacing w:line="276" w:lineRule="auto"/>
        <w:ind w:firstLine="709"/>
        <w:jc w:val="both"/>
        <w:rPr>
          <w:bCs/>
        </w:rPr>
      </w:pPr>
      <w:r>
        <w:rPr>
          <w:bCs/>
        </w:rPr>
        <w:t>Автомобильные дороги являются обязательной составной частью территории района и выполняют функцию связывания хозяйственных систем. Протяженность автомобильных дорог с твердым покрытием 605 км, зимних дорог - 529 км. За 2022 год перевезено пассажиров всеми видами транспорта 261,2 тыс. человек. Автомобильный транспорт играет важную роль в социально-экономическом развитии района. На долю автомобильного транспорта приходится 89% всех пассажирских перевозок, всего за 2022 год перевезено автомобильным транспортом 232,0 тыс. чел.</w:t>
      </w:r>
    </w:p>
    <w:p w:rsidR="00CF0324" w:rsidRDefault="00124A10">
      <w:pPr>
        <w:spacing w:line="276" w:lineRule="auto"/>
        <w:ind w:firstLine="709"/>
        <w:jc w:val="both"/>
        <w:rPr>
          <w:bCs/>
          <w:i/>
        </w:rPr>
      </w:pPr>
      <w:r>
        <w:rPr>
          <w:bCs/>
        </w:rPr>
        <w:t>На территории Кондинского района функционирует 1 аэропорт и 6 вертолетных площадок, осуществляющих прием и отправку пассажиров и грузов по четырем регулярным социальным маршрутам: «Кондинское - Междуреченский - Кондинское», «Кондинское - Междуреченский - Шугур - Междуреченский - Кондинское», «Кондинское - Ханты-Мансийск - Кондинское» и «Кондинское - Тюмень - Кондинское»</w:t>
      </w:r>
      <w:r>
        <w:rPr>
          <w:bCs/>
          <w:i/>
        </w:rPr>
        <w:t xml:space="preserve">. </w:t>
      </w:r>
      <w:r>
        <w:rPr>
          <w:bCs/>
        </w:rPr>
        <w:t>Авиакомпания, осуществляющая свою деятельность на территории Кондинского района, эксплуатирует воздушные суда типа МИ-8.</w:t>
      </w:r>
    </w:p>
    <w:p w:rsidR="00CF0324" w:rsidRDefault="00124A10">
      <w:pPr>
        <w:spacing w:line="276" w:lineRule="auto"/>
        <w:jc w:val="both"/>
      </w:pPr>
      <w:r>
        <w:tab/>
        <w:t>Строительство автомобильного участка региональной дороги «Юг» от пгт.Куминский до границы Ханты-Мансийского автономного округа - Югры и Свердловской области</w:t>
      </w:r>
      <w:r>
        <w:rPr>
          <w:rStyle w:val="16"/>
        </w:rPr>
        <w:footnoteReference w:id="18"/>
      </w:r>
      <w:r>
        <w:t xml:space="preserve"> в сторону п. Карабашка Свердловской области в 2027 году станет завершением формирования эффективного транспортного каркаса Кондинского района, </w:t>
      </w:r>
      <w:r>
        <w:lastRenderedPageBreak/>
        <w:t>что обеспечит укрепление сформировавшихся экономических связей с югом Тюменской области и откроет круглогодичную автотранспортную доступность «Южных ворот Югры».</w:t>
      </w:r>
    </w:p>
    <w:p w:rsidR="00CF0324" w:rsidRPr="00124A10" w:rsidRDefault="00124A10">
      <w:pPr>
        <w:pStyle w:val="2"/>
        <w:spacing w:before="240" w:after="240"/>
        <w:jc w:val="left"/>
        <w:rPr>
          <w:b w:val="0"/>
          <w:i/>
          <w:sz w:val="24"/>
          <w:lang w:val="ru-RU"/>
        </w:rPr>
      </w:pPr>
      <w:bookmarkStart w:id="11" w:name="_Toc11"/>
      <w:r w:rsidRPr="00124A10">
        <w:rPr>
          <w:b w:val="0"/>
          <w:i/>
          <w:sz w:val="24"/>
          <w:lang w:val="ru-RU"/>
        </w:rPr>
        <w:t>1.8. Инвестиционная деятельность</w:t>
      </w:r>
      <w:bookmarkEnd w:id="11"/>
    </w:p>
    <w:p w:rsidR="00CF0324" w:rsidRDefault="00124A10">
      <w:pPr>
        <w:spacing w:line="276" w:lineRule="auto"/>
        <w:ind w:firstLine="708"/>
        <w:jc w:val="both"/>
      </w:pPr>
      <w:r>
        <w:t>По итогам 2022 года Кондинский район занял 9 место в Инвестиционном рейтинге среди 22 муниципальных образований Ханты-Мансийского автономного округа – Югры.</w:t>
      </w:r>
    </w:p>
    <w:p w:rsidR="00CF0324" w:rsidRDefault="00124A10">
      <w:pPr>
        <w:spacing w:line="276" w:lineRule="auto"/>
        <w:ind w:firstLine="708"/>
        <w:jc w:val="both"/>
      </w:pPr>
      <w:r>
        <w:t>Объем инвестиций за счет всех источников финансирования в текущих ценах увеличился в 2022 году в 3 раза к уровню 2016 года (таблица 1.17.), в том числе в 5 раз произошло увеличение финансирования за счет собственных средств субъектов инвестиционной деятельности, в основном за счет нефтедобывающих предприятий и предприятий транспорта. Соотношение собственных средств предприятий к привлеченным средствам в 2022 году составило 96:4; в 2016 году 60:40.</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1.17. - </w:t>
      </w:r>
      <w:r>
        <w:rPr>
          <w:rFonts w:ascii="Times New Roman" w:eastAsia="Calibri" w:hAnsi="Times New Roman" w:cs="Times New Roman"/>
          <w:sz w:val="24"/>
          <w:szCs w:val="24"/>
        </w:rPr>
        <w:t xml:space="preserve">Объем инвестиций в основной капитал, в том числе: </w:t>
      </w:r>
      <w:r>
        <w:rPr>
          <w:rFonts w:ascii="Times New Roman" w:eastAsia="Times New Roman" w:hAnsi="Times New Roman" w:cs="Times New Roman"/>
          <w:sz w:val="24"/>
          <w:szCs w:val="24"/>
        </w:rPr>
        <w:t>динамика выполнения целевых показателей развития малого инвестиций Стратегии социально-экономического развития Кондинского района Ханты-Мансийского автономного округа – Югры на период до 2030 года</w:t>
      </w: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76"/>
        <w:gridCol w:w="1134"/>
        <w:gridCol w:w="850"/>
        <w:gridCol w:w="851"/>
        <w:gridCol w:w="850"/>
        <w:gridCol w:w="851"/>
        <w:gridCol w:w="851"/>
        <w:gridCol w:w="850"/>
        <w:gridCol w:w="850"/>
      </w:tblGrid>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CF0324">
            <w:pPr>
              <w:widowControl w:val="0"/>
              <w:jc w:val="both"/>
              <w:rPr>
                <w:rFonts w:eastAsia="Calibri"/>
                <w:sz w:val="18"/>
                <w:szCs w:val="18"/>
              </w:rPr>
            </w:pPr>
          </w:p>
        </w:tc>
        <w:tc>
          <w:tcPr>
            <w:tcW w:w="1876" w:type="dxa"/>
            <w:tcBorders>
              <w:top w:val="single" w:sz="4" w:space="0" w:color="000000"/>
              <w:left w:val="single" w:sz="4" w:space="0" w:color="000000"/>
              <w:bottom w:val="single" w:sz="4" w:space="0" w:color="000000"/>
              <w:right w:val="single" w:sz="4" w:space="0" w:color="000000"/>
            </w:tcBorders>
          </w:tcPr>
          <w:p w:rsidR="00CF0324" w:rsidRDefault="00CF0324">
            <w:pPr>
              <w:rPr>
                <w:b/>
                <w:color w:val="00B0F0"/>
                <w:sz w:val="20"/>
                <w:szCs w:val="20"/>
                <w:lang w:eastAsia="en-US"/>
              </w:rPr>
            </w:pPr>
          </w:p>
        </w:tc>
        <w:tc>
          <w:tcPr>
            <w:tcW w:w="1134" w:type="dxa"/>
            <w:tcBorders>
              <w:top w:val="single" w:sz="4" w:space="0" w:color="000000"/>
              <w:left w:val="single" w:sz="4" w:space="0" w:color="000000"/>
              <w:right w:val="single" w:sz="4" w:space="0" w:color="000000"/>
            </w:tcBorders>
          </w:tcPr>
          <w:p w:rsidR="00CF0324" w:rsidRDefault="00CF0324">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2019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2020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2022</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rPr>
            </w:pPr>
            <w:r>
              <w:rPr>
                <w:rFonts w:eastAsia="Calibri"/>
                <w:sz w:val="18"/>
                <w:szCs w:val="18"/>
              </w:rPr>
              <w:t>1.</w:t>
            </w:r>
          </w:p>
        </w:tc>
        <w:tc>
          <w:tcPr>
            <w:tcW w:w="1876" w:type="dxa"/>
            <w:tcBorders>
              <w:top w:val="single" w:sz="4" w:space="0" w:color="000000"/>
              <w:left w:val="single" w:sz="4" w:space="0" w:color="000000"/>
              <w:bottom w:val="single" w:sz="4" w:space="0" w:color="000000"/>
              <w:right w:val="single" w:sz="4" w:space="0" w:color="000000"/>
            </w:tcBorders>
          </w:tcPr>
          <w:p w:rsidR="00CF0324" w:rsidRDefault="00124A10">
            <w:pPr>
              <w:rPr>
                <w:b/>
                <w:color w:val="00B0F0"/>
                <w:sz w:val="18"/>
                <w:szCs w:val="18"/>
                <w:lang w:eastAsia="en-US"/>
              </w:rPr>
            </w:pPr>
            <w:r>
              <w:rPr>
                <w:rFonts w:eastAsia="Calibri"/>
                <w:sz w:val="18"/>
                <w:szCs w:val="18"/>
              </w:rPr>
              <w:t>Объем инвестиций в основной капитал</w:t>
            </w:r>
          </w:p>
        </w:tc>
        <w:tc>
          <w:tcPr>
            <w:tcW w:w="1134" w:type="dxa"/>
            <w:vMerge w:val="restart"/>
            <w:tcBorders>
              <w:top w:val="single" w:sz="4" w:space="0" w:color="000000"/>
              <w:left w:val="single" w:sz="4" w:space="0" w:color="000000"/>
              <w:right w:val="single" w:sz="4" w:space="0" w:color="000000"/>
            </w:tcBorders>
          </w:tcPr>
          <w:p w:rsidR="00CF0324" w:rsidRDefault="00124A10">
            <w:pPr>
              <w:jc w:val="center"/>
              <w:rPr>
                <w:sz w:val="18"/>
                <w:szCs w:val="18"/>
              </w:rPr>
            </w:pPr>
            <w:r>
              <w:rPr>
                <w:sz w:val="18"/>
                <w:szCs w:val="18"/>
              </w:rPr>
              <w:t>млн. руб., в действующих ценах каждого года</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18"/>
                <w:szCs w:val="18"/>
                <w:lang w:eastAsia="en-US"/>
              </w:rPr>
            </w:pP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1.1.</w:t>
            </w:r>
          </w:p>
        </w:tc>
        <w:tc>
          <w:tcPr>
            <w:tcW w:w="1876"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00B0F0"/>
                <w:sz w:val="20"/>
                <w:szCs w:val="20"/>
                <w:lang w:eastAsia="en-US"/>
              </w:rPr>
              <w:t>целевые показатели</w:t>
            </w:r>
            <w:r>
              <w:rPr>
                <w:sz w:val="18"/>
                <w:szCs w:val="18"/>
              </w:rPr>
              <w:t xml:space="preserve"> </w:t>
            </w:r>
          </w:p>
        </w:tc>
        <w:tc>
          <w:tcPr>
            <w:tcW w:w="1134" w:type="dxa"/>
            <w:vMerge/>
            <w:tcBorders>
              <w:left w:val="single" w:sz="4" w:space="0" w:color="000000"/>
              <w:right w:val="single" w:sz="4" w:space="0" w:color="000000"/>
            </w:tcBorders>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10 093,9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10 391,8</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10 805,9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10 786,9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11 218,4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12 619,2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15 353,2</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1.2.</w:t>
            </w:r>
          </w:p>
        </w:tc>
        <w:tc>
          <w:tcPr>
            <w:tcW w:w="1876"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b/>
                <w:color w:val="92D050"/>
                <w:sz w:val="20"/>
                <w:szCs w:val="20"/>
                <w:lang w:eastAsia="en-US"/>
              </w:rPr>
              <w:t>фактические данные</w:t>
            </w:r>
            <w:r>
              <w:rPr>
                <w:sz w:val="18"/>
                <w:szCs w:val="18"/>
              </w:rPr>
              <w:t xml:space="preserve"> </w:t>
            </w:r>
          </w:p>
        </w:tc>
        <w:tc>
          <w:tcPr>
            <w:tcW w:w="1134" w:type="dxa"/>
            <w:vMerge/>
            <w:tcBorders>
              <w:left w:val="single" w:sz="4" w:space="0" w:color="000000"/>
              <w:bottom w:val="single" w:sz="4" w:space="0" w:color="000000"/>
              <w:right w:val="single" w:sz="4" w:space="0" w:color="000000"/>
            </w:tcBorders>
          </w:tcPr>
          <w:p w:rsidR="00CF0324" w:rsidRDefault="00CF0324">
            <w:pPr>
              <w:jc w:val="center"/>
              <w:rPr>
                <w:sz w:val="18"/>
                <w:szCs w:val="18"/>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19 435,3</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35 755,4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34 097,1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40 293,5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43 994,4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48 145,9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64 572,5</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1.3.</w:t>
            </w:r>
          </w:p>
        </w:tc>
        <w:tc>
          <w:tcPr>
            <w:tcW w:w="1876" w:type="dxa"/>
            <w:tcBorders>
              <w:top w:val="single" w:sz="4" w:space="0" w:color="000000"/>
              <w:left w:val="single" w:sz="4" w:space="0" w:color="000000"/>
              <w:bottom w:val="single" w:sz="4" w:space="0" w:color="000000"/>
              <w:right w:val="single" w:sz="4" w:space="0" w:color="000000"/>
            </w:tcBorders>
            <w:vAlign w:val="center"/>
          </w:tcPr>
          <w:p w:rsidR="00CF0324" w:rsidRDefault="00124A10">
            <w:pPr>
              <w:ind w:firstLine="180"/>
              <w:rPr>
                <w:color w:val="000000"/>
                <w:sz w:val="18"/>
                <w:szCs w:val="18"/>
                <w:lang w:eastAsia="en-US"/>
              </w:rPr>
            </w:pPr>
            <w:r>
              <w:rPr>
                <w:color w:val="000000"/>
                <w:sz w:val="18"/>
                <w:szCs w:val="18"/>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color w:val="000000"/>
                <w:sz w:val="18"/>
                <w:szCs w:val="18"/>
                <w:lang w:eastAsia="en-US"/>
              </w:rPr>
            </w:pPr>
            <w:r>
              <w:rPr>
                <w:color w:val="000000"/>
                <w:sz w:val="18"/>
                <w:szCs w:val="18"/>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177,4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90,6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104,3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117,0</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2.</w:t>
            </w:r>
          </w:p>
        </w:tc>
        <w:tc>
          <w:tcPr>
            <w:tcW w:w="1876" w:type="dxa"/>
            <w:tcBorders>
              <w:top w:val="single" w:sz="4" w:space="0" w:color="000000"/>
              <w:left w:val="single" w:sz="4" w:space="0" w:color="000000"/>
              <w:bottom w:val="single" w:sz="4" w:space="0" w:color="000000"/>
              <w:right w:val="single" w:sz="4" w:space="0" w:color="000000"/>
            </w:tcBorders>
          </w:tcPr>
          <w:p w:rsidR="00CF0324" w:rsidRDefault="00124A10">
            <w:pPr>
              <w:rPr>
                <w:sz w:val="18"/>
                <w:szCs w:val="18"/>
                <w:lang w:eastAsia="en-US"/>
              </w:rPr>
            </w:pPr>
            <w:r>
              <w:rPr>
                <w:sz w:val="18"/>
                <w:szCs w:val="18"/>
              </w:rPr>
              <w:t>- в том числе: собственные средства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18"/>
                <w:szCs w:val="18"/>
                <w:lang w:eastAsia="en-US"/>
              </w:rPr>
            </w:pPr>
            <w:r>
              <w:rPr>
                <w:sz w:val="18"/>
                <w:szCs w:val="18"/>
              </w:rPr>
              <w:t>млн.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11 564,7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16 232,2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17 965,6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22 401,6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41 164,4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46 712,9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62 312,1</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both"/>
              <w:rPr>
                <w:rFonts w:eastAsia="Calibri"/>
                <w:sz w:val="18"/>
                <w:szCs w:val="18"/>
                <w:lang w:eastAsia="en-US"/>
              </w:rPr>
            </w:pPr>
            <w:r>
              <w:rPr>
                <w:rFonts w:eastAsia="Calibri"/>
                <w:sz w:val="18"/>
                <w:szCs w:val="18"/>
              </w:rPr>
              <w:t>3.</w:t>
            </w:r>
          </w:p>
        </w:tc>
        <w:tc>
          <w:tcPr>
            <w:tcW w:w="1876" w:type="dxa"/>
            <w:tcBorders>
              <w:top w:val="single" w:sz="4" w:space="0" w:color="000000"/>
              <w:left w:val="single" w:sz="4" w:space="0" w:color="000000"/>
              <w:bottom w:val="single" w:sz="4" w:space="0" w:color="000000"/>
              <w:right w:val="single" w:sz="4" w:space="0" w:color="000000"/>
            </w:tcBorders>
          </w:tcPr>
          <w:p w:rsidR="00CF0324" w:rsidRDefault="00124A10">
            <w:pPr>
              <w:ind w:firstLine="180"/>
              <w:rPr>
                <w:color w:val="000000"/>
                <w:sz w:val="18"/>
                <w:szCs w:val="18"/>
                <w:lang w:eastAsia="en-US"/>
              </w:rPr>
            </w:pPr>
            <w:r>
              <w:rPr>
                <w:color w:val="000000"/>
                <w:sz w:val="18"/>
                <w:szCs w:val="18"/>
              </w:rPr>
              <w:t>Индекс физического объема</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color w:val="000000"/>
                <w:sz w:val="18"/>
                <w:szCs w:val="18"/>
                <w:lang w:eastAsia="en-US"/>
              </w:rPr>
            </w:pPr>
            <w:r>
              <w:rPr>
                <w:color w:val="000000"/>
                <w:sz w:val="18"/>
                <w:szCs w:val="18"/>
              </w:rPr>
              <w:t>% к предыдущему году в сопоставимых ценах</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135,3</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106,7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118,4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174,0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108,1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18"/>
                <w:szCs w:val="18"/>
                <w:lang w:eastAsia="en-US"/>
              </w:rPr>
            </w:pPr>
            <w:r>
              <w:rPr>
                <w:sz w:val="18"/>
                <w:szCs w:val="18"/>
                <w:lang w:eastAsia="en-US"/>
              </w:rPr>
              <w:t>116,3</w:t>
            </w:r>
          </w:p>
        </w:tc>
      </w:tr>
    </w:tbl>
    <w:p w:rsidR="00CF0324" w:rsidRDefault="00124A10">
      <w:pPr>
        <w:tabs>
          <w:tab w:val="left" w:pos="709"/>
        </w:tabs>
        <w:spacing w:before="240" w:line="276" w:lineRule="auto"/>
        <w:jc w:val="both"/>
        <w:rPr>
          <w:bCs/>
        </w:rPr>
      </w:pPr>
      <w:r>
        <w:tab/>
        <w:t>На территории Кондинского района проводятся мероприятия, способствующие созданию условий для благоприятного инвестиционного климата, так постановлением администрации Кондинского района от 16 января 2019 года № 48 «О Совете при главе Кондинского района по вопросам развития инвестиционной деятельности, малого и среднего предпринимательства» (с изменениями) создан Совет при главе Кондинского района по вопросам развития инвестиционной деятельности, малого и среднего предпринимательства в Кондинском районе (далее - Совет) в состав которого входят представители администрации Кондинского района (1/3 состава Совета), представители малого предпринимательства Кондинского района (2/3), из них – 9 членов некоммерческого партнерства «Союз предпринимателей Кондинского района».</w:t>
      </w:r>
    </w:p>
    <w:p w:rsidR="00CF0324" w:rsidRDefault="00124A10">
      <w:pPr>
        <w:tabs>
          <w:tab w:val="left" w:pos="709"/>
        </w:tabs>
        <w:spacing w:line="276" w:lineRule="auto"/>
        <w:jc w:val="both"/>
        <w:rPr>
          <w:bCs/>
        </w:rPr>
      </w:pPr>
      <w:r>
        <w:tab/>
      </w:r>
      <w:r>
        <w:rPr>
          <w:bCs/>
        </w:rPr>
        <w:t>Ведется работа по привлечению частных инвестиций на территории Кондинского района по следующим направлениям:</w:t>
      </w:r>
    </w:p>
    <w:p w:rsidR="00CF0324" w:rsidRDefault="00124A10">
      <w:pPr>
        <w:tabs>
          <w:tab w:val="left" w:pos="709"/>
        </w:tabs>
        <w:spacing w:line="276" w:lineRule="auto"/>
        <w:jc w:val="both"/>
        <w:rPr>
          <w:bCs/>
        </w:rPr>
      </w:pPr>
      <w:r>
        <w:rPr>
          <w:bCs/>
        </w:rPr>
        <w:lastRenderedPageBreak/>
        <w:tab/>
        <w:t>на официальном сайте органов местного самоуправления размещены и постоянно актуализируются инвестиционные предложения для потенциальных инвесторов;</w:t>
      </w:r>
    </w:p>
    <w:p w:rsidR="00CF0324" w:rsidRDefault="00124A10">
      <w:pPr>
        <w:tabs>
          <w:tab w:val="left" w:pos="709"/>
        </w:tabs>
        <w:spacing w:line="276" w:lineRule="auto"/>
        <w:jc w:val="both"/>
        <w:rPr>
          <w:bCs/>
        </w:rPr>
      </w:pPr>
      <w:r>
        <w:rPr>
          <w:bCs/>
        </w:rPr>
        <w:tab/>
        <w:t>продолжается реализация мероприятий, предусмотренных портфелями проектов, основанных на целевых моделях, упрощения процедур ведения бизнеса и повышения инвестиционной привлекательности, определенных перечнем поручений Президента Российской Федерации;</w:t>
      </w:r>
    </w:p>
    <w:p w:rsidR="00CF0324" w:rsidRDefault="00124A10">
      <w:pPr>
        <w:tabs>
          <w:tab w:val="left" w:pos="709"/>
        </w:tabs>
        <w:spacing w:line="276" w:lineRule="auto"/>
        <w:jc w:val="both"/>
        <w:rPr>
          <w:bCs/>
        </w:rPr>
      </w:pPr>
      <w:r>
        <w:rPr>
          <w:bCs/>
        </w:rPr>
        <w:tab/>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Кондинского района проводится оценка регулирующего и фактического воздействия нормативно-правовых актов Кондинского района;</w:t>
      </w:r>
    </w:p>
    <w:p w:rsidR="00CF0324" w:rsidRDefault="00124A10">
      <w:pPr>
        <w:tabs>
          <w:tab w:val="left" w:pos="709"/>
        </w:tabs>
        <w:spacing w:line="276" w:lineRule="auto"/>
        <w:jc w:val="both"/>
        <w:rPr>
          <w:bCs/>
        </w:rPr>
      </w:pPr>
      <w:r>
        <w:rPr>
          <w:bCs/>
        </w:rPr>
        <w:tab/>
        <w:t>анализ обращений граждан, в том числе и инвесторов, за последний год свидетельствует об отсутствии жалоб на действия органов местного самоуправления, препятствующих развитию бизнеса на территории района.</w:t>
      </w:r>
    </w:p>
    <w:p w:rsidR="00CF0324" w:rsidRDefault="00124A10">
      <w:pPr>
        <w:tabs>
          <w:tab w:val="left" w:pos="709"/>
        </w:tabs>
        <w:spacing w:line="276" w:lineRule="auto"/>
        <w:jc w:val="both"/>
        <w:rPr>
          <w:bCs/>
        </w:rPr>
      </w:pPr>
      <w:r>
        <w:rPr>
          <w:bCs/>
        </w:rPr>
        <w:tab/>
        <w:t xml:space="preserve">С целью оперативного решения вопросов, возникающих у инвесторов, создан канал прямой связи. В 2022 году поступило обращение от инвестора о рассмотрении возможности обеспечения удалённых населенных пунктов района ГСМ, путём размещения станций топливозаправочных мобильных автоматических. </w:t>
      </w:r>
    </w:p>
    <w:p w:rsidR="00CF0324" w:rsidRDefault="00124A10">
      <w:pPr>
        <w:tabs>
          <w:tab w:val="left" w:pos="709"/>
        </w:tabs>
        <w:spacing w:line="276" w:lineRule="auto"/>
        <w:jc w:val="both"/>
      </w:pPr>
      <w:r>
        <w:rPr>
          <w:bCs/>
        </w:rPr>
        <w:tab/>
      </w:r>
      <w:r>
        <w:t>С целью информационно-консультационного взаимодействия заключены следующие соглашения:</w:t>
      </w:r>
    </w:p>
    <w:p w:rsidR="00CF0324" w:rsidRDefault="00124A10">
      <w:pPr>
        <w:spacing w:line="276" w:lineRule="auto"/>
        <w:ind w:firstLine="709"/>
        <w:jc w:val="both"/>
      </w:pPr>
      <w:r>
        <w:t>между администрацией Кондинского района и бюджетным учреждением Ханты – Мансийского автономного округа – Югры «Региональный центр инвестиций»;</w:t>
      </w:r>
    </w:p>
    <w:p w:rsidR="00CF0324" w:rsidRDefault="00124A10">
      <w:pPr>
        <w:spacing w:line="276" w:lineRule="auto"/>
        <w:ind w:firstLine="709"/>
        <w:jc w:val="both"/>
      </w:pPr>
      <w:r>
        <w:t>между администрацией Кондинского района и некоммерческой организацией «Фонд развития Ханты-Мансийского автономного округа – Югры»;</w:t>
      </w:r>
    </w:p>
    <w:p w:rsidR="00CF0324" w:rsidRDefault="00124A10">
      <w:pPr>
        <w:spacing w:line="276" w:lineRule="auto"/>
        <w:ind w:firstLine="709"/>
        <w:jc w:val="both"/>
      </w:pPr>
      <w:r>
        <w:t xml:space="preserve">между администрацией Кондинского района и Департаментом экономического развития Ханты-Мансийского автономного округа – Югры. </w:t>
      </w:r>
    </w:p>
    <w:p w:rsidR="00CF0324" w:rsidRDefault="00124A10">
      <w:pPr>
        <w:tabs>
          <w:tab w:val="left" w:pos="709"/>
        </w:tabs>
        <w:spacing w:line="276" w:lineRule="auto"/>
        <w:ind w:firstLine="708"/>
        <w:jc w:val="both"/>
        <w:rPr>
          <w:bCs/>
        </w:rPr>
      </w:pPr>
      <w:r>
        <w:rPr>
          <w:bCs/>
        </w:rPr>
        <w:t>На Инвестиционной карте Югры размещается актуальная информация о реализуемых и планируемых к реализации инвестиционных проектах, свободных инвестиционных площадках, а также плане создания объектов инвестиционной инфраструктуры.</w:t>
      </w:r>
    </w:p>
    <w:p w:rsidR="00CF0324" w:rsidRDefault="00124A10">
      <w:pPr>
        <w:spacing w:line="276" w:lineRule="auto"/>
        <w:ind w:firstLine="708"/>
        <w:jc w:val="both"/>
      </w:pPr>
      <w:r>
        <w:t>В рамках исполнения Инвестиционного послания Губернатора Югры продолжается работа по привлечению частных инвестиций, созданы благоприятные условия для инвесторов (одно окно), действует система инвестиционных стимулов (имущественная, финансовая поддержка, налоговые льготы по земельному налогу, порядок о защите и поощрении капиталовложений).</w:t>
      </w:r>
    </w:p>
    <w:p w:rsidR="00CF0324" w:rsidRDefault="00124A10">
      <w:pPr>
        <w:spacing w:line="276" w:lineRule="auto"/>
        <w:ind w:firstLine="708"/>
        <w:jc w:val="both"/>
      </w:pPr>
      <w:r>
        <w:t>На сегодняшний день сформировано 13 инвестиционных площадок, информация о которых размещена на инвестиционной карте Югры.</w:t>
      </w:r>
    </w:p>
    <w:p w:rsidR="00CF0324" w:rsidRDefault="00124A10">
      <w:pPr>
        <w:spacing w:line="276" w:lineRule="auto"/>
        <w:ind w:firstLine="708"/>
        <w:jc w:val="both"/>
      </w:pPr>
      <w:r>
        <w:t>В 2022 году реализован ряд других инвестиционных проектов, направленных на социально-экономическое развитие территории, а именно:</w:t>
      </w:r>
    </w:p>
    <w:p w:rsidR="00CF0324" w:rsidRDefault="00124A10">
      <w:pPr>
        <w:tabs>
          <w:tab w:val="left" w:pos="709"/>
        </w:tabs>
        <w:spacing w:line="276" w:lineRule="auto"/>
        <w:ind w:firstLine="708"/>
        <w:jc w:val="both"/>
        <w:rPr>
          <w:bCs/>
        </w:rPr>
      </w:pPr>
      <w:r>
        <w:rPr>
          <w:bCs/>
        </w:rPr>
        <w:t>развитие производства хлебобулочных и кондитерских изделий в пгт.Междуреченский (строительство пекарни «Булка»);</w:t>
      </w:r>
    </w:p>
    <w:p w:rsidR="00CF0324" w:rsidRDefault="00124A10">
      <w:pPr>
        <w:tabs>
          <w:tab w:val="left" w:pos="709"/>
        </w:tabs>
        <w:spacing w:line="276" w:lineRule="auto"/>
        <w:ind w:firstLine="708"/>
        <w:jc w:val="both"/>
        <w:rPr>
          <w:bCs/>
        </w:rPr>
      </w:pPr>
      <w:r>
        <w:rPr>
          <w:bCs/>
        </w:rPr>
        <w:lastRenderedPageBreak/>
        <w:t>строительство второй очереди высокотехнологического (роботизированного) корпуса на базе молочного животноводческого комплекса крестьянско - фермерского хозяйства Чурилович Ф.В. в п. Лиственичный;</w:t>
      </w:r>
    </w:p>
    <w:p w:rsidR="00CF0324" w:rsidRDefault="00124A10">
      <w:pPr>
        <w:tabs>
          <w:tab w:val="left" w:pos="709"/>
        </w:tabs>
        <w:spacing w:line="276" w:lineRule="auto"/>
        <w:ind w:firstLine="708"/>
        <w:jc w:val="both"/>
        <w:rPr>
          <w:bCs/>
        </w:rPr>
      </w:pPr>
      <w:r>
        <w:t>строительство АЗС с тремя топливораздаточными колонками, двумя топливными резервуарами по 50 кубических метров в пгт. Междуреченский.</w:t>
      </w:r>
    </w:p>
    <w:p w:rsidR="00CF0324" w:rsidRDefault="00124A10">
      <w:pPr>
        <w:spacing w:line="276" w:lineRule="auto"/>
        <w:ind w:firstLine="709"/>
        <w:jc w:val="both"/>
      </w:pPr>
      <w:r>
        <w:t>Информация об инвестиционных предложениях размещена на официальном сайте органов местного самоуправления в разделе «Информация об инвестиционных предложениях»(</w:t>
      </w:r>
      <w:hyperlink r:id="rId23" w:history="1">
        <w:r>
          <w:rPr>
            <w:color w:val="0000FF"/>
            <w:u w:val="single"/>
          </w:rPr>
          <w:t>http://www.admkonda.ru/informatciya-ob-investitcionnykh-predlozheniyakh.html</w:t>
        </w:r>
      </w:hyperlink>
      <w:r>
        <w:rPr>
          <w:color w:val="0000FF"/>
          <w:u w:val="single"/>
        </w:rPr>
        <w:t>.</w:t>
      </w:r>
    </w:p>
    <w:p w:rsidR="00CF0324" w:rsidRPr="00124A10" w:rsidRDefault="00124A10">
      <w:pPr>
        <w:pStyle w:val="2"/>
        <w:spacing w:before="240" w:after="240"/>
        <w:jc w:val="left"/>
        <w:rPr>
          <w:b w:val="0"/>
          <w:i/>
          <w:sz w:val="24"/>
          <w:lang w:val="ru-RU"/>
        </w:rPr>
      </w:pPr>
      <w:bookmarkStart w:id="12" w:name="_Toc12"/>
      <w:r w:rsidRPr="00124A10">
        <w:rPr>
          <w:b w:val="0"/>
          <w:i/>
          <w:sz w:val="24"/>
          <w:lang w:val="ru-RU"/>
        </w:rPr>
        <w:t>1.9. Жилищно-коммунальное хозяйство (ЖКХ)</w:t>
      </w:r>
      <w:bookmarkEnd w:id="12"/>
    </w:p>
    <w:p w:rsidR="00CF0324" w:rsidRDefault="00124A10">
      <w:pPr>
        <w:spacing w:line="276" w:lineRule="auto"/>
        <w:ind w:firstLine="708"/>
        <w:jc w:val="both"/>
      </w:pPr>
      <w:r>
        <w:t>В Кондинском районе на предоставлении услуг  газо-, тепло,- водоснабжения и водоотведения, электроснабжение задействовано 14 организаций коммунального комплекса, различных форм собственности, как муниципальные, так и частные.</w:t>
      </w:r>
    </w:p>
    <w:p w:rsidR="00CF0324" w:rsidRDefault="00124A10">
      <w:pPr>
        <w:spacing w:line="276" w:lineRule="auto"/>
        <w:ind w:firstLine="708"/>
        <w:jc w:val="both"/>
      </w:pPr>
      <w:r>
        <w:t>Тепловая энергия производится 30 котельными (таблица 1.18.), более 60% которых работают на угле. Общая мощность объектов теплоснабжения в 2022 году составила 112,9 Гкал/час. Протяженность тепловых сетей – 116,1 км, к уровню 2016 года снизилась на 6%, за счет мероприятий по оптимизации инженерных сетей. За 2016-2022 годы проведены мероприятия по переводу источников теплоснабжения на альтернативный вид топлива (уголь) в пгт. Междуреченский, пгт. Куминский, пгт. Мортка, с. Леуши и др.</w:t>
      </w:r>
    </w:p>
    <w:p w:rsidR="00CF0324" w:rsidRDefault="00124A10">
      <w:pPr>
        <w:pStyle w:val="2a"/>
        <w:shd w:val="clear" w:color="auto" w:fill="FEFEFE"/>
        <w:tabs>
          <w:tab w:val="right" w:pos="9344"/>
        </w:tabs>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1.18. - </w:t>
      </w:r>
      <w:r>
        <w:rPr>
          <w:rFonts w:ascii="Times New Roman" w:hAnsi="Times New Roman" w:cs="Times New Roman"/>
          <w:sz w:val="24"/>
          <w:szCs w:val="24"/>
        </w:rPr>
        <w:t>показатели работы объектов теплоснабжения:</w:t>
      </w:r>
    </w:p>
    <w:tbl>
      <w:tblPr>
        <w:tblW w:w="9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018"/>
        <w:gridCol w:w="1134"/>
        <w:gridCol w:w="850"/>
        <w:gridCol w:w="851"/>
        <w:gridCol w:w="850"/>
        <w:gridCol w:w="851"/>
        <w:gridCol w:w="850"/>
        <w:gridCol w:w="851"/>
        <w:gridCol w:w="816"/>
      </w:tblGrid>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 измерения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Количество источников теплоснабжения</w:t>
            </w:r>
            <w:r>
              <w:rPr>
                <w:rStyle w:val="16"/>
                <w:sz w:val="20"/>
                <w:szCs w:val="20"/>
                <w:lang w:eastAsia="en-US"/>
              </w:rPr>
              <w:footnoteReference w:id="19"/>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30</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30</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2.</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Протяженность тепловых сетей</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км</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123,8</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126,4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126,4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113,2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110,6</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113,4</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116,1</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3.</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Произведено теплоэнергии</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тыс. Гкал</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116,2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136,9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96,9</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91,7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86,5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142,4</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126,6</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4.</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Отпущено тепловой энергии всем потребителям</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rPr>
              <w:t>тыс. Гкал</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76,5</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84,9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65,0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58,4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51,7</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49,2</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77,5</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5.</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Удельный вес площади оборудованной отоплением</w:t>
            </w:r>
          </w:p>
        </w:tc>
        <w:tc>
          <w:tcPr>
            <w:tcW w:w="1134" w:type="dxa"/>
            <w:tcBorders>
              <w:left w:val="single" w:sz="4" w:space="0" w:color="000000"/>
              <w:right w:val="single" w:sz="4" w:space="0" w:color="000000"/>
            </w:tcBorders>
          </w:tcPr>
          <w:p w:rsidR="00CF0324" w:rsidRDefault="00124A10">
            <w:pPr>
              <w:jc w:val="center"/>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36,1</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55,7</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6.</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Мощность источников теплоснабжения</w:t>
            </w:r>
          </w:p>
        </w:tc>
        <w:tc>
          <w:tcPr>
            <w:tcW w:w="1134" w:type="dxa"/>
            <w:tcBorders>
              <w:left w:val="single" w:sz="4" w:space="0" w:color="000000"/>
              <w:right w:val="single" w:sz="4" w:space="0" w:color="000000"/>
            </w:tcBorders>
          </w:tcPr>
          <w:p w:rsidR="00CF0324" w:rsidRDefault="00124A10">
            <w:pPr>
              <w:jc w:val="center"/>
              <w:rPr>
                <w:sz w:val="20"/>
                <w:szCs w:val="20"/>
              </w:rPr>
            </w:pPr>
            <w:r>
              <w:rPr>
                <w:sz w:val="20"/>
                <w:szCs w:val="20"/>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170,2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159,4</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157,2</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82,9</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122,4</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114,6</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112,9</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7.</w:t>
            </w:r>
          </w:p>
        </w:tc>
        <w:tc>
          <w:tcPr>
            <w:tcW w:w="201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Число аварий на источниках теплоснабжения, паровых и тепловых сетях</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единица</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816"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r>
    </w:tbl>
    <w:p w:rsidR="00CF0324" w:rsidRDefault="00CF0324">
      <w:pPr>
        <w:pStyle w:val="2a"/>
        <w:shd w:val="clear" w:color="auto" w:fill="FEFEFE"/>
        <w:tabs>
          <w:tab w:val="right" w:pos="9344"/>
        </w:tabs>
        <w:spacing w:line="240" w:lineRule="auto"/>
        <w:jc w:val="both"/>
        <w:rPr>
          <w:rFonts w:ascii="Times New Roman" w:eastAsia="Times New Roman" w:hAnsi="Times New Roman" w:cs="Times New Roman"/>
          <w:sz w:val="24"/>
          <w:szCs w:val="24"/>
          <w:highlight w:val="yellow"/>
        </w:rPr>
      </w:pPr>
    </w:p>
    <w:p w:rsidR="00CF0324" w:rsidRDefault="00124A10">
      <w:pPr>
        <w:spacing w:line="276" w:lineRule="auto"/>
        <w:ind w:firstLine="708"/>
        <w:jc w:val="both"/>
      </w:pPr>
      <w:r>
        <w:t>На территории Кондинского района в 2018 году газифицирован один населенный пункт (п. Мулымья) из 27 населенных пунктов района (таблица 1.19.), работает одна газовая котельная.</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Таблица 1.19. - </w:t>
      </w:r>
      <w:r>
        <w:rPr>
          <w:rFonts w:ascii="Times New Roman" w:hAnsi="Times New Roman" w:cs="Times New Roman"/>
          <w:sz w:val="24"/>
          <w:szCs w:val="24"/>
        </w:rPr>
        <w:t>показатели работы объектов газоснабжения:</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947"/>
        <w:gridCol w:w="1134"/>
        <w:gridCol w:w="708"/>
        <w:gridCol w:w="709"/>
        <w:gridCol w:w="708"/>
        <w:gridCol w:w="709"/>
        <w:gridCol w:w="709"/>
        <w:gridCol w:w="709"/>
        <w:gridCol w:w="710"/>
      </w:tblGrid>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 измерения</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Количество не газифицированных населенных пунктов</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2.</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Протяженность уличной газовой сети</w:t>
            </w:r>
            <w:r>
              <w:rPr>
                <w:rStyle w:val="16"/>
                <w:sz w:val="20"/>
                <w:szCs w:val="20"/>
              </w:rPr>
              <w:footnoteReference w:id="20"/>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км</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12,7</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12,7</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3.</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Уровень газификации</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4.</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Объем поставок природного газа потребителям</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rPr>
              <w:t>куб.м./год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CF0324">
            <w:pPr>
              <w:jc w:val="center"/>
              <w:rPr>
                <w:sz w:val="20"/>
                <w:szCs w:val="20"/>
                <w:lang w:eastAsia="en-US"/>
              </w:rPr>
            </w:pPr>
          </w:p>
        </w:tc>
      </w:tr>
    </w:tbl>
    <w:p w:rsidR="00CF0324" w:rsidRDefault="00124A10">
      <w:pPr>
        <w:spacing w:before="240" w:line="276" w:lineRule="auto"/>
        <w:ind w:firstLine="708"/>
        <w:jc w:val="both"/>
      </w:pPr>
      <w:r>
        <w:t>Установленная мощность водопроводных очистных сооружений (далее – ВОС) составляет 8,42 тыс. куб. метров в сутки (таблица 1.20.), очистные сооружения установлены в 9-ти населенных пунктах (пгт. Мортка - 1 200 м3/сут., пгт. Кондинское - 600 м3/сут., пгт. Междуреченский – 5 000 м3/сут., п. Лиственичный – 200 м3/сут., пгт. Куминский - 520 м3/сут, д. Ушья-  200 м3/сут,  гп. Луговой  200 м3/сут., Леуши – 200 м3/сут., Болчары – 300 м3/сут.). За последние 7 лет установленная производственная мощность водоочистных сооружений увеличилась более чем 2 раза, построено 4 ВОС (пгт. Междуреченский, пгт. Луговой, с. Леуши, с. Болчары). Доля населения, обеспеченного качественной питьевой водой из систем централизованного водоснабжения, во всех типах населенных пунктов составляет – 81%.</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1.20. - </w:t>
      </w:r>
      <w:r>
        <w:rPr>
          <w:rFonts w:ascii="Times New Roman" w:hAnsi="Times New Roman" w:cs="Times New Roman"/>
          <w:sz w:val="24"/>
          <w:szCs w:val="24"/>
        </w:rPr>
        <w:t>показатели работы объектов водоснабжения:</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727"/>
        <w:gridCol w:w="1134"/>
        <w:gridCol w:w="709"/>
        <w:gridCol w:w="709"/>
        <w:gridCol w:w="709"/>
        <w:gridCol w:w="709"/>
        <w:gridCol w:w="710"/>
        <w:gridCol w:w="709"/>
        <w:gridCol w:w="710"/>
      </w:tblGrid>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 измерения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Отпущено воды всем потребителям</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тыс. куб. м</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834,7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892,4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612,8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551,4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490,0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326,3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996,4</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2.</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Протяженность водопроводных сетей</w:t>
            </w:r>
            <w:r>
              <w:rPr>
                <w:rStyle w:val="16"/>
                <w:sz w:val="20"/>
                <w:szCs w:val="20"/>
              </w:rPr>
              <w:footnoteReference w:id="21"/>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rPr>
              <w:t>километр</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185,3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183,5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183,5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131,5</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140,4</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3.</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Установленная производственная мощность водопроводных очистных сооружений</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rPr>
              <w:t>тысяча кубических метров в сутки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7,9</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8,4</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4.</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Удельный вес площади жилищного фонда оборудованного водопроводом</w:t>
            </w:r>
          </w:p>
        </w:tc>
        <w:tc>
          <w:tcPr>
            <w:tcW w:w="1134" w:type="dxa"/>
            <w:tcBorders>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млн.м</w:t>
            </w:r>
            <w:r>
              <w:rPr>
                <w:sz w:val="20"/>
                <w:szCs w:val="20"/>
                <w:vertAlign w:val="superscript"/>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40,1</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72,1</w:t>
            </w:r>
          </w:p>
        </w:tc>
      </w:tr>
      <w:tr w:rsidR="00CF0324">
        <w:tc>
          <w:tcPr>
            <w:tcW w:w="534"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5.</w:t>
            </w:r>
          </w:p>
        </w:tc>
        <w:tc>
          <w:tcPr>
            <w:tcW w:w="272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Число аварий</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единица</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0</w:t>
            </w:r>
          </w:p>
        </w:tc>
      </w:tr>
    </w:tbl>
    <w:p w:rsidR="00CF0324" w:rsidRDefault="00124A10">
      <w:pPr>
        <w:tabs>
          <w:tab w:val="left" w:pos="5741"/>
        </w:tabs>
        <w:spacing w:before="240" w:after="240" w:line="276" w:lineRule="auto"/>
        <w:ind w:firstLine="720"/>
        <w:jc w:val="both"/>
        <w:rPr>
          <w:b/>
        </w:rPr>
      </w:pPr>
      <w:r>
        <w:t>В районе действуют канализационные очистные сооружения в 4-х населенных пунктах (пгт. Мортка – 400 м. куб./сутки, пгт. Междуреченский – 920 м. куб. /сутки (800 м. куб. /сутки, 120 м. куб./сутки), пгт. Куминский 120 м. куб. /сутки, д. Ушья – 200 м. куб. /сутки) общей производительностью 1,64 тыс. м3 в сутки, за последние 7 лет не изменилась. Протяженность канализационных сетей составляет 16,6 км, к уровню 2016 года сократилась почти наполовину (таблица 1.21). Новые объекты за последние 7 лет не строились.</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1.21. – </w:t>
      </w:r>
      <w:r>
        <w:rPr>
          <w:rFonts w:ascii="Times New Roman" w:hAnsi="Times New Roman" w:cs="Times New Roman"/>
          <w:sz w:val="24"/>
          <w:szCs w:val="24"/>
        </w:rPr>
        <w:t>показатели работы объектов водоотведения:</w:t>
      </w:r>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947"/>
        <w:gridCol w:w="1134"/>
        <w:gridCol w:w="709"/>
        <w:gridCol w:w="710"/>
        <w:gridCol w:w="709"/>
        <w:gridCol w:w="710"/>
        <w:gridCol w:w="710"/>
        <w:gridCol w:w="710"/>
        <w:gridCol w:w="710"/>
      </w:tblGrid>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lastRenderedPageBreak/>
              <w:t>№</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Наименование показателей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 измерения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Уличная канализационная сеть</w:t>
            </w:r>
            <w:r>
              <w:rPr>
                <w:rStyle w:val="16"/>
                <w:sz w:val="20"/>
                <w:szCs w:val="20"/>
              </w:rPr>
              <w:footnoteReference w:id="22"/>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км</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33,9</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32,4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33,6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15,5</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16,8</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16,6</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2.</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Количество населенных пунктов, не имеющих канализаций</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единица</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3.</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Мощность канализационных очистных сооружений</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тыс. м3 в сутки</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pPr>
            <w:r>
              <w:rPr>
                <w:sz w:val="20"/>
                <w:szCs w:val="20"/>
                <w:lang w:eastAsia="en-US"/>
              </w:rPr>
              <w:t>1,64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pPr>
            <w:r>
              <w:rPr>
                <w:sz w:val="20"/>
                <w:szCs w:val="20"/>
                <w:lang w:eastAsia="en-US"/>
              </w:rPr>
              <w:t>1,64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pPr>
            <w:r>
              <w:rPr>
                <w:sz w:val="20"/>
                <w:szCs w:val="20"/>
                <w:lang w:eastAsia="en-US"/>
              </w:rPr>
              <w:t>1,64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pPr>
            <w:r>
              <w:rPr>
                <w:sz w:val="20"/>
                <w:szCs w:val="20"/>
                <w:lang w:eastAsia="en-US"/>
              </w:rPr>
              <w:t>1,64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pPr>
            <w:r>
              <w:rPr>
                <w:sz w:val="20"/>
                <w:szCs w:val="20"/>
                <w:lang w:eastAsia="en-US"/>
              </w:rPr>
              <w:t>1,64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1,64</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4.</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Очищено канализационных стоков</w:t>
            </w:r>
          </w:p>
        </w:tc>
        <w:tc>
          <w:tcPr>
            <w:tcW w:w="1134"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rPr>
            </w:pPr>
            <w:r>
              <w:rPr>
                <w:sz w:val="20"/>
                <w:szCs w:val="20"/>
              </w:rPr>
              <w:t>тыс. м3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306,6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382,8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212,6</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243,0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273,4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235,4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291,5</w:t>
            </w:r>
          </w:p>
        </w:tc>
      </w:tr>
      <w:tr w:rsidR="00CF0324">
        <w:tc>
          <w:tcPr>
            <w:tcW w:w="563"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5.</w:t>
            </w:r>
          </w:p>
        </w:tc>
        <w:tc>
          <w:tcPr>
            <w:tcW w:w="2947"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Удельный вес площади оборудованной канализацией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12,2</w:t>
            </w:r>
          </w:p>
        </w:tc>
      </w:tr>
    </w:tbl>
    <w:p w:rsidR="00CF0324" w:rsidRDefault="00124A10">
      <w:pPr>
        <w:spacing w:before="240" w:line="276" w:lineRule="auto"/>
        <w:ind w:firstLine="708"/>
        <w:jc w:val="both"/>
      </w:pPr>
      <w:r>
        <w:t xml:space="preserve">В числе проблемных вопросов – недостаточное количество водоочистных и канализационно-очистных сооружений. </w:t>
      </w:r>
    </w:p>
    <w:p w:rsidR="00CF0324" w:rsidRDefault="00124A10">
      <w:pPr>
        <w:spacing w:line="276" w:lineRule="auto"/>
        <w:ind w:firstLine="708"/>
        <w:jc w:val="both"/>
      </w:pPr>
      <w:r>
        <w:t>Из 27 населенных пунктов района только в 9 населенных пунктах очистка воды соответствуют всем технико-эксплуатационным требованиям. При этом в населенных пунктах с численностью более 100 жителей (д.Юмас, п.Ямки, с.Алтай, д.Кама, п.Половинка, п.Шугур, п.Дальний, п.Мулымья, п.Назарово, п.Чантырья, п.Ягодный), в которых проживает 18% населения района, водоочистные сооружения отсутствуют.</w:t>
      </w:r>
    </w:p>
    <w:p w:rsidR="00CF0324" w:rsidRDefault="00124A10">
      <w:pPr>
        <w:spacing w:line="276" w:lineRule="auto"/>
        <w:ind w:firstLine="708"/>
        <w:jc w:val="both"/>
      </w:pPr>
      <w:r>
        <w:t>Тепловые и водопроводные сети имеют износ более 30%, канализационные сети имеют высокий процент износа более 65%.</w:t>
      </w:r>
    </w:p>
    <w:p w:rsidR="00CF0324" w:rsidRDefault="00124A10">
      <w:pPr>
        <w:spacing w:line="276" w:lineRule="auto"/>
        <w:ind w:firstLine="708"/>
        <w:jc w:val="both"/>
      </w:pPr>
      <w:r>
        <w:t>Тарифы на коммунальные услуги являются одними из самых высоких в автономном округе и составляют:</w:t>
      </w:r>
    </w:p>
    <w:tbl>
      <w:tblPr>
        <w:tblW w:w="9845" w:type="dxa"/>
        <w:tblInd w:w="113" w:type="dxa"/>
        <w:tblLayout w:type="fixed"/>
        <w:tblLook w:val="04A0" w:firstRow="1" w:lastRow="0" w:firstColumn="1" w:lastColumn="0" w:noHBand="0" w:noVBand="1"/>
      </w:tblPr>
      <w:tblGrid>
        <w:gridCol w:w="562"/>
        <w:gridCol w:w="2193"/>
        <w:gridCol w:w="1225"/>
        <w:gridCol w:w="1327"/>
        <w:gridCol w:w="1275"/>
        <w:gridCol w:w="1493"/>
        <w:gridCol w:w="1770"/>
      </w:tblGrid>
      <w:tr w:rsidR="00CF0324">
        <w:trPr>
          <w:trHeight w:val="1306"/>
        </w:trPr>
        <w:tc>
          <w:tcPr>
            <w:tcW w:w="562"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2"/>
                <w:szCs w:val="22"/>
              </w:rPr>
            </w:pPr>
            <w:r>
              <w:rPr>
                <w:sz w:val="22"/>
                <w:szCs w:val="22"/>
              </w:rPr>
              <w:t xml:space="preserve">№ п/п </w:t>
            </w:r>
          </w:p>
        </w:tc>
        <w:tc>
          <w:tcPr>
            <w:tcW w:w="2193" w:type="dxa"/>
            <w:tcBorders>
              <w:top w:val="single" w:sz="4" w:space="0" w:color="000000"/>
              <w:left w:val="none" w:sz="255" w:space="0" w:color="FFFFFF"/>
              <w:bottom w:val="single" w:sz="4" w:space="0" w:color="000000"/>
              <w:right w:val="single" w:sz="4" w:space="0" w:color="000000"/>
            </w:tcBorders>
            <w:vAlign w:val="center"/>
          </w:tcPr>
          <w:p w:rsidR="00CF0324" w:rsidRDefault="00124A10">
            <w:pPr>
              <w:jc w:val="center"/>
              <w:rPr>
                <w:color w:val="000000"/>
                <w:sz w:val="22"/>
                <w:szCs w:val="22"/>
              </w:rPr>
            </w:pPr>
            <w:r>
              <w:rPr>
                <w:color w:val="000000"/>
                <w:sz w:val="22"/>
                <w:szCs w:val="22"/>
              </w:rPr>
              <w:t>Поселение</w:t>
            </w:r>
          </w:p>
        </w:tc>
        <w:tc>
          <w:tcPr>
            <w:tcW w:w="1225" w:type="dxa"/>
            <w:tcBorders>
              <w:top w:val="single" w:sz="4" w:space="0" w:color="000000"/>
              <w:left w:val="none" w:sz="255" w:space="0" w:color="FFFFFF"/>
              <w:bottom w:val="single" w:sz="4" w:space="0" w:color="000000"/>
              <w:right w:val="none" w:sz="255" w:space="0" w:color="FFFFFF"/>
            </w:tcBorders>
            <w:vAlign w:val="center"/>
          </w:tcPr>
          <w:p w:rsidR="00CF0324" w:rsidRDefault="00124A10">
            <w:pPr>
              <w:jc w:val="center"/>
              <w:rPr>
                <w:color w:val="000000"/>
                <w:sz w:val="22"/>
                <w:szCs w:val="22"/>
              </w:rPr>
            </w:pPr>
            <w:r>
              <w:rPr>
                <w:color w:val="000000"/>
                <w:sz w:val="22"/>
                <w:szCs w:val="22"/>
              </w:rPr>
              <w:t>тепловая энергия, руб./Гкал</w:t>
            </w:r>
          </w:p>
        </w:tc>
        <w:tc>
          <w:tcPr>
            <w:tcW w:w="1327" w:type="dxa"/>
            <w:tcBorders>
              <w:top w:val="single" w:sz="4" w:space="0" w:color="000000"/>
              <w:left w:val="single" w:sz="4" w:space="0" w:color="000000"/>
              <w:bottom w:val="single" w:sz="4" w:space="0" w:color="000000"/>
              <w:right w:val="none" w:sz="255" w:space="0" w:color="FFFFFF"/>
            </w:tcBorders>
            <w:vAlign w:val="center"/>
          </w:tcPr>
          <w:p w:rsidR="00CF0324" w:rsidRDefault="00124A10">
            <w:pPr>
              <w:jc w:val="center"/>
              <w:rPr>
                <w:color w:val="000000"/>
                <w:sz w:val="22"/>
                <w:szCs w:val="22"/>
              </w:rPr>
            </w:pPr>
            <w:r>
              <w:rPr>
                <w:color w:val="000000"/>
                <w:sz w:val="22"/>
                <w:szCs w:val="22"/>
              </w:rPr>
              <w:t>водоснабжение, руб./м3</w:t>
            </w:r>
          </w:p>
        </w:tc>
        <w:tc>
          <w:tcPr>
            <w:tcW w:w="1275"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color w:val="000000"/>
                <w:sz w:val="22"/>
                <w:szCs w:val="22"/>
              </w:rPr>
            </w:pPr>
            <w:r>
              <w:rPr>
                <w:color w:val="000000"/>
                <w:sz w:val="22"/>
                <w:szCs w:val="22"/>
              </w:rPr>
              <w:t>водоотведение, руб./м3</w:t>
            </w:r>
          </w:p>
        </w:tc>
        <w:tc>
          <w:tcPr>
            <w:tcW w:w="1493" w:type="dxa"/>
            <w:tcBorders>
              <w:top w:val="single" w:sz="4" w:space="0" w:color="000000"/>
              <w:left w:val="none" w:sz="255" w:space="0" w:color="FFFFFF"/>
              <w:bottom w:val="single" w:sz="4" w:space="0" w:color="000000"/>
              <w:right w:val="single" w:sz="4" w:space="0" w:color="000000"/>
            </w:tcBorders>
            <w:vAlign w:val="center"/>
          </w:tcPr>
          <w:p w:rsidR="00CF0324" w:rsidRDefault="00124A10">
            <w:pPr>
              <w:rPr>
                <w:color w:val="000000"/>
                <w:sz w:val="22"/>
                <w:szCs w:val="22"/>
              </w:rPr>
            </w:pPr>
            <w:r>
              <w:rPr>
                <w:color w:val="000000"/>
                <w:sz w:val="22"/>
                <w:szCs w:val="22"/>
              </w:rPr>
              <w:t>электроэнергия, руб./МВтч</w:t>
            </w:r>
          </w:p>
        </w:tc>
        <w:tc>
          <w:tcPr>
            <w:tcW w:w="1770" w:type="dxa"/>
            <w:tcBorders>
              <w:top w:val="single" w:sz="4" w:space="0" w:color="000000"/>
              <w:left w:val="none" w:sz="255" w:space="0" w:color="FFFFFF"/>
              <w:bottom w:val="single" w:sz="4" w:space="0" w:color="000000"/>
              <w:right w:val="single" w:sz="4" w:space="0" w:color="000000"/>
            </w:tcBorders>
            <w:vAlign w:val="center"/>
          </w:tcPr>
          <w:p w:rsidR="00CF0324" w:rsidRDefault="00124A10">
            <w:pPr>
              <w:jc w:val="center"/>
              <w:rPr>
                <w:color w:val="000000"/>
                <w:sz w:val="22"/>
                <w:szCs w:val="22"/>
              </w:rPr>
            </w:pPr>
            <w:r>
              <w:rPr>
                <w:color w:val="000000"/>
                <w:sz w:val="22"/>
                <w:szCs w:val="22"/>
              </w:rPr>
              <w:t>обращение с твердыми коммунальными отходами, руб./м3</w:t>
            </w:r>
          </w:p>
        </w:tc>
      </w:tr>
      <w:tr w:rsidR="00CF0324">
        <w:trPr>
          <w:trHeight w:val="315"/>
        </w:trPr>
        <w:tc>
          <w:tcPr>
            <w:tcW w:w="562" w:type="dxa"/>
            <w:tcBorders>
              <w:top w:val="single" w:sz="4" w:space="0" w:color="000000"/>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1</w:t>
            </w:r>
          </w:p>
        </w:tc>
        <w:tc>
          <w:tcPr>
            <w:tcW w:w="2193" w:type="dxa"/>
            <w:tcBorders>
              <w:top w:val="single" w:sz="4" w:space="0" w:color="000000"/>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Кондинский район</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5 088,75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102,46*</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147,42 </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single" w:sz="4" w:space="0" w:color="000000"/>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2</w:t>
            </w:r>
          </w:p>
        </w:tc>
        <w:tc>
          <w:tcPr>
            <w:tcW w:w="2193" w:type="dxa"/>
            <w:tcBorders>
              <w:top w:val="single" w:sz="4" w:space="0" w:color="000000"/>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гп. Междуреченский</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4 931,42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103,75*</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139,98 </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3</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color w:val="000000"/>
                <w:sz w:val="22"/>
                <w:szCs w:val="22"/>
              </w:rPr>
            </w:pPr>
            <w:r>
              <w:rPr>
                <w:sz w:val="22"/>
                <w:szCs w:val="22"/>
              </w:rPr>
              <w:t xml:space="preserve">гп. </w:t>
            </w:r>
            <w:r>
              <w:rPr>
                <w:color w:val="000000"/>
                <w:sz w:val="22"/>
                <w:szCs w:val="22"/>
              </w:rPr>
              <w:t>Кондинское</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4 677,57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98,50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4</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гп. Луговой</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5 703,75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89,50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5</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гп. Куминский</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4 158,44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97,78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132,02 </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6</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гп. Мортка</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5 040,50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120,89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198,62 </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7</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сп. Леуши</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7 359,36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96,11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8</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сп. Мулымья</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2 902,01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159,05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87,48 </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9</w:t>
            </w:r>
          </w:p>
        </w:tc>
        <w:tc>
          <w:tcPr>
            <w:tcW w:w="2193" w:type="dxa"/>
            <w:tcBorders>
              <w:top w:val="none" w:sz="255" w:space="0" w:color="FFFFFF"/>
              <w:left w:val="none" w:sz="255" w:space="0" w:color="FFFFFF"/>
              <w:bottom w:val="single" w:sz="4" w:space="0" w:color="000000"/>
              <w:right w:val="single" w:sz="4" w:space="0" w:color="000000"/>
            </w:tcBorders>
            <w:vAlign w:val="center"/>
          </w:tcPr>
          <w:p w:rsidR="00CF0324" w:rsidRDefault="00124A10">
            <w:pPr>
              <w:rPr>
                <w:sz w:val="22"/>
                <w:szCs w:val="22"/>
              </w:rPr>
            </w:pPr>
            <w:r>
              <w:rPr>
                <w:sz w:val="22"/>
                <w:szCs w:val="22"/>
              </w:rPr>
              <w:t xml:space="preserve">сп. Половинка </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10</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сп. Шугур</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12 330,77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57,43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r w:rsidR="00CF0324">
        <w:trPr>
          <w:trHeight w:val="315"/>
        </w:trPr>
        <w:tc>
          <w:tcPr>
            <w:tcW w:w="562" w:type="dxa"/>
            <w:tcBorders>
              <w:top w:val="none" w:sz="255" w:space="0" w:color="FFFFFF"/>
              <w:left w:val="single" w:sz="4" w:space="0" w:color="000000"/>
              <w:bottom w:val="single" w:sz="4" w:space="0" w:color="000000"/>
              <w:right w:val="single" w:sz="4" w:space="0" w:color="000000"/>
            </w:tcBorders>
            <w:noWrap/>
            <w:vAlign w:val="center"/>
          </w:tcPr>
          <w:p w:rsidR="00CF0324" w:rsidRDefault="00124A10">
            <w:pPr>
              <w:jc w:val="center"/>
              <w:rPr>
                <w:sz w:val="22"/>
                <w:szCs w:val="22"/>
              </w:rPr>
            </w:pPr>
            <w:r>
              <w:rPr>
                <w:sz w:val="22"/>
                <w:szCs w:val="22"/>
              </w:rPr>
              <w:t>11</w:t>
            </w:r>
          </w:p>
        </w:tc>
        <w:tc>
          <w:tcPr>
            <w:tcW w:w="2193" w:type="dxa"/>
            <w:tcBorders>
              <w:top w:val="none" w:sz="255" w:space="0" w:color="FFFFFF"/>
              <w:left w:val="none" w:sz="255" w:space="0" w:color="FFFFFF"/>
              <w:bottom w:val="single" w:sz="4" w:space="0" w:color="000000"/>
              <w:right w:val="single" w:sz="4" w:space="0" w:color="000000"/>
            </w:tcBorders>
            <w:shd w:val="clear" w:color="000000" w:fill="FFFFFF"/>
            <w:vAlign w:val="center"/>
          </w:tcPr>
          <w:p w:rsidR="00CF0324" w:rsidRDefault="00124A10">
            <w:pPr>
              <w:rPr>
                <w:sz w:val="22"/>
                <w:szCs w:val="22"/>
              </w:rPr>
            </w:pPr>
            <w:r>
              <w:rPr>
                <w:sz w:val="22"/>
                <w:szCs w:val="22"/>
              </w:rPr>
              <w:t>сп. Болчары</w:t>
            </w:r>
          </w:p>
        </w:tc>
        <w:tc>
          <w:tcPr>
            <w:tcW w:w="122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5 017,90 </w:t>
            </w:r>
          </w:p>
        </w:tc>
        <w:tc>
          <w:tcPr>
            <w:tcW w:w="1327"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58,08 </w:t>
            </w:r>
          </w:p>
        </w:tc>
        <w:tc>
          <w:tcPr>
            <w:tcW w:w="1275"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w:t>
            </w:r>
          </w:p>
        </w:tc>
        <w:tc>
          <w:tcPr>
            <w:tcW w:w="1493"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8 723,49 </w:t>
            </w:r>
          </w:p>
        </w:tc>
        <w:tc>
          <w:tcPr>
            <w:tcW w:w="1770" w:type="dxa"/>
            <w:tcBorders>
              <w:top w:val="none" w:sz="255" w:space="0" w:color="FFFFFF"/>
              <w:left w:val="none" w:sz="255" w:space="0" w:color="FFFFFF"/>
              <w:bottom w:val="single" w:sz="4" w:space="0" w:color="000000"/>
              <w:right w:val="single" w:sz="4" w:space="0" w:color="000000"/>
            </w:tcBorders>
            <w:noWrap/>
            <w:vAlign w:val="center"/>
          </w:tcPr>
          <w:p w:rsidR="00CF0324" w:rsidRDefault="00124A10">
            <w:pPr>
              <w:jc w:val="center"/>
              <w:rPr>
                <w:sz w:val="22"/>
                <w:szCs w:val="22"/>
              </w:rPr>
            </w:pPr>
            <w:r>
              <w:rPr>
                <w:sz w:val="22"/>
                <w:szCs w:val="22"/>
              </w:rPr>
              <w:t xml:space="preserve">960,19 </w:t>
            </w:r>
          </w:p>
        </w:tc>
      </w:tr>
    </w:tbl>
    <w:p w:rsidR="00CF0324" w:rsidRDefault="00124A10">
      <w:pPr>
        <w:spacing w:before="240" w:line="276" w:lineRule="auto"/>
        <w:ind w:firstLine="708"/>
        <w:jc w:val="both"/>
      </w:pPr>
      <w:r>
        <w:t xml:space="preserve">Жилищно-коммунальная инфраструктура Кондинского района и ее техническое состояние характеризуется высокими удельными затратами на производство услуг; низким уровнем оснащенности жилищного фонда современными локальными источниками теплоснабжения, сооружениями очистки воды и сточных вод; высоким уровнем износа объектов ЖКХ, что обусловливает значительные потери и высокие эксплуатационные расходы. Среди муниципальных образований Ханты-Мансийского </w:t>
      </w:r>
      <w:r>
        <w:lastRenderedPageBreak/>
        <w:t>автономного округа - Югры уровень комплексно благоустроенного жилищного фонда в Кондинском районе самый низкий.</w:t>
      </w:r>
    </w:p>
    <w:p w:rsidR="00CF0324" w:rsidRDefault="00124A10">
      <w:pPr>
        <w:spacing w:line="276" w:lineRule="auto"/>
        <w:ind w:firstLine="708"/>
        <w:jc w:val="both"/>
      </w:pPr>
      <w:r>
        <w:t>Несмотря на осуществляемые мероприятия, отрасль продолжает оставаться убыточной, сумма задолженности населения перед предприятиями ЖКХ не снижается, доля объектов, оборудованных приборами учета не высока, процесс перевода котельных на экономичные виды топлива осуществляется медленными темпами.</w:t>
      </w:r>
    </w:p>
    <w:p w:rsidR="00CF0324" w:rsidRDefault="00124A10">
      <w:pPr>
        <w:pStyle w:val="2"/>
        <w:spacing w:before="240" w:after="240"/>
        <w:jc w:val="left"/>
        <w:rPr>
          <w:b w:val="0"/>
          <w:i/>
          <w:sz w:val="24"/>
        </w:rPr>
      </w:pPr>
      <w:bookmarkStart w:id="13" w:name="_Toc13"/>
      <w:r>
        <w:rPr>
          <w:b w:val="0"/>
          <w:i/>
          <w:sz w:val="24"/>
        </w:rPr>
        <w:t>1.10. Строительство</w:t>
      </w:r>
      <w:bookmarkEnd w:id="13"/>
    </w:p>
    <w:p w:rsidR="00CF0324" w:rsidRDefault="00124A10">
      <w:pPr>
        <w:spacing w:before="240" w:line="276" w:lineRule="auto"/>
        <w:ind w:firstLine="708"/>
        <w:jc w:val="both"/>
      </w:pPr>
      <w:r>
        <w:t xml:space="preserve">Жилищный фонд Кондинского района составляет 914,3 тыс. кв. м., за последние 7 лет увеличился на 6,4%. Доля ветхого и аварийного жилья снизилась с 9,0% до 7,6%. На 01.01.2023 в Кондинском районе в очереди на улучшение жилищных условий состояло 2,9% от общего количества населения. </w:t>
      </w:r>
      <w:r>
        <w:rPr>
          <w:bCs/>
        </w:rPr>
        <w:t>Реализация муниципальной программы «</w:t>
      </w:r>
      <w:r>
        <w:t>Обеспечение доступным и комфортным жильем жителей Кондинского района на 2019-2025 годы и период до 2030 года</w:t>
      </w:r>
      <w:r>
        <w:rPr>
          <w:bCs/>
        </w:rPr>
        <w:t xml:space="preserve">» помогла сформировать новый сегмент жилья эконом-класса, в первую очередь малоэтажного, с целью повышения доступности жилья для семей со средним уровнем дохода. </w:t>
      </w:r>
      <w:r>
        <w:rPr>
          <w:bCs/>
          <w:lang w:eastAsia="en-US"/>
        </w:rPr>
        <w:t>Однако сдерживающим фактором в ее реализации остается ограничение финансовых ресурсов, вследствие чего отсутствует возможность выкупа готового жилья в рамках государственных и муниципальных программ для отдельных категорий граждан.</w:t>
      </w:r>
    </w:p>
    <w:p w:rsidR="00CF0324" w:rsidRDefault="00124A10">
      <w:pPr>
        <w:pStyle w:val="2a"/>
        <w:shd w:val="clear" w:color="auto" w:fill="FEFEFE"/>
        <w:tabs>
          <w:tab w:val="right" w:pos="9344"/>
        </w:tabs>
        <w:spacing w:before="240" w:after="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1.22. – </w:t>
      </w:r>
      <w:r>
        <w:rPr>
          <w:rFonts w:ascii="Times New Roman" w:hAnsi="Times New Roman" w:cs="Times New Roman"/>
          <w:sz w:val="24"/>
          <w:szCs w:val="24"/>
        </w:rPr>
        <w:t xml:space="preserve">показатели развития строительного рынка, в том числе: </w:t>
      </w:r>
      <w:r>
        <w:rPr>
          <w:rFonts w:ascii="Times New Roman" w:eastAsia="Times New Roman" w:hAnsi="Times New Roman" w:cs="Times New Roman"/>
          <w:sz w:val="24"/>
          <w:szCs w:val="24"/>
        </w:rPr>
        <w:t>динамика выполнения целевых показателей строительства Стратегии социально-экономического развития Кондинского района Ханты-Мансийского автономного округа – Югры на период до 2030 года</w:t>
      </w:r>
      <w:r>
        <w:rPr>
          <w:rFonts w:ascii="Times New Roman" w:hAnsi="Times New Roman" w:cs="Times New Roman"/>
          <w:sz w:val="24"/>
          <w:szCs w:val="24"/>
        </w:rPr>
        <w:t>:</w:t>
      </w:r>
    </w:p>
    <w:tbl>
      <w:tblPr>
        <w:tblW w:w="94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714"/>
        <w:gridCol w:w="755"/>
        <w:gridCol w:w="750"/>
        <w:gridCol w:w="750"/>
        <w:gridCol w:w="759"/>
        <w:gridCol w:w="700"/>
        <w:gridCol w:w="696"/>
        <w:gridCol w:w="855"/>
        <w:gridCol w:w="763"/>
      </w:tblGrid>
      <w:tr w:rsidR="00CF0324">
        <w:tc>
          <w:tcPr>
            <w:tcW w:w="2694"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124"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694"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70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1.Средняя обеспеченность населения жильем на конец года, кв. м.</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27,4</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27,9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28,9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29,7</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30,5</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30,5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30,5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111</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27,2</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27,8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28,5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29,0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29,2</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29,7</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30,1</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101</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111</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2.Общая площадь жилых помещений, приходящаяся в среднем на 1 жителя в автономном округе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20,7</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21,3</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21,4</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21,6</w:t>
            </w:r>
            <w:r>
              <w:rPr>
                <w:rStyle w:val="16"/>
                <w:rFonts w:eastAsia="Times New Roman"/>
                <w:sz w:val="20"/>
                <w:szCs w:val="20"/>
                <w:lang w:eastAsia="en-US"/>
              </w:rPr>
              <w:footnoteReference w:id="23"/>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104</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rPr>
              <w:t>Площадь  жилищного фонда, тыс. кв. м.</w:t>
            </w:r>
            <w:r>
              <w:rPr>
                <w:rStyle w:val="16"/>
                <w:rFonts w:eastAsia="Times New Roman"/>
                <w:sz w:val="20"/>
                <w:szCs w:val="20"/>
              </w:rPr>
              <w:footnoteReference w:id="24"/>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859,7</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867,9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883,5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893,6</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899,4</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908,5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914,3</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100,6</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106,4</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Ввод жилья, тыс. кв.м.</w:t>
            </w:r>
            <w:r>
              <w:rPr>
                <w:rStyle w:val="16"/>
                <w:rFonts w:eastAsia="Times New Roman"/>
                <w:sz w:val="20"/>
                <w:szCs w:val="20"/>
                <w:lang w:eastAsia="en-US"/>
              </w:rPr>
              <w:footnoteReference w:id="25"/>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13,8</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17,1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18,3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15,2</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13,2</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15,8</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14,0</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88,6</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101,4</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4.1. в том числе: ИЖС, тыс. кв.м.</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9,6</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10,9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9,8</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7,2</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8,2</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5,7</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69,5</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59,4</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5.Снос ветхого жилья, тыс. кв. м.</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3,5</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9,2</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5,9</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67,8</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147,5</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6.Число семей, состоящих на учете в качестве нуждающихся в жилых помещениях на конец года, </w:t>
            </w:r>
            <w:r>
              <w:rPr>
                <w:rFonts w:ascii="Times New Roman" w:eastAsia="Times New Roman" w:hAnsi="Times New Roman" w:cs="Times New Roman"/>
                <w:sz w:val="20"/>
                <w:szCs w:val="20"/>
                <w:lang w:eastAsia="en-US"/>
              </w:rPr>
              <w:lastRenderedPageBreak/>
              <w:t>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983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961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934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927</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921</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917</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95,4</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89,0</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7.Число семей, получивших жилые помещения и улучшивших жилищные условия в отчетном году,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149</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128</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194</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166</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151</w:t>
            </w:r>
            <w:r>
              <w:rPr>
                <w:rStyle w:val="16"/>
                <w:rFonts w:eastAsia="Times New Roman"/>
                <w:sz w:val="20"/>
                <w:szCs w:val="20"/>
                <w:lang w:eastAsia="en-US"/>
              </w:rPr>
              <w:footnoteReference w:id="26"/>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101,3</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8.Доля ветхого и аварийного жилищного фонда,%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8,8</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8,4</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7,6</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7,6</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101,3</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84,4</w:t>
            </w:r>
          </w:p>
        </w:tc>
      </w:tr>
      <w:tr w:rsidR="00CF0324">
        <w:tc>
          <w:tcPr>
            <w:tcW w:w="269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9.Инвестиции в строительство жилья, млн. руб.</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515,0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243,3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353,9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367,3</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344,1</w:t>
            </w:r>
          </w:p>
        </w:tc>
        <w:tc>
          <w:tcPr>
            <w:tcW w:w="70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519,1</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162,4</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31,3</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31,5</w:t>
            </w:r>
          </w:p>
        </w:tc>
      </w:tr>
    </w:tbl>
    <w:p w:rsidR="00CF0324" w:rsidRDefault="00124A10">
      <w:pPr>
        <w:spacing w:before="240" w:line="276" w:lineRule="auto"/>
        <w:ind w:firstLine="708"/>
        <w:jc w:val="both"/>
      </w:pPr>
      <w:r>
        <w:t>Строительством жилья занимается 22 субъекта предпринимательства в районе, более половины зарегистрированы в пгт. Междуреченский.</w:t>
      </w:r>
    </w:p>
    <w:p w:rsidR="00CF0324" w:rsidRDefault="00124A10">
      <w:pPr>
        <w:spacing w:line="276" w:lineRule="auto"/>
        <w:ind w:firstLine="708"/>
        <w:jc w:val="both"/>
      </w:pPr>
      <w:r>
        <w:t>Стоимость одного квадратного метра жилья в Кондинском районе в капитальном исполнении сложилась 67,6 тыс. руб. (рисунок 1.9.), что ниже среднеокружного значения 78,6 тыс. руб.</w:t>
      </w:r>
      <w:r>
        <w:rPr>
          <w:rStyle w:val="16"/>
        </w:rPr>
        <w:footnoteReference w:id="27"/>
      </w:r>
      <w:r>
        <w:t xml:space="preserve"> Преимущество Кондинского района в сравнении с другими муниципалитетами Ханты-Мансийского автономного округа - Югры по развитию домостроения заключается в территориальном расположении вблизи производств строительных материалов юга Тюменской и Свердловской областей.</w:t>
      </w:r>
    </w:p>
    <w:p w:rsidR="00CF0324" w:rsidRDefault="00BA49AD">
      <w:pPr>
        <w:spacing w:before="240" w:line="276" w:lineRule="auto"/>
        <w:jc w:val="both"/>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3"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DA91D" id="AutoShape 1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Bc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JpwwXCMCAABIBAAADgAAAAAAAAAAAAAAAAAuAgAAZHJzL2Uyb0RvYy54bWxQSwEC&#10;LQAUAAYACAAAACEA640e+9gAAAAFAQAADwAAAAAAAAAAAAAAAAB9BAAAZHJzL2Rvd25yZXYueG1s&#10;UEsFBgAAAAAEAAQA8wAAAIIFAAAAAA==&#10;">
                <v:stroke joinstyle="round"/>
                <o:lock v:ext="edit" selection="t"/>
              </v:rect>
            </w:pict>
          </mc:Fallback>
        </mc:AlternateContent>
      </w:r>
      <w:r>
        <w:rPr>
          <w:noProof/>
        </w:rPr>
        <w:drawing>
          <wp:inline distT="0" distB="0" distL="0" distR="0">
            <wp:extent cx="5791200" cy="180086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1800860"/>
                    </a:xfrm>
                    <a:prstGeom prst="rect">
                      <a:avLst/>
                    </a:prstGeom>
                    <a:noFill/>
                    <a:ln>
                      <a:noFill/>
                    </a:ln>
                  </pic:spPr>
                </pic:pic>
              </a:graphicData>
            </a:graphic>
          </wp:inline>
        </w:drawing>
      </w:r>
    </w:p>
    <w:p w:rsidR="00CF0324" w:rsidRDefault="00124A10">
      <w:pPr>
        <w:spacing w:before="240" w:line="276" w:lineRule="auto"/>
        <w:ind w:firstLine="708"/>
        <w:jc w:val="both"/>
        <w:rPr>
          <w:i/>
        </w:rPr>
      </w:pPr>
      <w:r>
        <w:t xml:space="preserve">Рисунок 1.9. </w:t>
      </w:r>
      <w:r>
        <w:rPr>
          <w:i/>
        </w:rPr>
        <w:t>Сложившаяся рыночная стоимость в Кондинском районе за 1 кв.м. жилья, тыс. руб., за 2016-2022 годы</w:t>
      </w:r>
      <w:r>
        <w:rPr>
          <w:rStyle w:val="16"/>
          <w:i/>
        </w:rPr>
        <w:footnoteReference w:id="28"/>
      </w:r>
    </w:p>
    <w:p w:rsidR="00CF0324" w:rsidRDefault="00124A10">
      <w:pPr>
        <w:spacing w:before="240" w:line="276" w:lineRule="auto"/>
        <w:ind w:firstLine="708"/>
        <w:jc w:val="both"/>
      </w:pPr>
      <w:r>
        <w:t>В потенциале развитие строительного рынка района с использованием местных ресурсов с применением новых технологий деревянного домостроения. Внедрение программ ипотечного кредитования с использованием механизма бюджетной компенсации процентной ставки, будут способствовать росту объемов индивидуального жилищного строительства.</w:t>
      </w:r>
    </w:p>
    <w:p w:rsidR="00CF0324" w:rsidRDefault="00124A10">
      <w:pPr>
        <w:pStyle w:val="2"/>
        <w:spacing w:before="240" w:after="240"/>
        <w:jc w:val="left"/>
        <w:rPr>
          <w:b w:val="0"/>
          <w:i/>
          <w:sz w:val="24"/>
        </w:rPr>
      </w:pPr>
      <w:bookmarkStart w:id="14" w:name="_Toc14"/>
      <w:r>
        <w:rPr>
          <w:b w:val="0"/>
          <w:i/>
          <w:sz w:val="24"/>
        </w:rPr>
        <w:t>1.11. Потребительский рынок</w:t>
      </w:r>
      <w:bookmarkEnd w:id="14"/>
    </w:p>
    <w:p w:rsidR="00CF0324" w:rsidRDefault="00124A10">
      <w:pPr>
        <w:shd w:val="clear" w:color="auto" w:fill="FFFFFF"/>
        <w:spacing w:line="276" w:lineRule="auto"/>
        <w:ind w:firstLine="708"/>
        <w:jc w:val="both"/>
      </w:pPr>
      <w:r>
        <w:t>Предприятия стационарной розничной торговой сети Кондинского района по состоянию на 01.01.2023 представлены 287 магазинами общей площадью</w:t>
      </w:r>
      <w:r>
        <w:rPr>
          <w:color w:val="FF0000"/>
        </w:rPr>
        <w:t xml:space="preserve"> </w:t>
      </w:r>
      <w:r>
        <w:t xml:space="preserve">31 553,5 кв.м. (в том числе, торговая площадь – 17 579,7 кв.м), 7 торговыми центрами общей  площадью </w:t>
      </w:r>
      <w:r>
        <w:lastRenderedPageBreak/>
        <w:t>1693,0 кв.м (в том числе, торговая площадь – 1 427,3 кв.м), 15 предприятиями нестационарной торговой сети общей площадью 350,5 кв.м (в том числе, торговой площадью 288,5 кв.м.),</w:t>
      </w:r>
      <w:r>
        <w:rPr>
          <w:color w:val="FF0000"/>
        </w:rPr>
        <w:t xml:space="preserve"> </w:t>
      </w:r>
      <w:r>
        <w:t>45 предприятиями общественного питания на 3 009 посадочных мест, в том числе, общедоступных - 19 на 519 посадочных мест.</w:t>
      </w:r>
    </w:p>
    <w:p w:rsidR="00CF0324" w:rsidRDefault="00124A10">
      <w:pPr>
        <w:shd w:val="clear" w:color="auto" w:fill="FFFFFF"/>
        <w:spacing w:line="276" w:lineRule="auto"/>
        <w:ind w:firstLine="708"/>
        <w:jc w:val="both"/>
      </w:pPr>
      <w:r>
        <w:t xml:space="preserve">Общая торговая площадь по состоянию на 01.01.2023 составляет 19 295,5 кв.м. (141% по сравнению с минимальным нормативом), в том числе, торговая площадь для продажи продовольственных товаров – 6 264,3 кв.м. (133%), непродовольственных товаров – </w:t>
      </w:r>
      <w:r>
        <w:rPr>
          <w:bCs/>
        </w:rPr>
        <w:t>13031,2</w:t>
      </w:r>
      <w:r>
        <w:t xml:space="preserve"> (144%).</w:t>
      </w:r>
    </w:p>
    <w:p w:rsidR="00CF0324" w:rsidRDefault="00124A10">
      <w:pPr>
        <w:spacing w:line="276" w:lineRule="auto"/>
        <w:ind w:firstLine="708"/>
        <w:jc w:val="both"/>
      </w:pPr>
      <w:r>
        <w:t>Из десяти городских и сельских поселений Кондинского района в 6 поселениях района (городские поселения Междуреченский, Мортка, Луговой, Кондинское, сельское поселение Болчары, Шугур) обеспеченность торговыми площадями выше минимального норматива.</w:t>
      </w:r>
    </w:p>
    <w:p w:rsidR="00CF0324" w:rsidRDefault="00124A10">
      <w:pPr>
        <w:spacing w:line="276" w:lineRule="auto"/>
        <w:ind w:firstLine="708"/>
        <w:jc w:val="both"/>
      </w:pPr>
      <w:r>
        <w:t>Обеспеченность торговыми площадями населения городского поселения городского поселения Куминский 75%, сельского поселения Леуши – 58%, сельского поселения Мулымья – 68%; сельского поселения Половинка – 60%.</w:t>
      </w:r>
    </w:p>
    <w:p w:rsidR="00CF0324" w:rsidRDefault="00124A10">
      <w:pPr>
        <w:spacing w:line="276" w:lineRule="auto"/>
        <w:ind w:firstLine="708"/>
        <w:jc w:val="both"/>
      </w:pPr>
      <w:r>
        <w:t>Но, несмотря на серьезную конкуренцию с сетевыми магазинами, в 2022 году было открыто 3 объекта торговли и 3 объекта общественного питания субъектами малого и среднего предпринимательства в районе.</w:t>
      </w:r>
    </w:p>
    <w:p w:rsidR="00CF0324" w:rsidRDefault="00124A10">
      <w:pPr>
        <w:spacing w:line="276" w:lineRule="auto"/>
        <w:ind w:firstLine="708"/>
        <w:jc w:val="both"/>
      </w:pPr>
      <w:r>
        <w:rPr>
          <w:iCs/>
        </w:rPr>
        <w:t>Оборот розничной торговли</w:t>
      </w:r>
      <w:r>
        <w:t xml:space="preserve"> в 2022 году по полному кругу предприятий составил 3560,7 млн. руб. (101,2% в сопоставимых ценах), увеличившись к уровню 2016 года на 52% в действующих ценах (на 4,7% в сопоставимых ценах). Каждым жителем Кондинского района в 2022 года было приобретено товаров на сумму 116,4 тыс. руб. Это свидетельствует о повышении покупательской способности населения на 4,7%. Тем не менее, оборот розничной торговли на душу населения в Кондинском районе в 2,5 раза ниже среднего значения по Ханты-Мансийскому автономному округу – Югре, по Российской Федерации (таблица 1.23.).</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1.23. – </w:t>
      </w:r>
      <w:r>
        <w:rPr>
          <w:rFonts w:ascii="Times New Roman" w:hAnsi="Times New Roman" w:cs="Times New Roman"/>
          <w:sz w:val="24"/>
          <w:szCs w:val="24"/>
        </w:rPr>
        <w:t>показатели развития потребительского рынка, в том числе:</w:t>
      </w:r>
      <w:r>
        <w:rPr>
          <w:rFonts w:ascii="Times New Roman" w:eastAsia="Times New Roman" w:hAnsi="Times New Roman" w:cs="Times New Roman"/>
          <w:sz w:val="24"/>
          <w:szCs w:val="24"/>
        </w:rPr>
        <w:t xml:space="preserve"> динамика выполнения целевых показателей развития потребительского рынка Стратегии социально-экономического развития Кондинского района Ханты-Мансийского автономного округа – Югры на период до 2030 года</w:t>
      </w:r>
      <w:r>
        <w:rPr>
          <w:rFonts w:ascii="Times New Roman" w:hAnsi="Times New Roman" w:cs="Times New Roman"/>
          <w:sz w:val="24"/>
          <w:szCs w:val="24"/>
        </w:rPr>
        <w:t>:</w:t>
      </w:r>
    </w:p>
    <w:tbl>
      <w:tblPr>
        <w:tblW w:w="98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717"/>
        <w:gridCol w:w="754"/>
        <w:gridCol w:w="749"/>
        <w:gridCol w:w="749"/>
        <w:gridCol w:w="758"/>
        <w:gridCol w:w="824"/>
        <w:gridCol w:w="716"/>
        <w:gridCol w:w="852"/>
        <w:gridCol w:w="762"/>
      </w:tblGrid>
      <w:tr w:rsidR="00CF0324">
        <w:tc>
          <w:tcPr>
            <w:tcW w:w="2943"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267"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614"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943"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7"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4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8"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82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71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52"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2"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xml:space="preserve"> Оборот розничной торговли на душу населения, тыс. руб.</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95,0</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104,5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116,0</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129,9</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144,2</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144,2</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144,2</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152</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74,3</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78,5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82,4</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86,4</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85,7</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100,1</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116,4</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116</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157</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hAnsi="Times New Roman" w:cs="Times New Roman"/>
                <w:iCs/>
                <w:sz w:val="20"/>
                <w:szCs w:val="20"/>
              </w:rPr>
              <w:t>2. Оборот розничной торговли на душу населения в автономном округе, тыс. руб.</w:t>
            </w:r>
            <w:r>
              <w:rPr>
                <w:rStyle w:val="16"/>
                <w:iCs/>
                <w:sz w:val="20"/>
                <w:szCs w:val="20"/>
              </w:rPr>
              <w:footnoteReference w:id="29"/>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224,1</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239,1</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253,5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262,1</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258,1</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288,9</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295,7</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102</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132</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hAnsi="Times New Roman" w:cs="Times New Roman"/>
                <w:iCs/>
                <w:sz w:val="20"/>
                <w:szCs w:val="20"/>
              </w:rPr>
            </w:pPr>
            <w:r>
              <w:rPr>
                <w:rFonts w:ascii="Times New Roman" w:hAnsi="Times New Roman" w:cs="Times New Roman"/>
                <w:iCs/>
                <w:sz w:val="20"/>
                <w:szCs w:val="20"/>
              </w:rPr>
              <w:t>3. Оборот розничной торговли на душу населения в Российской Федерации, тыс. руб.</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192,5</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202,6</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215,1</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229,1</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231,3</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270,6</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290,2</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107</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151</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4.Оборот общественного </w:t>
            </w:r>
            <w:r>
              <w:rPr>
                <w:rFonts w:ascii="Times New Roman" w:eastAsia="Times New Roman" w:hAnsi="Times New Roman" w:cs="Times New Roman"/>
                <w:sz w:val="20"/>
                <w:szCs w:val="20"/>
              </w:rPr>
              <w:lastRenderedPageBreak/>
              <w:t>питания на душу населения, руб.</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20,7</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20,8</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21,1</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21,3</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21,4</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21,5</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21,6</w:t>
            </w:r>
            <w:r>
              <w:rPr>
                <w:rStyle w:val="16"/>
                <w:rFonts w:eastAsia="Times New Roman"/>
                <w:sz w:val="20"/>
                <w:szCs w:val="20"/>
                <w:lang w:eastAsia="en-US"/>
              </w:rPr>
              <w:footnoteReference w:id="30"/>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104</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b/>
                <w:i/>
                <w:color w:val="00B0F0"/>
                <w:sz w:val="20"/>
                <w:szCs w:val="20"/>
              </w:rPr>
            </w:pPr>
            <w:r>
              <w:rPr>
                <w:rFonts w:ascii="Times New Roman" w:eastAsia="Times New Roman" w:hAnsi="Times New Roman" w:cs="Times New Roman"/>
                <w:b/>
                <w:i/>
                <w:color w:val="00B0F0"/>
                <w:sz w:val="20"/>
                <w:szCs w:val="20"/>
              </w:rPr>
              <w:lastRenderedPageBreak/>
              <w:t>целевые показатели (инновационный сценарий)</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9616</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10385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11320</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12339</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13450</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13450</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13450</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100</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140</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b/>
                <w:i/>
                <w:color w:val="92D050"/>
                <w:sz w:val="20"/>
                <w:szCs w:val="20"/>
              </w:rPr>
            </w:pPr>
            <w:r>
              <w:rPr>
                <w:rFonts w:ascii="Times New Roman" w:eastAsia="Times New Roman" w:hAnsi="Times New Roman" w:cs="Times New Roman"/>
                <w:b/>
                <w:i/>
                <w:color w:val="92D050"/>
                <w:sz w:val="20"/>
                <w:szCs w:val="20"/>
              </w:rPr>
              <w:t>фактические данные</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7378</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7768</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8215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8665</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8524</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10458</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11651</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111</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158</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sz w:val="20"/>
                <w:szCs w:val="20"/>
              </w:rPr>
            </w:pPr>
            <w:r>
              <w:rPr>
                <w:rFonts w:ascii="Times New Roman" w:hAnsi="Times New Roman" w:cs="Times New Roman"/>
                <w:iCs/>
                <w:sz w:val="20"/>
                <w:szCs w:val="20"/>
              </w:rPr>
              <w:t>5.Оборот общественного питания на душу населения в автономном округе, руб.</w:t>
            </w:r>
            <w:r>
              <w:rPr>
                <w:rStyle w:val="16"/>
                <w:iCs/>
                <w:sz w:val="20"/>
                <w:szCs w:val="20"/>
              </w:rPr>
              <w:footnoteReference w:id="31"/>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22425</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22475</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21799</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22134</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18259</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20699</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21883</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98</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tabs>
                <w:tab w:val="left" w:pos="993"/>
              </w:tabs>
              <w:spacing w:line="240" w:lineRule="auto"/>
              <w:jc w:val="both"/>
              <w:rPr>
                <w:rFonts w:ascii="Times New Roman" w:eastAsia="Times New Roman" w:hAnsi="Times New Roman" w:cs="Times New Roman"/>
                <w:sz w:val="20"/>
                <w:szCs w:val="20"/>
              </w:rPr>
            </w:pPr>
            <w:r>
              <w:rPr>
                <w:rFonts w:ascii="Times New Roman" w:hAnsi="Times New Roman" w:cs="Times New Roman"/>
                <w:iCs/>
                <w:sz w:val="20"/>
                <w:szCs w:val="20"/>
              </w:rPr>
              <w:t>6.Оборот общественного питания на душу населения в Российской Федерации, руб.</w:t>
            </w:r>
          </w:p>
        </w:tc>
        <w:tc>
          <w:tcPr>
            <w:tcW w:w="71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9195</w:t>
            </w:r>
          </w:p>
        </w:tc>
        <w:tc>
          <w:tcPr>
            <w:tcW w:w="75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9770</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11464</w:t>
            </w:r>
          </w:p>
        </w:tc>
        <w:tc>
          <w:tcPr>
            <w:tcW w:w="74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12435</w:t>
            </w:r>
          </w:p>
        </w:tc>
        <w:tc>
          <w:tcPr>
            <w:tcW w:w="758"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9883</w:t>
            </w:r>
          </w:p>
        </w:tc>
        <w:tc>
          <w:tcPr>
            <w:tcW w:w="82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13241</w:t>
            </w:r>
          </w:p>
        </w:tc>
        <w:tc>
          <w:tcPr>
            <w:tcW w:w="71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16019</w:t>
            </w:r>
          </w:p>
        </w:tc>
        <w:tc>
          <w:tcPr>
            <w:tcW w:w="85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121</w:t>
            </w:r>
          </w:p>
        </w:tc>
        <w:tc>
          <w:tcPr>
            <w:tcW w:w="76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174</w:t>
            </w:r>
          </w:p>
        </w:tc>
      </w:tr>
    </w:tbl>
    <w:p w:rsidR="00CF0324" w:rsidRDefault="00124A10">
      <w:pPr>
        <w:spacing w:before="240" w:line="276" w:lineRule="auto"/>
        <w:ind w:firstLine="708"/>
        <w:jc w:val="both"/>
      </w:pPr>
      <w:r>
        <w:t>Оборот общественного питания в 2022 году составил 356,3 млн. руб., на душу населения – 11,7 тыс. руб. или 158% к уровню 2016 года.</w:t>
      </w:r>
    </w:p>
    <w:p w:rsidR="00CF0324" w:rsidRDefault="00124A10">
      <w:pPr>
        <w:spacing w:line="276" w:lineRule="auto"/>
        <w:ind w:firstLine="708"/>
        <w:jc w:val="both"/>
      </w:pPr>
      <w:r>
        <w:t>Объем реализации платных услуг на 1 жителя в Кондинском районе составил 13,5 тыс. руб., что в 6 раз ниже среднеокружного значения (таблица 1.24.), это свидетельствует о недостаточном развитии сферы услуг. Даже в районном центре наблюдается недостаток парикмахерских, химчисток, ремонта обуви. Основными причинами слабого развития сектора рыночных услуг являются: недостаток профессиональных знаний местных жителей для занятий бизнесом; отсутствие подготовленных производственных площадей с подведенными инженерными коммуникациями и др.</w:t>
      </w:r>
    </w:p>
    <w:p w:rsidR="00CF0324" w:rsidRDefault="00124A10">
      <w:pPr>
        <w:spacing w:after="240" w:line="276" w:lineRule="auto"/>
        <w:jc w:val="both"/>
      </w:pPr>
      <w:r>
        <w:t>Таблица 1.24. – показатели развития рынка платных услуг:</w:t>
      </w:r>
    </w:p>
    <w:tbl>
      <w:tblPr>
        <w:tblW w:w="9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14"/>
        <w:gridCol w:w="755"/>
        <w:gridCol w:w="750"/>
        <w:gridCol w:w="750"/>
        <w:gridCol w:w="759"/>
        <w:gridCol w:w="826"/>
        <w:gridCol w:w="696"/>
        <w:gridCol w:w="855"/>
        <w:gridCol w:w="763"/>
      </w:tblGrid>
      <w:tr w:rsidR="00CF0324">
        <w:tc>
          <w:tcPr>
            <w:tcW w:w="2802"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250"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802"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82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Объем платных услуг на душу населения, тыс. руб.</w:t>
            </w:r>
            <w:r>
              <w:rPr>
                <w:rStyle w:val="16"/>
                <w:iCs/>
                <w:sz w:val="20"/>
                <w:szCs w:val="20"/>
              </w:rPr>
              <w:footnoteReference w:id="32"/>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11,5</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9,8</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12,8</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13,5</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105</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х</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hAnsi="Times New Roman" w:cs="Times New Roman"/>
                <w:iCs/>
                <w:sz w:val="20"/>
                <w:szCs w:val="20"/>
              </w:rPr>
              <w:t>2.Объем платных услуг на душу населения в автономном округе, тыс. руб.</w:t>
            </w:r>
            <w:r>
              <w:rPr>
                <w:rStyle w:val="16"/>
                <w:iCs/>
                <w:sz w:val="20"/>
                <w:szCs w:val="20"/>
              </w:rPr>
              <w:footnoteReference w:id="33"/>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61,7</w:t>
            </w:r>
            <w:r>
              <w:rPr>
                <w:rStyle w:val="16"/>
              </w:rPr>
              <w:footnoteReference w:id="34"/>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65,3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68,4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72,1</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64,8</w:t>
            </w:r>
          </w:p>
        </w:tc>
        <w:tc>
          <w:tcPr>
            <w:tcW w:w="82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78,9</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85,6</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108</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139</w:t>
            </w:r>
          </w:p>
        </w:tc>
      </w:tr>
    </w:tbl>
    <w:p w:rsidR="00CF0324" w:rsidRDefault="00124A10">
      <w:pPr>
        <w:spacing w:line="276" w:lineRule="auto"/>
        <w:ind w:firstLine="708"/>
        <w:jc w:val="both"/>
      </w:pPr>
      <w:r>
        <w:t>В сфере торговли и бытового обслуживания населения Кондинского района работают субъекты предпринимательства района, формирующие доходную часть местного бюджета и обеспечивающие занятость населения. В то же время потенциал роста в части обеспеченности современными торговыми площадями, качества и доступности обслуживания, особенно в сельских населенных пунктах, реализован не полностью.</w:t>
      </w:r>
    </w:p>
    <w:p w:rsidR="00CF0324" w:rsidRPr="00BA49AD" w:rsidRDefault="00124A10">
      <w:pPr>
        <w:pStyle w:val="2"/>
        <w:spacing w:before="240" w:after="240"/>
        <w:jc w:val="left"/>
        <w:rPr>
          <w:b w:val="0"/>
          <w:i/>
          <w:sz w:val="24"/>
          <w:lang w:val="ru-RU"/>
        </w:rPr>
      </w:pPr>
      <w:bookmarkStart w:id="15" w:name="_Toc15"/>
      <w:r w:rsidRPr="00BA49AD">
        <w:rPr>
          <w:b w:val="0"/>
          <w:i/>
          <w:sz w:val="24"/>
          <w:lang w:val="ru-RU"/>
        </w:rPr>
        <w:t>1.12. Малое и среднее предпринимательство</w:t>
      </w:r>
      <w:bookmarkEnd w:id="15"/>
    </w:p>
    <w:p w:rsidR="00CF0324" w:rsidRDefault="00124A10">
      <w:pPr>
        <w:spacing w:line="276" w:lineRule="auto"/>
        <w:ind w:firstLine="708"/>
        <w:jc w:val="both"/>
      </w:pPr>
      <w:r>
        <w:t>Развитие малого и среднего предпринимательства является приоритетной задачей администрации Кондинского района.</w:t>
      </w:r>
    </w:p>
    <w:p w:rsidR="00CF0324" w:rsidRDefault="00124A10">
      <w:pPr>
        <w:spacing w:line="276" w:lineRule="auto"/>
        <w:ind w:firstLine="708"/>
        <w:jc w:val="both"/>
      </w:pPr>
      <w:r>
        <w:lastRenderedPageBreak/>
        <w:t>На территории Кондинского района осуществляют свою деятельность 658 субъектов предпринимательства</w:t>
      </w:r>
      <w:r>
        <w:rPr>
          <w:rStyle w:val="16"/>
        </w:rPr>
        <w:footnoteReference w:id="35"/>
      </w:r>
      <w:r>
        <w:t>, из них 132 малых и средних предприятий и 526 индивидуальных предпринимателей. Основная доля 79% субъектов предпринимательства Кондинского района осуществляют свою деятельность на территориях городских поселений Междуреченский, Мортка, Луговой, Кондинское, Куминский и 21% – на территориях сельских поселений Болчары, Леуши, Мулымья, Половинка, Шугур.</w:t>
      </w:r>
    </w:p>
    <w:p w:rsidR="00CF0324" w:rsidRDefault="00124A10">
      <w:pPr>
        <w:spacing w:before="240" w:line="276" w:lineRule="auto"/>
        <w:ind w:firstLine="708"/>
        <w:jc w:val="both"/>
      </w:pPr>
      <w:r>
        <w:t>Таблица 1.25. – Динамика выполнения целевых показателей развития малого предпринимательства Стратегии социально-экономического развития Кондинского района Ханты-Мансийского автономного округа – Югры на период до 2030 года</w:t>
      </w:r>
    </w:p>
    <w:tbl>
      <w:tblPr>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14"/>
        <w:gridCol w:w="755"/>
        <w:gridCol w:w="750"/>
        <w:gridCol w:w="750"/>
        <w:gridCol w:w="759"/>
        <w:gridCol w:w="666"/>
        <w:gridCol w:w="696"/>
        <w:gridCol w:w="855"/>
        <w:gridCol w:w="763"/>
      </w:tblGrid>
      <w:tr w:rsidR="00CF0324">
        <w:tc>
          <w:tcPr>
            <w:tcW w:w="2802"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090"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618"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802"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6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855"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Количество субъектов МСП в расчете на 10 тыс. чел. населения,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369,5</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371,9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376,6</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378,0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381,2</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381,2</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381,2</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103</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227,1</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243,9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237,7</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235,6</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187,0</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223,6</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219,4</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98</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97</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2.Численность работающих в сфере МСП (в том числе наемных работников, работающих у ИП), чел.</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2904</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3049</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3201</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3361</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3529</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121</w:t>
            </w:r>
          </w:p>
        </w:tc>
      </w:tr>
      <w:tr w:rsidR="00CF0324">
        <w:tc>
          <w:tcPr>
            <w:tcW w:w="2802"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r>
              <w:rPr>
                <w:rStyle w:val="16"/>
                <w:rFonts w:eastAsia="Times New Roman"/>
                <w:b/>
                <w:i/>
                <w:color w:val="92D050"/>
                <w:sz w:val="20"/>
                <w:szCs w:val="20"/>
                <w:lang w:eastAsia="en-US"/>
              </w:rPr>
              <w:footnoteReference w:id="36"/>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3609</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3650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3625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3498</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3325</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3215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2920</w:t>
            </w:r>
          </w:p>
        </w:tc>
        <w:tc>
          <w:tcPr>
            <w:tcW w:w="8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91</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81</w:t>
            </w:r>
          </w:p>
        </w:tc>
      </w:tr>
    </w:tbl>
    <w:p w:rsidR="00CF0324" w:rsidRDefault="00124A10">
      <w:pPr>
        <w:spacing w:before="240" w:line="276" w:lineRule="auto"/>
        <w:ind w:firstLine="708"/>
        <w:jc w:val="both"/>
      </w:pPr>
      <w:r>
        <w:t>Анализ субъектов малого и среднего предпринимательства в разрезе видов предпринимательской деятельности показывает, что по-прежнему лидирующее положение занимает «малый бизнес», оказывающий услуги розничной торговли, хотя удельный вес, за последние 7 лет снизился с 40% до 36,9%(рисунок 1.10.), снизилась доля по виду экономической деятельности «Сельское, лесное хозяйство, охота, рыболовство и рыбоводство» с 13% до 8,2%. Значительно выросла и доля предпринимательской деятельности по строительству с 6% до 9,9%.</w:t>
      </w:r>
    </w:p>
    <w:p w:rsidR="00CF0324" w:rsidRDefault="00BA49AD">
      <w:pPr>
        <w:spacing w:line="276" w:lineRule="auto"/>
        <w:jc w:val="both"/>
      </w:pP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2"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2BF7" id="AutoShape 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&#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BQRUUAhAgAARwQAAA4AAAAAAAAAAAAAAAAALgIAAGRycy9lMm9Eb2MueG1sUEsBAi0A&#10;FAAGAAgAAAAhAOuNHvvYAAAABQEAAA8AAAAAAAAAAAAAAAAAewQAAGRycy9kb3ducmV2LnhtbFBL&#10;BQYAAAAABAAEAPMAAACABQAAAAA=&#10;">
                <v:stroke joinstyle="round"/>
                <o:lock v:ext="edit" selection="t"/>
              </v:rect>
            </w:pict>
          </mc:Fallback>
        </mc:AlternateContent>
      </w:r>
      <w:r>
        <w:rPr>
          <w:noProof/>
        </w:rPr>
        <w:drawing>
          <wp:inline distT="0" distB="0" distL="0" distR="0">
            <wp:extent cx="5643245" cy="3491230"/>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3245" cy="3491230"/>
                    </a:xfrm>
                    <a:prstGeom prst="rect">
                      <a:avLst/>
                    </a:prstGeom>
                    <a:noFill/>
                    <a:ln>
                      <a:noFill/>
                    </a:ln>
                  </pic:spPr>
                </pic:pic>
              </a:graphicData>
            </a:graphic>
          </wp:inline>
        </w:drawing>
      </w:r>
      <w:r w:rsidR="00124A10">
        <w:t xml:space="preserve"> </w:t>
      </w:r>
    </w:p>
    <w:p w:rsidR="00CF0324" w:rsidRDefault="00124A10">
      <w:pPr>
        <w:spacing w:before="240" w:line="276" w:lineRule="auto"/>
        <w:ind w:firstLine="708"/>
        <w:jc w:val="both"/>
      </w:pPr>
      <w:r>
        <w:t xml:space="preserve">Рисунок 1.10. </w:t>
      </w:r>
      <w:r>
        <w:rPr>
          <w:i/>
        </w:rPr>
        <w:t xml:space="preserve">Структура </w:t>
      </w:r>
      <w:r>
        <w:t xml:space="preserve">малого и среднего предпринимательства  </w:t>
      </w:r>
      <w:r>
        <w:rPr>
          <w:i/>
        </w:rPr>
        <w:t xml:space="preserve">Кондинского района </w:t>
      </w:r>
      <w:r>
        <w:t>по видам экономической деятельности на 25.08.2023г.,%</w:t>
      </w:r>
    </w:p>
    <w:p w:rsidR="00CF0324" w:rsidRDefault="00CF0324">
      <w:pPr>
        <w:spacing w:line="276" w:lineRule="auto"/>
        <w:ind w:firstLine="708"/>
        <w:jc w:val="both"/>
      </w:pPr>
    </w:p>
    <w:p w:rsidR="00CF0324" w:rsidRDefault="00124A10">
      <w:pPr>
        <w:spacing w:line="276" w:lineRule="auto"/>
        <w:ind w:firstLine="708"/>
        <w:jc w:val="both"/>
      </w:pPr>
      <w:r>
        <w:t>Налоговые поступления по специальным налоговым режимам (упрощенной системе налогообложения, единому сельскохозяйственному налогу, единому налогу на вмененный доход, патент) от субъектов малого и среднего предпринимательства Кондинского района в течение семи последних лет увеличились на 44%: 2016 год -  49,6 млн. руб., 2017 год  – 48,2 млн. руб., 2018 год  – 49,1 млн. руб., 2019 год – 53,3 млн. руб., 2020 год – 57,0 млн. руб., 2021 год – 65,0 млн. руб., 2022 год -71,5 млн. руб. (рисунок 1.11).</w:t>
      </w:r>
    </w:p>
    <w:p w:rsidR="00CF0324" w:rsidRDefault="00124A10">
      <w:pPr>
        <w:spacing w:line="276" w:lineRule="auto"/>
        <w:ind w:firstLine="708"/>
        <w:jc w:val="both"/>
      </w:pPr>
      <w:r>
        <w:t>Налоги, уплачиваемые предприятиями малого бизнеса по упрощенной системе налогообложения, в 2022 году составили 67,5 млн. руб., наибольший удельный вес составляет УСН с объектом налогообложения «доходы – расходы»  – 63%, УСН с объектом налогообложения «доходы» - 37%. Налоговые платежи по патентной системе налогообложения в 2022 году составили 3,8 млн. руб., к уровню 2016 года снизились на 27%.</w:t>
      </w:r>
    </w:p>
    <w:tbl>
      <w:tblPr>
        <w:tblW w:w="9570" w:type="dxa"/>
        <w:tblLook w:val="04A0" w:firstRow="1" w:lastRow="0" w:firstColumn="1" w:lastColumn="0" w:noHBand="0" w:noVBand="1"/>
      </w:tblPr>
      <w:tblGrid>
        <w:gridCol w:w="4785"/>
        <w:gridCol w:w="4785"/>
      </w:tblGrid>
      <w:tr w:rsidR="00CF0324">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E36C0A"/>
              </w:rPr>
            </w:pPr>
            <w:r>
              <w:rPr>
                <w:b/>
                <w:i/>
                <w:color w:val="E36C0A"/>
              </w:rPr>
              <w:t>Структура поступлений в бюджет района от специальных режимов налогообложение, 2016 год,%</w:t>
            </w:r>
          </w:p>
        </w:tc>
        <w:tc>
          <w:tcPr>
            <w:tcW w:w="4785" w:type="dxa"/>
            <w:tcBorders>
              <w:top w:val="none" w:sz="0" w:space="0" w:color="000000"/>
              <w:left w:val="none" w:sz="0" w:space="0" w:color="000000"/>
              <w:bottom w:val="none" w:sz="0" w:space="0" w:color="000000"/>
              <w:right w:val="none" w:sz="0" w:space="0" w:color="000000"/>
            </w:tcBorders>
          </w:tcPr>
          <w:p w:rsidR="00CF0324" w:rsidRDefault="00124A10">
            <w:pPr>
              <w:spacing w:line="276" w:lineRule="auto"/>
              <w:jc w:val="both"/>
              <w:rPr>
                <w:b/>
                <w:i/>
                <w:color w:val="0070C0"/>
              </w:rPr>
            </w:pPr>
            <w:r>
              <w:rPr>
                <w:b/>
                <w:i/>
                <w:color w:val="0070C0"/>
              </w:rPr>
              <w:t>Структура поступлений в бюджет района от специальных режимов налогообложения, 2022 год,%</w:t>
            </w:r>
          </w:p>
        </w:tc>
      </w:tr>
      <w:tr w:rsidR="00CF0324">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1"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58AB1" id="AutoShape 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NIg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A+HxBNIgIAAEcEAAAOAAAAAAAAAAAAAAAAAC4CAABkcnMvZTJvRG9jLnhtbFBLAQIt&#10;ABQABgAIAAAAIQDrjR772AAAAAUBAAAPAAAAAAAAAAAAAAAAAHwEAABkcnMvZG93bnJldi54bWxQ&#10;SwUGAAAAAAQABADzAAAAgQUAAAAA&#10;">
                      <v:stroke joinstyle="round"/>
                      <o:lock v:ext="edit" selection="t"/>
                    </v:rect>
                  </w:pict>
                </mc:Fallback>
              </mc:AlternateContent>
            </w:r>
            <w:r>
              <w:rPr>
                <w:noProof/>
              </w:rPr>
              <w:drawing>
                <wp:inline distT="0" distB="0" distL="0" distR="0">
                  <wp:extent cx="2752725"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785" w:type="dxa"/>
            <w:tcBorders>
              <w:top w:val="none" w:sz="0" w:space="0" w:color="000000"/>
              <w:left w:val="none" w:sz="0" w:space="0" w:color="000000"/>
              <w:bottom w:val="none" w:sz="0" w:space="0" w:color="000000"/>
              <w:right w:val="none" w:sz="0" w:space="0" w:color="000000"/>
            </w:tcBorders>
          </w:tcPr>
          <w:p w:rsidR="00CF0324" w:rsidRDefault="00BA49AD">
            <w:pPr>
              <w:spacing w:line="276" w:lineRule="auto"/>
              <w:jc w:val="both"/>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0"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B6E4" id="AutoShape 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&#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ZSD97SACAABHBAAADgAAAAAAAAAAAAAAAAAuAgAAZHJzL2Uyb0RvYy54bWxQSwECLQAU&#10;AAYACAAAACEA640e+9gAAAAFAQAADwAAAAAAAAAAAAAAAAB6BAAAZHJzL2Rvd25yZXYueG1sUEsF&#10;BgAAAAAEAAQA8wAAAH8FAAAAAA==&#10;">
                      <v:stroke joinstyle="round"/>
                      <o:lock v:ext="edit" selection="t"/>
                    </v:rect>
                  </w:pict>
                </mc:Fallback>
              </mc:AlternateContent>
            </w:r>
            <w:r>
              <w:rPr>
                <w:noProof/>
              </w:rPr>
              <w:drawing>
                <wp:inline distT="0" distB="0" distL="0" distR="0">
                  <wp:extent cx="2752725"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r>
    </w:tbl>
    <w:p w:rsidR="00CF0324" w:rsidRDefault="00124A10">
      <w:pPr>
        <w:spacing w:line="276" w:lineRule="auto"/>
        <w:jc w:val="center"/>
      </w:pPr>
      <w:r>
        <w:t>Рисунок 1.11. Структура поступления налогов по видам специальных налоговых режимов,%</w:t>
      </w:r>
    </w:p>
    <w:p w:rsidR="00CF0324" w:rsidRDefault="00124A10">
      <w:pPr>
        <w:spacing w:before="240" w:line="276" w:lineRule="auto"/>
        <w:ind w:firstLine="708"/>
        <w:jc w:val="both"/>
      </w:pPr>
      <w:r>
        <w:rPr>
          <w:rFonts w:eastAsia="Calibri"/>
          <w:lang w:eastAsia="en-US"/>
        </w:rPr>
        <w:t>На поддержку малого и среднего предпринимательства в Кондинском районе по муниципальной программе «</w:t>
      </w:r>
      <w:r>
        <w:t>Развитие малого и среднего предпринимательства</w:t>
      </w:r>
      <w:r>
        <w:rPr>
          <w:rFonts w:eastAsia="Calibri"/>
          <w:lang w:eastAsia="en-US"/>
        </w:rPr>
        <w:t>» в 2022 году направлено 8,0 млн. руб. (рисунок 1.12.).</w:t>
      </w:r>
      <w:r>
        <w:t xml:space="preserve"> Оказано поддержки субъектам предпринимательства – 6 074 ед., в том числе: финансовой – 19 ед.; информационно-консультационной – 5 874 ед.; образовательной – 146 ед.; имущественной – 35 ед. Наибольшая доля финансовой поддержки направлена в 2022 году на развитие субъектов малого и среднего предпринимательства, занимающихся производством продовольственной продукции.</w:t>
      </w:r>
    </w:p>
    <w:p w:rsidR="00CF0324" w:rsidRDefault="00BA49AD">
      <w:pPr>
        <w:spacing w:line="276" w:lineRule="auto"/>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19"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D8D6" id="AutoShape 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JNwtOMhAgAARwQAAA4AAAAAAAAAAAAAAAAALgIAAGRycy9lMm9Eb2MueG1sUEsBAi0A&#10;FAAGAAgAAAAhAOuNHvvYAAAABQEAAA8AAAAAAAAAAAAAAAAAewQAAGRycy9kb3ducmV2LnhtbFBL&#10;BQYAAAAABAAEAPMAAACABQAAAAA=&#10;">
                <v:stroke joinstyle="round"/>
                <o:lock v:ext="edit" selection="t"/>
              </v:rect>
            </w:pict>
          </mc:Fallback>
        </mc:AlternateContent>
      </w:r>
      <w:r>
        <w:rPr>
          <w:noProof/>
        </w:rPr>
        <w:drawing>
          <wp:inline distT="0" distB="0" distL="0" distR="0">
            <wp:extent cx="6207125" cy="182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7125" cy="1828800"/>
                    </a:xfrm>
                    <a:prstGeom prst="rect">
                      <a:avLst/>
                    </a:prstGeom>
                    <a:noFill/>
                    <a:ln>
                      <a:noFill/>
                    </a:ln>
                  </pic:spPr>
                </pic:pic>
              </a:graphicData>
            </a:graphic>
          </wp:inline>
        </w:drawing>
      </w:r>
      <w:r w:rsidR="00124A10">
        <w:t xml:space="preserve"> Рисунок 1.12. Объем финансовой поддержки субъектам малого и среднего предпринимательства из бюджета Кондинского района в рамках действующей муниципальной программы, за 2016-2022 годы, млн. руб.</w:t>
      </w:r>
    </w:p>
    <w:p w:rsidR="00CF0324" w:rsidRDefault="00124A10">
      <w:pPr>
        <w:spacing w:before="240" w:line="276" w:lineRule="auto"/>
        <w:ind w:firstLine="708"/>
        <w:jc w:val="both"/>
        <w:rPr>
          <w:bCs/>
        </w:rPr>
      </w:pPr>
      <w:r>
        <w:t xml:space="preserve">При оказании поддержки субъектам малого и среднего предпринимательства в дальнейшем необходимо учитывать существующие в районе проблемы: высокие тарифы на коммунальные услуги, налоговая нагрузка, </w:t>
      </w:r>
      <w:r>
        <w:rPr>
          <w:bCs/>
        </w:rPr>
        <w:t xml:space="preserve">недостаточная квалификация работников, занятых в сфере предпринимательства; низкий уровень развития предпринимательства среди молодежи; слаборазвитая сеть автомобильных дорог, </w:t>
      </w:r>
      <w:r>
        <w:rPr>
          <w:color w:val="000000"/>
        </w:rPr>
        <w:t>специфика развития предпринимательства в труднодоступных и отдаленных местностях Кондинского района, устаревшие технологии и оборудование.</w:t>
      </w:r>
    </w:p>
    <w:p w:rsidR="00CF0324" w:rsidRPr="00124A10" w:rsidRDefault="00124A10">
      <w:pPr>
        <w:pStyle w:val="2"/>
        <w:spacing w:before="240" w:after="240"/>
        <w:jc w:val="left"/>
        <w:rPr>
          <w:b w:val="0"/>
          <w:i/>
          <w:sz w:val="24"/>
          <w:lang w:val="ru-RU"/>
        </w:rPr>
      </w:pPr>
      <w:bookmarkStart w:id="16" w:name="_Toc16"/>
      <w:r w:rsidRPr="00124A10">
        <w:rPr>
          <w:b w:val="0"/>
          <w:i/>
          <w:sz w:val="24"/>
          <w:lang w:val="ru-RU"/>
        </w:rPr>
        <w:t>1.</w:t>
      </w:r>
      <w:r>
        <w:rPr>
          <w:b w:val="0"/>
          <w:i/>
          <w:sz w:val="24"/>
          <w:lang w:val="ru-RU"/>
        </w:rPr>
        <w:t>13</w:t>
      </w:r>
      <w:r w:rsidRPr="00124A10">
        <w:rPr>
          <w:b w:val="0"/>
          <w:i/>
          <w:sz w:val="24"/>
          <w:lang w:val="ru-RU"/>
        </w:rPr>
        <w:t>. Социальная сфера</w:t>
      </w:r>
      <w:bookmarkEnd w:id="16"/>
    </w:p>
    <w:p w:rsidR="00CF0324" w:rsidRPr="00124A10" w:rsidRDefault="00124A10">
      <w:pPr>
        <w:pStyle w:val="3"/>
        <w:rPr>
          <w:rFonts w:ascii="Times New Roman" w:hAnsi="Times New Roman"/>
          <w:b w:val="0"/>
          <w:i/>
          <w:sz w:val="24"/>
          <w:szCs w:val="24"/>
          <w:lang w:val="ru-RU"/>
        </w:rPr>
      </w:pPr>
      <w:bookmarkStart w:id="17" w:name="_Toc17"/>
      <w:r w:rsidRPr="00124A10">
        <w:rPr>
          <w:rFonts w:ascii="Times New Roman" w:hAnsi="Times New Roman"/>
          <w:b w:val="0"/>
          <w:i/>
          <w:sz w:val="24"/>
          <w:szCs w:val="24"/>
          <w:lang w:val="ru-RU"/>
        </w:rPr>
        <w:t>1.</w:t>
      </w:r>
      <w:r>
        <w:rPr>
          <w:rFonts w:ascii="Times New Roman" w:hAnsi="Times New Roman"/>
          <w:b w:val="0"/>
          <w:i/>
          <w:sz w:val="24"/>
          <w:szCs w:val="24"/>
          <w:lang w:val="ru-RU"/>
        </w:rPr>
        <w:t>13</w:t>
      </w:r>
      <w:r w:rsidRPr="00124A10">
        <w:rPr>
          <w:rFonts w:ascii="Times New Roman" w:hAnsi="Times New Roman"/>
          <w:b w:val="0"/>
          <w:i/>
          <w:sz w:val="24"/>
          <w:szCs w:val="24"/>
          <w:lang w:val="ru-RU"/>
        </w:rPr>
        <w:t>.1. Дошкольное и общее образование</w:t>
      </w:r>
      <w:bookmarkEnd w:id="17"/>
    </w:p>
    <w:p w:rsidR="00CF0324" w:rsidRDefault="00124A10">
      <w:pPr>
        <w:spacing w:line="276" w:lineRule="auto"/>
        <w:ind w:firstLine="708"/>
        <w:jc w:val="both"/>
      </w:pPr>
      <w:r>
        <w:t xml:space="preserve">По состоянию на 01.01.2023 в Кондинском районе функционирует 29 учреждений образования, в том числе: 10 дошкольных образовательных учреждений; 15 </w:t>
      </w:r>
      <w:r>
        <w:lastRenderedPageBreak/>
        <w:t xml:space="preserve">общеобразовательных школ; 3 учреждения дополнительного образования детей, муниципальное казенное учреждение «Центр сопровождения деятельности организаций». </w:t>
      </w:r>
    </w:p>
    <w:p w:rsidR="00CF0324" w:rsidRDefault="00124A10">
      <w:pPr>
        <w:spacing w:line="276" w:lineRule="auto"/>
        <w:ind w:firstLine="708"/>
        <w:jc w:val="both"/>
      </w:pPr>
      <w:r>
        <w:rPr>
          <w:color w:val="000000"/>
        </w:rPr>
        <w:t>Контингент</w:t>
      </w:r>
      <w:r>
        <w:t xml:space="preserve"> учащихся (воспитанников) по учреждениям образования за 2022 год составил 6012 учащихся и воспитанников, из них охвачено дополнительным образованием 5 714 детей. Количество учебной площади на одного ученика – 24 м</w:t>
      </w:r>
      <w:r>
        <w:rPr>
          <w:vertAlign w:val="superscript"/>
        </w:rPr>
        <w:t>2</w:t>
      </w:r>
      <w:r>
        <w:t>. Количество педагогических работников образовательных учреждений общего образования 724 человек.</w:t>
      </w:r>
    </w:p>
    <w:p w:rsidR="00CF0324" w:rsidRDefault="00124A10">
      <w:pPr>
        <w:spacing w:line="276" w:lineRule="auto"/>
        <w:ind w:firstLine="708"/>
        <w:jc w:val="both"/>
      </w:pPr>
      <w:r>
        <w:t>За 2016-2022 годы произошло незначительное снижение численности обучающихся, число общеобразовательных учреждений не изменилось (таблица 1.26).</w:t>
      </w:r>
    </w:p>
    <w:p w:rsidR="00CF0324" w:rsidRDefault="00124A10">
      <w:pPr>
        <w:spacing w:before="240" w:line="276" w:lineRule="auto"/>
        <w:ind w:firstLine="708"/>
        <w:jc w:val="both"/>
      </w:pPr>
      <w:r>
        <w:t>Таблица 1.26. Показатели развития образования, в том числе: динамика выполнения целевого показателя развития образования Стратегии социально-экономического развития Кондинского района Ханты-Мансийского автономного округа – Югры на период до 2030 года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835"/>
        <w:gridCol w:w="708"/>
        <w:gridCol w:w="708"/>
        <w:gridCol w:w="710"/>
        <w:gridCol w:w="709"/>
        <w:gridCol w:w="709"/>
        <w:gridCol w:w="709"/>
        <w:gridCol w:w="709"/>
        <w:gridCol w:w="709"/>
        <w:gridCol w:w="850"/>
      </w:tblGrid>
      <w:tr w:rsidR="00CF0324">
        <w:tc>
          <w:tcPr>
            <w:tcW w:w="567" w:type="dxa"/>
            <w:vMerge w:val="restart"/>
            <w:vAlign w:val="center"/>
          </w:tcPr>
          <w:p w:rsidR="00CF0324" w:rsidRDefault="00124A10">
            <w:pPr>
              <w:jc w:val="center"/>
              <w:rPr>
                <w:sz w:val="20"/>
                <w:szCs w:val="20"/>
              </w:rPr>
            </w:pPr>
            <w:r>
              <w:rPr>
                <w:sz w:val="20"/>
                <w:szCs w:val="20"/>
              </w:rPr>
              <w:t>№</w:t>
            </w:r>
          </w:p>
        </w:tc>
        <w:tc>
          <w:tcPr>
            <w:tcW w:w="2835" w:type="dxa"/>
            <w:vMerge w:val="restart"/>
            <w:vAlign w:val="center"/>
          </w:tcPr>
          <w:p w:rsidR="00CF0324" w:rsidRDefault="00124A10">
            <w:pPr>
              <w:jc w:val="center"/>
              <w:rPr>
                <w:sz w:val="20"/>
                <w:szCs w:val="20"/>
              </w:rPr>
            </w:pPr>
            <w:r>
              <w:rPr>
                <w:sz w:val="20"/>
                <w:szCs w:val="20"/>
              </w:rPr>
              <w:t>Наименование показателей</w:t>
            </w:r>
          </w:p>
        </w:tc>
        <w:tc>
          <w:tcPr>
            <w:tcW w:w="4962" w:type="dxa"/>
            <w:gridSpan w:val="7"/>
            <w:vAlign w:val="center"/>
          </w:tcPr>
          <w:p w:rsidR="00CF0324" w:rsidRDefault="00124A10">
            <w:pPr>
              <w:jc w:val="center"/>
              <w:rPr>
                <w:sz w:val="20"/>
                <w:szCs w:val="20"/>
              </w:rPr>
            </w:pPr>
            <w:r>
              <w:rPr>
                <w:sz w:val="20"/>
                <w:szCs w:val="20"/>
              </w:rPr>
              <w:t>годы</w:t>
            </w:r>
          </w:p>
        </w:tc>
        <w:tc>
          <w:tcPr>
            <w:tcW w:w="1559" w:type="dxa"/>
            <w:gridSpan w:val="2"/>
          </w:tcPr>
          <w:p w:rsidR="00CF0324" w:rsidRDefault="00124A10">
            <w:pPr>
              <w:jc w:val="center"/>
              <w:rPr>
                <w:sz w:val="20"/>
                <w:szCs w:val="20"/>
              </w:rPr>
            </w:pPr>
            <w:r>
              <w:rPr>
                <w:sz w:val="20"/>
                <w:szCs w:val="20"/>
              </w:rPr>
              <w:t>Темп роста, %</w:t>
            </w:r>
          </w:p>
        </w:tc>
      </w:tr>
      <w:tr w:rsidR="00CF0324">
        <w:tc>
          <w:tcPr>
            <w:tcW w:w="567" w:type="dxa"/>
            <w:vMerge/>
            <w:vAlign w:val="center"/>
          </w:tcPr>
          <w:p w:rsidR="00CF0324" w:rsidRDefault="00CF0324">
            <w:pPr>
              <w:jc w:val="center"/>
              <w:rPr>
                <w:sz w:val="20"/>
                <w:szCs w:val="20"/>
              </w:rPr>
            </w:pPr>
          </w:p>
        </w:tc>
        <w:tc>
          <w:tcPr>
            <w:tcW w:w="2835" w:type="dxa"/>
            <w:vMerge/>
          </w:tcPr>
          <w:p w:rsidR="00CF0324" w:rsidRDefault="00CF0324">
            <w:pPr>
              <w:jc w:val="both"/>
              <w:rPr>
                <w:sz w:val="20"/>
                <w:szCs w:val="20"/>
              </w:rPr>
            </w:pPr>
          </w:p>
        </w:tc>
        <w:tc>
          <w:tcPr>
            <w:tcW w:w="708" w:type="dxa"/>
            <w:vAlign w:val="center"/>
          </w:tcPr>
          <w:p w:rsidR="00CF0324" w:rsidRDefault="00124A10">
            <w:pPr>
              <w:jc w:val="center"/>
              <w:rPr>
                <w:sz w:val="20"/>
                <w:szCs w:val="20"/>
              </w:rPr>
            </w:pPr>
            <w:r>
              <w:rPr>
                <w:sz w:val="20"/>
                <w:szCs w:val="20"/>
              </w:rPr>
              <w:t>2016</w:t>
            </w:r>
          </w:p>
        </w:tc>
        <w:tc>
          <w:tcPr>
            <w:tcW w:w="708" w:type="dxa"/>
            <w:vAlign w:val="center"/>
          </w:tcPr>
          <w:p w:rsidR="00CF0324" w:rsidRDefault="00124A10">
            <w:pPr>
              <w:jc w:val="center"/>
              <w:rPr>
                <w:sz w:val="20"/>
                <w:szCs w:val="20"/>
              </w:rPr>
            </w:pPr>
            <w:r>
              <w:rPr>
                <w:sz w:val="20"/>
                <w:szCs w:val="20"/>
              </w:rPr>
              <w:t>2017</w:t>
            </w:r>
          </w:p>
        </w:tc>
        <w:tc>
          <w:tcPr>
            <w:tcW w:w="710" w:type="dxa"/>
            <w:vAlign w:val="center"/>
          </w:tcPr>
          <w:p w:rsidR="00CF0324" w:rsidRDefault="00124A10">
            <w:pPr>
              <w:jc w:val="center"/>
              <w:rPr>
                <w:sz w:val="20"/>
                <w:szCs w:val="20"/>
              </w:rPr>
            </w:pPr>
            <w:r>
              <w:rPr>
                <w:sz w:val="20"/>
                <w:szCs w:val="20"/>
              </w:rPr>
              <w:t>2018</w:t>
            </w:r>
          </w:p>
        </w:tc>
        <w:tc>
          <w:tcPr>
            <w:tcW w:w="709" w:type="dxa"/>
            <w:vAlign w:val="center"/>
          </w:tcPr>
          <w:p w:rsidR="00CF0324" w:rsidRDefault="00124A10">
            <w:pPr>
              <w:jc w:val="center"/>
              <w:rPr>
                <w:sz w:val="20"/>
                <w:szCs w:val="20"/>
              </w:rPr>
            </w:pPr>
            <w:r>
              <w:rPr>
                <w:sz w:val="20"/>
                <w:szCs w:val="20"/>
              </w:rPr>
              <w:t>2019</w:t>
            </w:r>
          </w:p>
        </w:tc>
        <w:tc>
          <w:tcPr>
            <w:tcW w:w="709" w:type="dxa"/>
            <w:vAlign w:val="center"/>
          </w:tcPr>
          <w:p w:rsidR="00CF0324" w:rsidRDefault="00124A10">
            <w:pPr>
              <w:jc w:val="center"/>
              <w:rPr>
                <w:sz w:val="20"/>
                <w:szCs w:val="20"/>
              </w:rPr>
            </w:pPr>
            <w:r>
              <w:rPr>
                <w:sz w:val="20"/>
                <w:szCs w:val="20"/>
              </w:rPr>
              <w:t>2020</w:t>
            </w:r>
          </w:p>
        </w:tc>
        <w:tc>
          <w:tcPr>
            <w:tcW w:w="709" w:type="dxa"/>
            <w:vAlign w:val="center"/>
          </w:tcPr>
          <w:p w:rsidR="00CF0324" w:rsidRDefault="00124A10">
            <w:pPr>
              <w:jc w:val="center"/>
              <w:rPr>
                <w:sz w:val="20"/>
                <w:szCs w:val="20"/>
              </w:rPr>
            </w:pPr>
            <w:r>
              <w:rPr>
                <w:sz w:val="20"/>
                <w:szCs w:val="20"/>
              </w:rPr>
              <w:t>2021</w:t>
            </w:r>
          </w:p>
        </w:tc>
        <w:tc>
          <w:tcPr>
            <w:tcW w:w="709" w:type="dxa"/>
            <w:vAlign w:val="center"/>
          </w:tcPr>
          <w:p w:rsidR="00CF0324" w:rsidRDefault="00124A10">
            <w:pPr>
              <w:jc w:val="center"/>
              <w:rPr>
                <w:sz w:val="20"/>
                <w:szCs w:val="20"/>
              </w:rPr>
            </w:pPr>
            <w:r>
              <w:rPr>
                <w:sz w:val="20"/>
                <w:szCs w:val="20"/>
              </w:rPr>
              <w:t>2022</w:t>
            </w:r>
          </w:p>
        </w:tc>
        <w:tc>
          <w:tcPr>
            <w:tcW w:w="709" w:type="dxa"/>
          </w:tcPr>
          <w:p w:rsidR="00CF0324" w:rsidRDefault="00124A10">
            <w:pPr>
              <w:jc w:val="center"/>
              <w:rPr>
                <w:sz w:val="20"/>
                <w:szCs w:val="20"/>
              </w:rPr>
            </w:pPr>
            <w:r>
              <w:rPr>
                <w:sz w:val="20"/>
                <w:szCs w:val="20"/>
              </w:rPr>
              <w:t>2022/2021</w:t>
            </w:r>
          </w:p>
        </w:tc>
        <w:tc>
          <w:tcPr>
            <w:tcW w:w="850" w:type="dxa"/>
          </w:tcPr>
          <w:p w:rsidR="00CF0324" w:rsidRDefault="00124A10">
            <w:pPr>
              <w:jc w:val="center"/>
              <w:rPr>
                <w:sz w:val="20"/>
                <w:szCs w:val="20"/>
              </w:rPr>
            </w:pPr>
            <w:r>
              <w:rPr>
                <w:sz w:val="20"/>
                <w:szCs w:val="20"/>
              </w:rPr>
              <w:t>2022/</w:t>
            </w:r>
          </w:p>
          <w:p w:rsidR="00CF0324" w:rsidRDefault="00124A10">
            <w:pPr>
              <w:jc w:val="center"/>
              <w:rPr>
                <w:sz w:val="20"/>
                <w:szCs w:val="20"/>
              </w:rPr>
            </w:pPr>
            <w:r>
              <w:rPr>
                <w:sz w:val="20"/>
                <w:szCs w:val="20"/>
              </w:rPr>
              <w:t>2016</w:t>
            </w:r>
          </w:p>
        </w:tc>
      </w:tr>
      <w:tr w:rsidR="00CF0324">
        <w:tc>
          <w:tcPr>
            <w:tcW w:w="9923" w:type="dxa"/>
            <w:gridSpan w:val="11"/>
            <w:vAlign w:val="center"/>
          </w:tcPr>
          <w:p w:rsidR="00CF0324" w:rsidRDefault="00124A10">
            <w:pPr>
              <w:jc w:val="center"/>
              <w:rPr>
                <w:i/>
                <w:sz w:val="20"/>
                <w:szCs w:val="20"/>
              </w:rPr>
            </w:pPr>
            <w:r>
              <w:rPr>
                <w:i/>
                <w:sz w:val="20"/>
                <w:szCs w:val="20"/>
              </w:rPr>
              <w:t>Общее образование</w:t>
            </w:r>
          </w:p>
        </w:tc>
      </w:tr>
      <w:tr w:rsidR="00CF0324">
        <w:tc>
          <w:tcPr>
            <w:tcW w:w="567" w:type="dxa"/>
            <w:vAlign w:val="center"/>
          </w:tcPr>
          <w:p w:rsidR="00CF0324" w:rsidRDefault="00124A10">
            <w:pPr>
              <w:jc w:val="center"/>
              <w:rPr>
                <w:sz w:val="20"/>
                <w:szCs w:val="20"/>
              </w:rPr>
            </w:pPr>
            <w:r>
              <w:rPr>
                <w:sz w:val="20"/>
                <w:szCs w:val="20"/>
              </w:rPr>
              <w:t>1.</w:t>
            </w:r>
          </w:p>
        </w:tc>
        <w:tc>
          <w:tcPr>
            <w:tcW w:w="2835" w:type="dxa"/>
          </w:tcPr>
          <w:p w:rsidR="00CF0324" w:rsidRDefault="00124A10">
            <w:pPr>
              <w:jc w:val="both"/>
              <w:rPr>
                <w:sz w:val="20"/>
                <w:szCs w:val="20"/>
              </w:rPr>
            </w:pPr>
            <w:r>
              <w:rPr>
                <w:sz w:val="20"/>
                <w:szCs w:val="20"/>
              </w:rPr>
              <w:t>Количество общеобразовательных учреждений, единиц</w:t>
            </w:r>
          </w:p>
        </w:tc>
        <w:tc>
          <w:tcPr>
            <w:tcW w:w="708" w:type="dxa"/>
            <w:vAlign w:val="center"/>
          </w:tcPr>
          <w:p w:rsidR="00CF0324" w:rsidRDefault="00124A10">
            <w:pPr>
              <w:jc w:val="center"/>
              <w:rPr>
                <w:sz w:val="20"/>
                <w:szCs w:val="20"/>
              </w:rPr>
            </w:pPr>
            <w:r>
              <w:rPr>
                <w:sz w:val="20"/>
                <w:szCs w:val="20"/>
              </w:rPr>
              <w:t>15</w:t>
            </w:r>
          </w:p>
        </w:tc>
        <w:tc>
          <w:tcPr>
            <w:tcW w:w="708" w:type="dxa"/>
            <w:vAlign w:val="center"/>
          </w:tcPr>
          <w:p w:rsidR="00CF0324" w:rsidRDefault="00124A10">
            <w:pPr>
              <w:jc w:val="center"/>
              <w:rPr>
                <w:sz w:val="20"/>
                <w:szCs w:val="20"/>
              </w:rPr>
            </w:pPr>
            <w:r>
              <w:rPr>
                <w:sz w:val="20"/>
                <w:szCs w:val="20"/>
              </w:rPr>
              <w:t>15</w:t>
            </w:r>
          </w:p>
        </w:tc>
        <w:tc>
          <w:tcPr>
            <w:tcW w:w="710" w:type="dxa"/>
            <w:vAlign w:val="center"/>
          </w:tcPr>
          <w:p w:rsidR="00CF0324" w:rsidRDefault="00124A10">
            <w:pPr>
              <w:jc w:val="center"/>
              <w:rPr>
                <w:sz w:val="20"/>
                <w:szCs w:val="20"/>
              </w:rPr>
            </w:pPr>
            <w:r>
              <w:rPr>
                <w:sz w:val="20"/>
                <w:szCs w:val="20"/>
              </w:rPr>
              <w:t>15</w:t>
            </w:r>
          </w:p>
        </w:tc>
        <w:tc>
          <w:tcPr>
            <w:tcW w:w="709" w:type="dxa"/>
            <w:vAlign w:val="center"/>
          </w:tcPr>
          <w:p w:rsidR="00CF0324" w:rsidRDefault="00124A10">
            <w:pPr>
              <w:jc w:val="center"/>
              <w:rPr>
                <w:sz w:val="20"/>
                <w:szCs w:val="20"/>
              </w:rPr>
            </w:pPr>
            <w:r>
              <w:rPr>
                <w:sz w:val="20"/>
                <w:szCs w:val="20"/>
              </w:rPr>
              <w:t>15</w:t>
            </w:r>
          </w:p>
        </w:tc>
        <w:tc>
          <w:tcPr>
            <w:tcW w:w="709" w:type="dxa"/>
            <w:vAlign w:val="center"/>
          </w:tcPr>
          <w:p w:rsidR="00CF0324" w:rsidRDefault="00124A10">
            <w:pPr>
              <w:jc w:val="center"/>
              <w:rPr>
                <w:sz w:val="20"/>
                <w:szCs w:val="20"/>
              </w:rPr>
            </w:pPr>
            <w:r>
              <w:rPr>
                <w:sz w:val="20"/>
                <w:szCs w:val="20"/>
              </w:rPr>
              <w:t>15</w:t>
            </w:r>
          </w:p>
        </w:tc>
        <w:tc>
          <w:tcPr>
            <w:tcW w:w="709" w:type="dxa"/>
            <w:vAlign w:val="center"/>
          </w:tcPr>
          <w:p w:rsidR="00CF0324" w:rsidRDefault="00124A10">
            <w:pPr>
              <w:jc w:val="center"/>
              <w:rPr>
                <w:sz w:val="20"/>
                <w:szCs w:val="20"/>
              </w:rPr>
            </w:pPr>
            <w:r>
              <w:rPr>
                <w:sz w:val="20"/>
                <w:szCs w:val="20"/>
              </w:rPr>
              <w:t>15</w:t>
            </w:r>
          </w:p>
        </w:tc>
        <w:tc>
          <w:tcPr>
            <w:tcW w:w="709" w:type="dxa"/>
            <w:vAlign w:val="center"/>
          </w:tcPr>
          <w:p w:rsidR="00CF0324" w:rsidRDefault="00124A10">
            <w:pPr>
              <w:jc w:val="center"/>
              <w:rPr>
                <w:sz w:val="20"/>
                <w:szCs w:val="20"/>
              </w:rPr>
            </w:pPr>
            <w:r>
              <w:rPr>
                <w:sz w:val="20"/>
                <w:szCs w:val="20"/>
              </w:rPr>
              <w:t>15</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100</w:t>
            </w:r>
          </w:p>
        </w:tc>
      </w:tr>
      <w:tr w:rsidR="00CF0324">
        <w:tc>
          <w:tcPr>
            <w:tcW w:w="567" w:type="dxa"/>
            <w:vAlign w:val="center"/>
          </w:tcPr>
          <w:p w:rsidR="00CF0324" w:rsidRDefault="00124A10">
            <w:pPr>
              <w:jc w:val="center"/>
              <w:rPr>
                <w:sz w:val="20"/>
                <w:szCs w:val="20"/>
              </w:rPr>
            </w:pPr>
            <w:r>
              <w:rPr>
                <w:sz w:val="20"/>
                <w:szCs w:val="20"/>
              </w:rPr>
              <w:t>2.</w:t>
            </w:r>
          </w:p>
        </w:tc>
        <w:tc>
          <w:tcPr>
            <w:tcW w:w="2835" w:type="dxa"/>
          </w:tcPr>
          <w:p w:rsidR="00CF0324" w:rsidRDefault="00124A10">
            <w:pPr>
              <w:jc w:val="both"/>
              <w:rPr>
                <w:sz w:val="20"/>
                <w:szCs w:val="20"/>
              </w:rPr>
            </w:pPr>
            <w:r>
              <w:rPr>
                <w:sz w:val="20"/>
                <w:szCs w:val="20"/>
              </w:rPr>
              <w:t>Количество обучающихся, чел.</w:t>
            </w:r>
          </w:p>
        </w:tc>
        <w:tc>
          <w:tcPr>
            <w:tcW w:w="708" w:type="dxa"/>
            <w:vAlign w:val="center"/>
          </w:tcPr>
          <w:p w:rsidR="00CF0324" w:rsidRDefault="00124A10">
            <w:pPr>
              <w:jc w:val="center"/>
              <w:rPr>
                <w:sz w:val="20"/>
                <w:szCs w:val="20"/>
              </w:rPr>
            </w:pPr>
            <w:r>
              <w:rPr>
                <w:sz w:val="20"/>
                <w:szCs w:val="20"/>
              </w:rPr>
              <w:t>4311</w:t>
            </w:r>
          </w:p>
        </w:tc>
        <w:tc>
          <w:tcPr>
            <w:tcW w:w="708" w:type="dxa"/>
            <w:vAlign w:val="center"/>
          </w:tcPr>
          <w:p w:rsidR="00CF0324" w:rsidRDefault="00124A10">
            <w:pPr>
              <w:jc w:val="center"/>
              <w:rPr>
                <w:sz w:val="20"/>
                <w:szCs w:val="20"/>
              </w:rPr>
            </w:pPr>
            <w:r>
              <w:rPr>
                <w:sz w:val="20"/>
                <w:szCs w:val="20"/>
              </w:rPr>
              <w:t>4381</w:t>
            </w:r>
          </w:p>
        </w:tc>
        <w:tc>
          <w:tcPr>
            <w:tcW w:w="710" w:type="dxa"/>
            <w:vAlign w:val="center"/>
          </w:tcPr>
          <w:p w:rsidR="00CF0324" w:rsidRDefault="00124A10">
            <w:pPr>
              <w:jc w:val="center"/>
              <w:rPr>
                <w:sz w:val="20"/>
                <w:szCs w:val="20"/>
              </w:rPr>
            </w:pPr>
            <w:r>
              <w:rPr>
                <w:sz w:val="20"/>
                <w:szCs w:val="20"/>
              </w:rPr>
              <w:t>4406</w:t>
            </w:r>
          </w:p>
        </w:tc>
        <w:tc>
          <w:tcPr>
            <w:tcW w:w="709" w:type="dxa"/>
            <w:vAlign w:val="center"/>
          </w:tcPr>
          <w:p w:rsidR="00CF0324" w:rsidRDefault="00124A10">
            <w:pPr>
              <w:jc w:val="center"/>
              <w:rPr>
                <w:sz w:val="20"/>
                <w:szCs w:val="20"/>
              </w:rPr>
            </w:pPr>
            <w:r>
              <w:rPr>
                <w:sz w:val="20"/>
                <w:szCs w:val="20"/>
              </w:rPr>
              <w:t>4418</w:t>
            </w:r>
          </w:p>
        </w:tc>
        <w:tc>
          <w:tcPr>
            <w:tcW w:w="709" w:type="dxa"/>
            <w:vAlign w:val="center"/>
          </w:tcPr>
          <w:p w:rsidR="00CF0324" w:rsidRDefault="00124A10">
            <w:pPr>
              <w:jc w:val="center"/>
              <w:rPr>
                <w:sz w:val="20"/>
                <w:szCs w:val="20"/>
              </w:rPr>
            </w:pPr>
            <w:r>
              <w:rPr>
                <w:sz w:val="20"/>
                <w:szCs w:val="20"/>
              </w:rPr>
              <w:t>4344</w:t>
            </w:r>
          </w:p>
        </w:tc>
        <w:tc>
          <w:tcPr>
            <w:tcW w:w="709" w:type="dxa"/>
            <w:vAlign w:val="center"/>
          </w:tcPr>
          <w:p w:rsidR="00CF0324" w:rsidRDefault="00124A10">
            <w:pPr>
              <w:jc w:val="center"/>
              <w:rPr>
                <w:sz w:val="20"/>
                <w:szCs w:val="20"/>
              </w:rPr>
            </w:pPr>
            <w:r>
              <w:rPr>
                <w:sz w:val="20"/>
                <w:szCs w:val="20"/>
              </w:rPr>
              <w:t>4319</w:t>
            </w:r>
          </w:p>
        </w:tc>
        <w:tc>
          <w:tcPr>
            <w:tcW w:w="709" w:type="dxa"/>
            <w:vAlign w:val="center"/>
          </w:tcPr>
          <w:p w:rsidR="00CF0324" w:rsidRDefault="00124A10">
            <w:pPr>
              <w:jc w:val="center"/>
              <w:rPr>
                <w:sz w:val="20"/>
                <w:szCs w:val="20"/>
              </w:rPr>
            </w:pPr>
            <w:r>
              <w:rPr>
                <w:sz w:val="20"/>
                <w:szCs w:val="20"/>
              </w:rPr>
              <w:t>4257</w:t>
            </w:r>
          </w:p>
        </w:tc>
        <w:tc>
          <w:tcPr>
            <w:tcW w:w="709" w:type="dxa"/>
            <w:vAlign w:val="center"/>
          </w:tcPr>
          <w:p w:rsidR="00CF0324" w:rsidRDefault="00124A10">
            <w:pPr>
              <w:jc w:val="center"/>
              <w:rPr>
                <w:sz w:val="20"/>
                <w:szCs w:val="20"/>
              </w:rPr>
            </w:pPr>
            <w:r>
              <w:rPr>
                <w:sz w:val="20"/>
                <w:szCs w:val="20"/>
              </w:rPr>
              <w:t>99</w:t>
            </w:r>
          </w:p>
        </w:tc>
        <w:tc>
          <w:tcPr>
            <w:tcW w:w="850" w:type="dxa"/>
            <w:vAlign w:val="center"/>
          </w:tcPr>
          <w:p w:rsidR="00CF0324" w:rsidRDefault="00124A10">
            <w:pPr>
              <w:jc w:val="center"/>
              <w:rPr>
                <w:sz w:val="20"/>
                <w:szCs w:val="20"/>
              </w:rPr>
            </w:pPr>
            <w:r>
              <w:rPr>
                <w:sz w:val="20"/>
                <w:szCs w:val="20"/>
              </w:rPr>
              <w:t>98</w:t>
            </w:r>
          </w:p>
        </w:tc>
      </w:tr>
      <w:tr w:rsidR="00CF0324">
        <w:tc>
          <w:tcPr>
            <w:tcW w:w="567" w:type="dxa"/>
            <w:vAlign w:val="center"/>
          </w:tcPr>
          <w:p w:rsidR="00CF0324" w:rsidRDefault="00124A10">
            <w:pPr>
              <w:jc w:val="center"/>
              <w:rPr>
                <w:sz w:val="20"/>
                <w:szCs w:val="20"/>
              </w:rPr>
            </w:pPr>
            <w:r>
              <w:rPr>
                <w:sz w:val="20"/>
                <w:szCs w:val="20"/>
              </w:rPr>
              <w:t>3.</w:t>
            </w:r>
          </w:p>
        </w:tc>
        <w:tc>
          <w:tcPr>
            <w:tcW w:w="2835" w:type="dxa"/>
            <w:vAlign w:val="center"/>
          </w:tcPr>
          <w:p w:rsidR="00CF0324" w:rsidRDefault="00124A10">
            <w:pPr>
              <w:jc w:val="both"/>
              <w:rPr>
                <w:sz w:val="20"/>
                <w:szCs w:val="20"/>
              </w:rPr>
            </w:pPr>
            <w:r>
              <w:rPr>
                <w:sz w:val="20"/>
                <w:szCs w:val="2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708" w:type="dxa"/>
            <w:vAlign w:val="center"/>
          </w:tcPr>
          <w:p w:rsidR="00CF0324" w:rsidRDefault="00124A10">
            <w:pPr>
              <w:jc w:val="center"/>
              <w:rPr>
                <w:sz w:val="20"/>
                <w:szCs w:val="20"/>
              </w:rPr>
            </w:pPr>
            <w:r>
              <w:rPr>
                <w:sz w:val="20"/>
                <w:szCs w:val="20"/>
              </w:rPr>
              <w:t>0,0</w:t>
            </w:r>
          </w:p>
        </w:tc>
        <w:tc>
          <w:tcPr>
            <w:tcW w:w="708" w:type="dxa"/>
            <w:vAlign w:val="center"/>
          </w:tcPr>
          <w:p w:rsidR="00CF0324" w:rsidRDefault="00124A10">
            <w:pPr>
              <w:jc w:val="center"/>
              <w:rPr>
                <w:sz w:val="20"/>
                <w:szCs w:val="20"/>
              </w:rPr>
            </w:pPr>
            <w:r>
              <w:rPr>
                <w:sz w:val="20"/>
                <w:szCs w:val="20"/>
              </w:rPr>
              <w:t>6,7</w:t>
            </w:r>
          </w:p>
        </w:tc>
        <w:tc>
          <w:tcPr>
            <w:tcW w:w="710" w:type="dxa"/>
            <w:vAlign w:val="center"/>
          </w:tcPr>
          <w:p w:rsidR="00CF0324" w:rsidRDefault="00124A10">
            <w:pPr>
              <w:jc w:val="center"/>
              <w:rPr>
                <w:sz w:val="20"/>
                <w:szCs w:val="20"/>
              </w:rPr>
            </w:pPr>
            <w:r>
              <w:rPr>
                <w:sz w:val="20"/>
                <w:szCs w:val="20"/>
              </w:rPr>
              <w:t>6,2</w:t>
            </w:r>
          </w:p>
        </w:tc>
        <w:tc>
          <w:tcPr>
            <w:tcW w:w="709" w:type="dxa"/>
            <w:vAlign w:val="center"/>
          </w:tcPr>
          <w:p w:rsidR="00CF0324" w:rsidRDefault="00124A10">
            <w:pPr>
              <w:jc w:val="center"/>
              <w:rPr>
                <w:sz w:val="20"/>
                <w:szCs w:val="20"/>
              </w:rPr>
            </w:pPr>
            <w:r>
              <w:rPr>
                <w:sz w:val="20"/>
                <w:szCs w:val="20"/>
              </w:rPr>
              <w:t>7,4</w:t>
            </w:r>
          </w:p>
        </w:tc>
        <w:tc>
          <w:tcPr>
            <w:tcW w:w="709" w:type="dxa"/>
            <w:vAlign w:val="center"/>
          </w:tcPr>
          <w:p w:rsidR="00CF0324" w:rsidRDefault="00124A10">
            <w:pPr>
              <w:jc w:val="center"/>
              <w:rPr>
                <w:sz w:val="20"/>
                <w:szCs w:val="20"/>
              </w:rPr>
            </w:pPr>
            <w:r>
              <w:rPr>
                <w:sz w:val="20"/>
                <w:szCs w:val="20"/>
              </w:rPr>
              <w:t>21,0</w:t>
            </w:r>
          </w:p>
        </w:tc>
        <w:tc>
          <w:tcPr>
            <w:tcW w:w="709" w:type="dxa"/>
            <w:vAlign w:val="center"/>
          </w:tcPr>
          <w:p w:rsidR="00CF0324" w:rsidRDefault="00124A10">
            <w:pPr>
              <w:jc w:val="center"/>
              <w:rPr>
                <w:sz w:val="20"/>
                <w:szCs w:val="20"/>
              </w:rPr>
            </w:pPr>
            <w:r>
              <w:rPr>
                <w:sz w:val="20"/>
                <w:szCs w:val="20"/>
              </w:rPr>
              <w:t>21,4</w:t>
            </w:r>
          </w:p>
        </w:tc>
        <w:tc>
          <w:tcPr>
            <w:tcW w:w="709" w:type="dxa"/>
            <w:vAlign w:val="center"/>
          </w:tcPr>
          <w:p w:rsidR="00CF0324" w:rsidRDefault="00124A10">
            <w:pPr>
              <w:jc w:val="center"/>
              <w:rPr>
                <w:sz w:val="20"/>
                <w:szCs w:val="20"/>
              </w:rPr>
            </w:pPr>
            <w:r>
              <w:rPr>
                <w:sz w:val="20"/>
                <w:szCs w:val="20"/>
              </w:rPr>
              <w:t>10,5</w:t>
            </w:r>
          </w:p>
        </w:tc>
        <w:tc>
          <w:tcPr>
            <w:tcW w:w="709" w:type="dxa"/>
            <w:vAlign w:val="center"/>
          </w:tcPr>
          <w:p w:rsidR="00CF0324" w:rsidRDefault="00124A10">
            <w:pPr>
              <w:jc w:val="center"/>
              <w:rPr>
                <w:sz w:val="20"/>
                <w:szCs w:val="20"/>
              </w:rPr>
            </w:pPr>
            <w:r>
              <w:rPr>
                <w:sz w:val="20"/>
                <w:szCs w:val="20"/>
              </w:rPr>
              <w:t>49</w:t>
            </w:r>
          </w:p>
        </w:tc>
        <w:tc>
          <w:tcPr>
            <w:tcW w:w="850" w:type="dxa"/>
            <w:vAlign w:val="center"/>
          </w:tcPr>
          <w:p w:rsidR="00CF0324" w:rsidRDefault="00124A10">
            <w:pPr>
              <w:jc w:val="center"/>
              <w:rPr>
                <w:sz w:val="20"/>
                <w:szCs w:val="20"/>
              </w:rPr>
            </w:pPr>
            <w:r>
              <w:rPr>
                <w:sz w:val="20"/>
                <w:szCs w:val="20"/>
              </w:rPr>
              <w:t>х</w:t>
            </w:r>
          </w:p>
        </w:tc>
      </w:tr>
      <w:tr w:rsidR="00CF0324">
        <w:trPr>
          <w:trHeight w:val="186"/>
        </w:trPr>
        <w:tc>
          <w:tcPr>
            <w:tcW w:w="567" w:type="dxa"/>
            <w:vAlign w:val="center"/>
          </w:tcPr>
          <w:p w:rsidR="00CF0324" w:rsidRDefault="00124A10">
            <w:pPr>
              <w:jc w:val="center"/>
              <w:rPr>
                <w:sz w:val="20"/>
                <w:szCs w:val="20"/>
              </w:rPr>
            </w:pPr>
            <w:r>
              <w:rPr>
                <w:sz w:val="20"/>
                <w:szCs w:val="20"/>
              </w:rPr>
              <w:t>4.</w:t>
            </w:r>
          </w:p>
        </w:tc>
        <w:tc>
          <w:tcPr>
            <w:tcW w:w="2835" w:type="dxa"/>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708" w:type="dxa"/>
            <w:vAlign w:val="center"/>
          </w:tcPr>
          <w:p w:rsidR="00CF0324" w:rsidRDefault="00124A10">
            <w:pPr>
              <w:jc w:val="center"/>
              <w:rPr>
                <w:sz w:val="20"/>
                <w:szCs w:val="20"/>
              </w:rPr>
            </w:pPr>
            <w:r>
              <w:rPr>
                <w:sz w:val="20"/>
                <w:szCs w:val="20"/>
              </w:rPr>
              <w:t>40,0</w:t>
            </w:r>
          </w:p>
        </w:tc>
        <w:tc>
          <w:tcPr>
            <w:tcW w:w="708" w:type="dxa"/>
            <w:vAlign w:val="center"/>
          </w:tcPr>
          <w:p w:rsidR="00CF0324" w:rsidRDefault="00124A10">
            <w:pPr>
              <w:jc w:val="center"/>
              <w:rPr>
                <w:sz w:val="20"/>
                <w:szCs w:val="20"/>
              </w:rPr>
            </w:pPr>
            <w:r>
              <w:rPr>
                <w:sz w:val="20"/>
                <w:szCs w:val="20"/>
              </w:rPr>
              <w:t>46,7</w:t>
            </w:r>
          </w:p>
        </w:tc>
        <w:tc>
          <w:tcPr>
            <w:tcW w:w="710" w:type="dxa"/>
            <w:vAlign w:val="center"/>
          </w:tcPr>
          <w:p w:rsidR="00CF0324" w:rsidRDefault="00124A10">
            <w:pPr>
              <w:jc w:val="center"/>
              <w:rPr>
                <w:sz w:val="20"/>
                <w:szCs w:val="20"/>
              </w:rPr>
            </w:pPr>
            <w:r>
              <w:rPr>
                <w:sz w:val="20"/>
                <w:szCs w:val="20"/>
              </w:rPr>
              <w:t>46,7</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6,7</w:t>
            </w:r>
          </w:p>
        </w:tc>
        <w:tc>
          <w:tcPr>
            <w:tcW w:w="709" w:type="dxa"/>
            <w:vAlign w:val="center"/>
          </w:tcPr>
          <w:p w:rsidR="00CF0324" w:rsidRDefault="00124A10">
            <w:pPr>
              <w:jc w:val="center"/>
              <w:rPr>
                <w:sz w:val="20"/>
                <w:szCs w:val="20"/>
              </w:rPr>
            </w:pPr>
            <w:r>
              <w:rPr>
                <w:sz w:val="20"/>
                <w:szCs w:val="20"/>
              </w:rPr>
              <w:t>6,7</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17</w:t>
            </w:r>
          </w:p>
        </w:tc>
      </w:tr>
      <w:tr w:rsidR="00CF0324">
        <w:trPr>
          <w:trHeight w:val="186"/>
        </w:trPr>
        <w:tc>
          <w:tcPr>
            <w:tcW w:w="567" w:type="dxa"/>
            <w:vAlign w:val="center"/>
          </w:tcPr>
          <w:p w:rsidR="00CF0324" w:rsidRDefault="00124A10">
            <w:pPr>
              <w:jc w:val="center"/>
              <w:rPr>
                <w:sz w:val="20"/>
                <w:szCs w:val="20"/>
              </w:rPr>
            </w:pPr>
            <w:r>
              <w:rPr>
                <w:sz w:val="20"/>
                <w:szCs w:val="20"/>
              </w:rPr>
              <w:t>5.</w:t>
            </w:r>
          </w:p>
        </w:tc>
        <w:tc>
          <w:tcPr>
            <w:tcW w:w="2835" w:type="dxa"/>
          </w:tcPr>
          <w:p w:rsidR="00CF0324" w:rsidRDefault="00124A10">
            <w:pPr>
              <w:shd w:val="clear" w:color="auto" w:fill="FFFFFF"/>
              <w:rPr>
                <w:sz w:val="20"/>
                <w:szCs w:val="20"/>
              </w:rPr>
            </w:pPr>
            <w:r>
              <w:rPr>
                <w:sz w:val="20"/>
                <w:szCs w:val="20"/>
              </w:rPr>
              <w:t>Доля муниципальных общеобразовательных организаций,</w:t>
            </w:r>
          </w:p>
          <w:p w:rsidR="00CF0324" w:rsidRDefault="00124A10">
            <w:pPr>
              <w:shd w:val="clear" w:color="auto" w:fill="FFFFFF"/>
              <w:rPr>
                <w:sz w:val="20"/>
                <w:szCs w:val="20"/>
              </w:rPr>
            </w:pPr>
            <w:r>
              <w:rPr>
                <w:sz w:val="20"/>
                <w:szCs w:val="20"/>
              </w:rPr>
              <w:t>соответствующих современным</w:t>
            </w:r>
          </w:p>
          <w:p w:rsidR="00CF0324" w:rsidRDefault="00124A10">
            <w:pPr>
              <w:shd w:val="clear" w:color="auto" w:fill="FFFFFF"/>
              <w:rPr>
                <w:sz w:val="20"/>
                <w:szCs w:val="20"/>
              </w:rPr>
            </w:pPr>
            <w:r>
              <w:rPr>
                <w:sz w:val="20"/>
                <w:szCs w:val="20"/>
              </w:rPr>
              <w:t>требованиям обучения, в общем</w:t>
            </w:r>
          </w:p>
          <w:p w:rsidR="00CF0324" w:rsidRDefault="00124A10">
            <w:pPr>
              <w:shd w:val="clear" w:color="auto" w:fill="FFFFFF"/>
              <w:rPr>
                <w:sz w:val="20"/>
                <w:szCs w:val="20"/>
              </w:rPr>
            </w:pPr>
            <w:r>
              <w:rPr>
                <w:sz w:val="20"/>
                <w:szCs w:val="20"/>
              </w:rPr>
              <w:t>количестве муниципальных</w:t>
            </w:r>
          </w:p>
          <w:p w:rsidR="00CF0324" w:rsidRDefault="00124A10">
            <w:pPr>
              <w:shd w:val="clear" w:color="auto" w:fill="FFFFFF"/>
              <w:rPr>
                <w:sz w:val="20"/>
                <w:szCs w:val="20"/>
              </w:rPr>
            </w:pPr>
            <w:r>
              <w:rPr>
                <w:sz w:val="20"/>
                <w:szCs w:val="20"/>
              </w:rPr>
              <w:t>общеобразовательных организаций, %</w:t>
            </w:r>
          </w:p>
        </w:tc>
        <w:tc>
          <w:tcPr>
            <w:tcW w:w="708" w:type="dxa"/>
            <w:vAlign w:val="center"/>
          </w:tcPr>
          <w:p w:rsidR="00CF0324" w:rsidRDefault="00124A10">
            <w:pPr>
              <w:jc w:val="center"/>
              <w:rPr>
                <w:sz w:val="20"/>
                <w:szCs w:val="20"/>
              </w:rPr>
            </w:pPr>
            <w:r>
              <w:rPr>
                <w:sz w:val="20"/>
                <w:szCs w:val="20"/>
              </w:rPr>
              <w:t>85,6</w:t>
            </w:r>
          </w:p>
        </w:tc>
        <w:tc>
          <w:tcPr>
            <w:tcW w:w="708" w:type="dxa"/>
            <w:vAlign w:val="center"/>
          </w:tcPr>
          <w:p w:rsidR="00CF0324" w:rsidRDefault="00124A10">
            <w:pPr>
              <w:jc w:val="center"/>
              <w:rPr>
                <w:sz w:val="20"/>
                <w:szCs w:val="20"/>
              </w:rPr>
            </w:pPr>
            <w:r>
              <w:rPr>
                <w:sz w:val="20"/>
                <w:szCs w:val="20"/>
              </w:rPr>
              <w:t>86,7</w:t>
            </w:r>
          </w:p>
        </w:tc>
        <w:tc>
          <w:tcPr>
            <w:tcW w:w="710" w:type="dxa"/>
            <w:vAlign w:val="center"/>
          </w:tcPr>
          <w:p w:rsidR="00CF0324" w:rsidRDefault="00124A10">
            <w:pPr>
              <w:jc w:val="center"/>
              <w:rPr>
                <w:sz w:val="20"/>
                <w:szCs w:val="20"/>
              </w:rPr>
            </w:pPr>
            <w:r>
              <w:rPr>
                <w:sz w:val="20"/>
                <w:szCs w:val="20"/>
              </w:rPr>
              <w:t>86,7</w:t>
            </w:r>
          </w:p>
        </w:tc>
        <w:tc>
          <w:tcPr>
            <w:tcW w:w="709" w:type="dxa"/>
            <w:vAlign w:val="center"/>
          </w:tcPr>
          <w:p w:rsidR="00CF0324" w:rsidRDefault="00124A10">
            <w:pPr>
              <w:jc w:val="center"/>
              <w:rPr>
                <w:sz w:val="20"/>
                <w:szCs w:val="20"/>
              </w:rPr>
            </w:pPr>
            <w:r>
              <w:rPr>
                <w:sz w:val="20"/>
                <w:szCs w:val="20"/>
              </w:rPr>
              <w:t>97,9</w:t>
            </w:r>
          </w:p>
        </w:tc>
        <w:tc>
          <w:tcPr>
            <w:tcW w:w="709" w:type="dxa"/>
            <w:vAlign w:val="center"/>
          </w:tcPr>
          <w:p w:rsidR="00CF0324" w:rsidRDefault="00124A10">
            <w:pPr>
              <w:jc w:val="center"/>
              <w:rPr>
                <w:sz w:val="20"/>
                <w:szCs w:val="20"/>
              </w:rPr>
            </w:pPr>
            <w:r>
              <w:rPr>
                <w:sz w:val="20"/>
                <w:szCs w:val="20"/>
              </w:rPr>
              <w:t>98,8</w:t>
            </w:r>
          </w:p>
        </w:tc>
        <w:tc>
          <w:tcPr>
            <w:tcW w:w="709" w:type="dxa"/>
            <w:vAlign w:val="center"/>
          </w:tcPr>
          <w:p w:rsidR="00CF0324" w:rsidRDefault="00124A10">
            <w:pPr>
              <w:jc w:val="center"/>
              <w:rPr>
                <w:sz w:val="20"/>
                <w:szCs w:val="20"/>
              </w:rPr>
            </w:pPr>
            <w:r>
              <w:rPr>
                <w:sz w:val="20"/>
                <w:szCs w:val="20"/>
              </w:rPr>
              <w:t>98,3</w:t>
            </w:r>
          </w:p>
        </w:tc>
        <w:tc>
          <w:tcPr>
            <w:tcW w:w="709" w:type="dxa"/>
            <w:vAlign w:val="center"/>
          </w:tcPr>
          <w:p w:rsidR="00CF0324" w:rsidRDefault="00124A10">
            <w:pPr>
              <w:jc w:val="center"/>
              <w:rPr>
                <w:sz w:val="20"/>
                <w:szCs w:val="20"/>
              </w:rPr>
            </w:pPr>
            <w:r>
              <w:rPr>
                <w:sz w:val="20"/>
                <w:szCs w:val="20"/>
              </w:rPr>
              <w:t>98,3</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115</w:t>
            </w:r>
          </w:p>
        </w:tc>
      </w:tr>
      <w:tr w:rsidR="00CF0324">
        <w:trPr>
          <w:trHeight w:val="186"/>
        </w:trPr>
        <w:tc>
          <w:tcPr>
            <w:tcW w:w="567" w:type="dxa"/>
            <w:vAlign w:val="center"/>
          </w:tcPr>
          <w:p w:rsidR="00CF0324" w:rsidRDefault="00124A10">
            <w:pPr>
              <w:jc w:val="center"/>
              <w:rPr>
                <w:sz w:val="20"/>
                <w:szCs w:val="20"/>
              </w:rPr>
            </w:pPr>
            <w:r>
              <w:rPr>
                <w:sz w:val="20"/>
                <w:szCs w:val="20"/>
              </w:rPr>
              <w:t>6.</w:t>
            </w:r>
          </w:p>
        </w:tc>
        <w:tc>
          <w:tcPr>
            <w:tcW w:w="2835" w:type="dxa"/>
          </w:tcPr>
          <w:p w:rsidR="00CF0324" w:rsidRDefault="00124A10">
            <w:pPr>
              <w:shd w:val="clear" w:color="auto" w:fill="FFFFFF"/>
              <w:rPr>
                <w:sz w:val="20"/>
                <w:szCs w:val="20"/>
              </w:rPr>
            </w:pPr>
            <w:r>
              <w:rPr>
                <w:sz w:val="20"/>
                <w:szCs w:val="20"/>
              </w:rPr>
              <w:t>Доля выпускников муниципальных</w:t>
            </w:r>
          </w:p>
          <w:p w:rsidR="00CF0324" w:rsidRDefault="00124A10">
            <w:pPr>
              <w:shd w:val="clear" w:color="auto" w:fill="FFFFFF"/>
              <w:rPr>
                <w:sz w:val="20"/>
                <w:szCs w:val="20"/>
              </w:rPr>
            </w:pPr>
            <w:r>
              <w:rPr>
                <w:sz w:val="20"/>
                <w:szCs w:val="20"/>
              </w:rPr>
              <w:t xml:space="preserve">общеобразовательных учреждений, не получивших </w:t>
            </w:r>
            <w:r>
              <w:rPr>
                <w:sz w:val="20"/>
                <w:szCs w:val="20"/>
              </w:rPr>
              <w:lastRenderedPageBreak/>
              <w:t>аттестат о среднем (полном) образовании, в общей численности выпускников муниципальных общеобразовательных учреждений, %</w:t>
            </w:r>
          </w:p>
        </w:tc>
        <w:tc>
          <w:tcPr>
            <w:tcW w:w="708" w:type="dxa"/>
            <w:vAlign w:val="center"/>
          </w:tcPr>
          <w:p w:rsidR="00CF0324" w:rsidRDefault="00124A10">
            <w:pPr>
              <w:jc w:val="center"/>
              <w:rPr>
                <w:sz w:val="20"/>
                <w:szCs w:val="20"/>
              </w:rPr>
            </w:pPr>
            <w:r>
              <w:rPr>
                <w:sz w:val="20"/>
                <w:szCs w:val="20"/>
              </w:rPr>
              <w:lastRenderedPageBreak/>
              <w:t>1,1</w:t>
            </w:r>
          </w:p>
        </w:tc>
        <w:tc>
          <w:tcPr>
            <w:tcW w:w="708" w:type="dxa"/>
            <w:vAlign w:val="center"/>
          </w:tcPr>
          <w:p w:rsidR="00CF0324" w:rsidRDefault="00124A10">
            <w:pPr>
              <w:jc w:val="center"/>
              <w:rPr>
                <w:sz w:val="20"/>
                <w:szCs w:val="20"/>
              </w:rPr>
            </w:pPr>
            <w:r>
              <w:rPr>
                <w:sz w:val="20"/>
                <w:szCs w:val="20"/>
              </w:rPr>
              <w:t>1,6</w:t>
            </w:r>
          </w:p>
        </w:tc>
        <w:tc>
          <w:tcPr>
            <w:tcW w:w="710" w:type="dxa"/>
            <w:vAlign w:val="center"/>
          </w:tcPr>
          <w:p w:rsidR="00CF0324" w:rsidRDefault="00124A10">
            <w:pPr>
              <w:jc w:val="center"/>
              <w:rPr>
                <w:sz w:val="20"/>
                <w:szCs w:val="20"/>
              </w:rPr>
            </w:pPr>
            <w:r>
              <w:rPr>
                <w:sz w:val="20"/>
                <w:szCs w:val="20"/>
              </w:rPr>
              <w:t>0,6</w:t>
            </w:r>
          </w:p>
        </w:tc>
        <w:tc>
          <w:tcPr>
            <w:tcW w:w="709" w:type="dxa"/>
            <w:vAlign w:val="center"/>
          </w:tcPr>
          <w:p w:rsidR="00CF0324" w:rsidRDefault="00124A10">
            <w:pPr>
              <w:jc w:val="center"/>
              <w:rPr>
                <w:sz w:val="20"/>
                <w:szCs w:val="20"/>
              </w:rPr>
            </w:pPr>
            <w:r>
              <w:rPr>
                <w:sz w:val="20"/>
                <w:szCs w:val="20"/>
              </w:rPr>
              <w:t>1,8</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0,7</w:t>
            </w:r>
          </w:p>
        </w:tc>
        <w:tc>
          <w:tcPr>
            <w:tcW w:w="709" w:type="dxa"/>
            <w:vAlign w:val="center"/>
          </w:tcPr>
          <w:p w:rsidR="00CF0324" w:rsidRDefault="00124A10">
            <w:pPr>
              <w:jc w:val="center"/>
              <w:rPr>
                <w:sz w:val="20"/>
                <w:szCs w:val="20"/>
              </w:rPr>
            </w:pPr>
            <w:r>
              <w:rPr>
                <w:sz w:val="20"/>
                <w:szCs w:val="20"/>
              </w:rPr>
              <w:t>х</w:t>
            </w:r>
          </w:p>
        </w:tc>
        <w:tc>
          <w:tcPr>
            <w:tcW w:w="850" w:type="dxa"/>
            <w:vAlign w:val="center"/>
          </w:tcPr>
          <w:p w:rsidR="00CF0324" w:rsidRDefault="00124A10">
            <w:pPr>
              <w:jc w:val="center"/>
              <w:rPr>
                <w:sz w:val="20"/>
                <w:szCs w:val="20"/>
              </w:rPr>
            </w:pPr>
            <w:r>
              <w:rPr>
                <w:sz w:val="20"/>
                <w:szCs w:val="20"/>
              </w:rPr>
              <w:t>64</w:t>
            </w:r>
          </w:p>
        </w:tc>
      </w:tr>
      <w:tr w:rsidR="00CF0324">
        <w:trPr>
          <w:trHeight w:val="186"/>
        </w:trPr>
        <w:tc>
          <w:tcPr>
            <w:tcW w:w="567" w:type="dxa"/>
            <w:vAlign w:val="center"/>
          </w:tcPr>
          <w:p w:rsidR="00CF0324" w:rsidRDefault="00124A10">
            <w:pPr>
              <w:jc w:val="center"/>
              <w:rPr>
                <w:sz w:val="20"/>
                <w:szCs w:val="20"/>
              </w:rPr>
            </w:pPr>
            <w:r>
              <w:rPr>
                <w:sz w:val="20"/>
                <w:szCs w:val="20"/>
              </w:rPr>
              <w:lastRenderedPageBreak/>
              <w:t>7.</w:t>
            </w:r>
          </w:p>
        </w:tc>
        <w:tc>
          <w:tcPr>
            <w:tcW w:w="2835" w:type="dxa"/>
          </w:tcPr>
          <w:p w:rsidR="00CF0324" w:rsidRDefault="00124A10">
            <w:pPr>
              <w:shd w:val="clear" w:color="auto" w:fill="FFFFFF"/>
              <w:rPr>
                <w:sz w:val="20"/>
                <w:szCs w:val="20"/>
              </w:rPr>
            </w:pPr>
            <w:r>
              <w:rPr>
                <w:sz w:val="20"/>
                <w:szCs w:val="20"/>
              </w:rPr>
              <w:t>Доля педагогических</w:t>
            </w:r>
          </w:p>
          <w:p w:rsidR="00CF0324" w:rsidRDefault="00124A10">
            <w:pPr>
              <w:shd w:val="clear" w:color="auto" w:fill="FFFFFF"/>
              <w:rPr>
                <w:sz w:val="20"/>
                <w:szCs w:val="20"/>
              </w:rPr>
            </w:pPr>
            <w:r>
              <w:rPr>
                <w:sz w:val="20"/>
                <w:szCs w:val="20"/>
              </w:rPr>
              <w:t>Работников общеобразовательных</w:t>
            </w:r>
          </w:p>
          <w:p w:rsidR="00CF0324" w:rsidRDefault="00124A10">
            <w:pPr>
              <w:shd w:val="clear" w:color="auto" w:fill="FFFFFF"/>
              <w:rPr>
                <w:sz w:val="20"/>
                <w:szCs w:val="20"/>
              </w:rPr>
            </w:pPr>
            <w:r>
              <w:rPr>
                <w:sz w:val="20"/>
                <w:szCs w:val="20"/>
              </w:rPr>
              <w:t>организаций, прошедших</w:t>
            </w:r>
          </w:p>
          <w:p w:rsidR="00CF0324" w:rsidRDefault="00124A10">
            <w:pPr>
              <w:shd w:val="clear" w:color="auto" w:fill="FFFFFF"/>
              <w:rPr>
                <w:sz w:val="20"/>
                <w:szCs w:val="20"/>
              </w:rPr>
            </w:pPr>
            <w:r>
              <w:rPr>
                <w:sz w:val="20"/>
                <w:szCs w:val="20"/>
              </w:rPr>
              <w:t>повышение квалификации,</w:t>
            </w:r>
          </w:p>
          <w:p w:rsidR="00CF0324" w:rsidRDefault="00124A10">
            <w:pPr>
              <w:shd w:val="clear" w:color="auto" w:fill="FFFFFF"/>
              <w:rPr>
                <w:sz w:val="20"/>
                <w:szCs w:val="20"/>
              </w:rPr>
            </w:pPr>
            <w:r>
              <w:rPr>
                <w:sz w:val="20"/>
                <w:szCs w:val="20"/>
              </w:rPr>
              <w:t>в том числе: непрерывного</w:t>
            </w:r>
          </w:p>
          <w:p w:rsidR="00CF0324" w:rsidRDefault="00124A10">
            <w:pPr>
              <w:shd w:val="clear" w:color="auto" w:fill="FFFFFF"/>
              <w:rPr>
                <w:sz w:val="20"/>
                <w:szCs w:val="20"/>
              </w:rPr>
            </w:pPr>
            <w:r>
              <w:rPr>
                <w:sz w:val="20"/>
                <w:szCs w:val="20"/>
              </w:rPr>
              <w:t>повышения профессионального</w:t>
            </w:r>
          </w:p>
          <w:p w:rsidR="00CF0324" w:rsidRDefault="00124A10">
            <w:pPr>
              <w:shd w:val="clear" w:color="auto" w:fill="FFFFFF"/>
              <w:rPr>
                <w:sz w:val="20"/>
                <w:szCs w:val="20"/>
              </w:rPr>
            </w:pPr>
            <w:r>
              <w:rPr>
                <w:sz w:val="20"/>
                <w:szCs w:val="20"/>
              </w:rPr>
              <w:t>мастерства, %</w:t>
            </w:r>
          </w:p>
        </w:tc>
        <w:tc>
          <w:tcPr>
            <w:tcW w:w="708" w:type="dxa"/>
            <w:vAlign w:val="center"/>
          </w:tcPr>
          <w:p w:rsidR="00CF0324" w:rsidRDefault="00124A10">
            <w:pPr>
              <w:jc w:val="center"/>
              <w:rPr>
                <w:sz w:val="20"/>
                <w:szCs w:val="20"/>
              </w:rPr>
            </w:pPr>
            <w:r>
              <w:rPr>
                <w:sz w:val="20"/>
                <w:szCs w:val="20"/>
              </w:rPr>
              <w:t>-</w:t>
            </w:r>
          </w:p>
        </w:tc>
        <w:tc>
          <w:tcPr>
            <w:tcW w:w="708" w:type="dxa"/>
            <w:vAlign w:val="center"/>
          </w:tcPr>
          <w:p w:rsidR="00CF0324" w:rsidRDefault="00124A10">
            <w:pPr>
              <w:jc w:val="center"/>
              <w:rPr>
                <w:sz w:val="20"/>
                <w:szCs w:val="20"/>
              </w:rPr>
            </w:pPr>
            <w:r>
              <w:rPr>
                <w:sz w:val="20"/>
                <w:szCs w:val="20"/>
              </w:rPr>
              <w:t>-</w:t>
            </w:r>
          </w:p>
        </w:tc>
        <w:tc>
          <w:tcPr>
            <w:tcW w:w="710" w:type="dxa"/>
            <w:vAlign w:val="center"/>
          </w:tcPr>
          <w:p w:rsidR="00CF0324" w:rsidRDefault="00124A10">
            <w:pPr>
              <w:jc w:val="center"/>
              <w:rPr>
                <w:sz w:val="20"/>
                <w:szCs w:val="20"/>
              </w:rPr>
            </w:pPr>
            <w:r>
              <w:rPr>
                <w:sz w:val="20"/>
                <w:szCs w:val="20"/>
              </w:rPr>
              <w:t>-</w:t>
            </w:r>
          </w:p>
        </w:tc>
        <w:tc>
          <w:tcPr>
            <w:tcW w:w="709" w:type="dxa"/>
            <w:vAlign w:val="center"/>
          </w:tcPr>
          <w:p w:rsidR="00CF0324" w:rsidRDefault="00124A10">
            <w:pPr>
              <w:jc w:val="center"/>
              <w:rPr>
                <w:sz w:val="20"/>
                <w:szCs w:val="20"/>
              </w:rPr>
            </w:pPr>
            <w:r>
              <w:rPr>
                <w:sz w:val="20"/>
                <w:szCs w:val="20"/>
              </w:rPr>
              <w:t>-</w:t>
            </w:r>
          </w:p>
        </w:tc>
        <w:tc>
          <w:tcPr>
            <w:tcW w:w="709" w:type="dxa"/>
            <w:vAlign w:val="center"/>
          </w:tcPr>
          <w:p w:rsidR="00CF0324" w:rsidRDefault="00124A10">
            <w:pPr>
              <w:jc w:val="center"/>
              <w:rPr>
                <w:sz w:val="20"/>
                <w:szCs w:val="20"/>
              </w:rPr>
            </w:pPr>
            <w:r>
              <w:rPr>
                <w:sz w:val="20"/>
                <w:szCs w:val="20"/>
              </w:rPr>
              <w:t>-</w:t>
            </w:r>
          </w:p>
        </w:tc>
        <w:tc>
          <w:tcPr>
            <w:tcW w:w="709" w:type="dxa"/>
            <w:vAlign w:val="center"/>
          </w:tcPr>
          <w:p w:rsidR="00CF0324" w:rsidRDefault="00124A10">
            <w:pPr>
              <w:jc w:val="center"/>
              <w:rPr>
                <w:sz w:val="20"/>
                <w:szCs w:val="20"/>
              </w:rPr>
            </w:pPr>
            <w:r>
              <w:rPr>
                <w:sz w:val="20"/>
                <w:szCs w:val="20"/>
              </w:rPr>
              <w:t>-</w:t>
            </w:r>
          </w:p>
        </w:tc>
        <w:tc>
          <w:tcPr>
            <w:tcW w:w="709" w:type="dxa"/>
            <w:vAlign w:val="center"/>
          </w:tcPr>
          <w:p w:rsidR="00CF0324" w:rsidRDefault="00124A10">
            <w:pPr>
              <w:jc w:val="center"/>
              <w:rPr>
                <w:sz w:val="20"/>
                <w:szCs w:val="20"/>
              </w:rPr>
            </w:pPr>
            <w:r>
              <w:rPr>
                <w:sz w:val="20"/>
                <w:szCs w:val="20"/>
              </w:rPr>
              <w:t>33</w:t>
            </w:r>
          </w:p>
        </w:tc>
        <w:tc>
          <w:tcPr>
            <w:tcW w:w="709" w:type="dxa"/>
            <w:vAlign w:val="center"/>
          </w:tcPr>
          <w:p w:rsidR="00CF0324" w:rsidRDefault="00124A10">
            <w:pPr>
              <w:jc w:val="center"/>
              <w:rPr>
                <w:sz w:val="20"/>
                <w:szCs w:val="20"/>
              </w:rPr>
            </w:pPr>
            <w:r>
              <w:rPr>
                <w:sz w:val="20"/>
                <w:szCs w:val="20"/>
              </w:rPr>
              <w:t>-</w:t>
            </w:r>
          </w:p>
        </w:tc>
        <w:tc>
          <w:tcPr>
            <w:tcW w:w="850" w:type="dxa"/>
            <w:vAlign w:val="center"/>
          </w:tcPr>
          <w:p w:rsidR="00CF0324" w:rsidRDefault="00124A10">
            <w:pPr>
              <w:jc w:val="center"/>
              <w:rPr>
                <w:sz w:val="20"/>
                <w:szCs w:val="20"/>
              </w:rPr>
            </w:pPr>
            <w:r>
              <w:rPr>
                <w:sz w:val="20"/>
                <w:szCs w:val="20"/>
              </w:rPr>
              <w:t>-</w:t>
            </w:r>
          </w:p>
        </w:tc>
      </w:tr>
      <w:tr w:rsidR="00CF0324">
        <w:trPr>
          <w:trHeight w:val="186"/>
        </w:trPr>
        <w:tc>
          <w:tcPr>
            <w:tcW w:w="9923" w:type="dxa"/>
            <w:gridSpan w:val="11"/>
            <w:vAlign w:val="center"/>
          </w:tcPr>
          <w:p w:rsidR="00CF0324" w:rsidRDefault="00124A10">
            <w:pPr>
              <w:jc w:val="center"/>
              <w:rPr>
                <w:i/>
                <w:sz w:val="20"/>
                <w:szCs w:val="20"/>
              </w:rPr>
            </w:pPr>
            <w:r>
              <w:rPr>
                <w:i/>
                <w:sz w:val="20"/>
                <w:szCs w:val="20"/>
              </w:rPr>
              <w:t>Дошкольное образование</w:t>
            </w:r>
          </w:p>
        </w:tc>
      </w:tr>
      <w:tr w:rsidR="00CF0324">
        <w:trPr>
          <w:trHeight w:val="186"/>
        </w:trPr>
        <w:tc>
          <w:tcPr>
            <w:tcW w:w="567" w:type="dxa"/>
            <w:vAlign w:val="center"/>
          </w:tcPr>
          <w:p w:rsidR="00CF0324" w:rsidRDefault="00124A10">
            <w:pPr>
              <w:jc w:val="center"/>
              <w:rPr>
                <w:sz w:val="20"/>
                <w:szCs w:val="20"/>
              </w:rPr>
            </w:pPr>
            <w:r>
              <w:rPr>
                <w:sz w:val="20"/>
                <w:szCs w:val="20"/>
              </w:rPr>
              <w:t>8.</w:t>
            </w:r>
          </w:p>
        </w:tc>
        <w:tc>
          <w:tcPr>
            <w:tcW w:w="2835" w:type="dxa"/>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Количество дошкольных образовательных учреждений, единиц</w:t>
            </w:r>
          </w:p>
        </w:tc>
        <w:tc>
          <w:tcPr>
            <w:tcW w:w="708" w:type="dxa"/>
            <w:vAlign w:val="center"/>
          </w:tcPr>
          <w:p w:rsidR="00CF0324" w:rsidRDefault="00124A10">
            <w:pPr>
              <w:jc w:val="center"/>
              <w:rPr>
                <w:sz w:val="20"/>
                <w:szCs w:val="20"/>
              </w:rPr>
            </w:pPr>
            <w:r>
              <w:rPr>
                <w:sz w:val="20"/>
                <w:szCs w:val="20"/>
              </w:rPr>
              <w:t>11</w:t>
            </w:r>
          </w:p>
        </w:tc>
        <w:tc>
          <w:tcPr>
            <w:tcW w:w="708" w:type="dxa"/>
            <w:vAlign w:val="center"/>
          </w:tcPr>
          <w:p w:rsidR="00CF0324" w:rsidRDefault="00124A10">
            <w:pPr>
              <w:jc w:val="center"/>
              <w:rPr>
                <w:sz w:val="20"/>
                <w:szCs w:val="20"/>
              </w:rPr>
            </w:pPr>
            <w:r>
              <w:rPr>
                <w:sz w:val="20"/>
                <w:szCs w:val="20"/>
              </w:rPr>
              <w:t>10</w:t>
            </w:r>
          </w:p>
        </w:tc>
        <w:tc>
          <w:tcPr>
            <w:tcW w:w="710" w:type="dxa"/>
            <w:vAlign w:val="center"/>
          </w:tcPr>
          <w:p w:rsidR="00CF0324" w:rsidRDefault="00124A10">
            <w:pPr>
              <w:jc w:val="center"/>
              <w:rPr>
                <w:sz w:val="20"/>
                <w:szCs w:val="20"/>
              </w:rPr>
            </w:pPr>
            <w:r>
              <w:rPr>
                <w:sz w:val="20"/>
                <w:szCs w:val="20"/>
              </w:rPr>
              <w:t>10</w:t>
            </w:r>
          </w:p>
        </w:tc>
        <w:tc>
          <w:tcPr>
            <w:tcW w:w="709" w:type="dxa"/>
            <w:vAlign w:val="center"/>
          </w:tcPr>
          <w:p w:rsidR="00CF0324" w:rsidRDefault="00124A10">
            <w:pPr>
              <w:jc w:val="center"/>
              <w:rPr>
                <w:sz w:val="20"/>
                <w:szCs w:val="20"/>
              </w:rPr>
            </w:pPr>
            <w:r>
              <w:rPr>
                <w:sz w:val="20"/>
                <w:szCs w:val="20"/>
              </w:rPr>
              <w:t>10</w:t>
            </w:r>
          </w:p>
        </w:tc>
        <w:tc>
          <w:tcPr>
            <w:tcW w:w="709" w:type="dxa"/>
            <w:vAlign w:val="center"/>
          </w:tcPr>
          <w:p w:rsidR="00CF0324" w:rsidRDefault="00124A10">
            <w:pPr>
              <w:jc w:val="center"/>
              <w:rPr>
                <w:sz w:val="20"/>
                <w:szCs w:val="20"/>
              </w:rPr>
            </w:pPr>
            <w:r>
              <w:rPr>
                <w:sz w:val="20"/>
                <w:szCs w:val="20"/>
              </w:rPr>
              <w:t>10</w:t>
            </w:r>
          </w:p>
        </w:tc>
        <w:tc>
          <w:tcPr>
            <w:tcW w:w="709" w:type="dxa"/>
            <w:vAlign w:val="center"/>
          </w:tcPr>
          <w:p w:rsidR="00CF0324" w:rsidRDefault="00124A10">
            <w:pPr>
              <w:jc w:val="center"/>
              <w:rPr>
                <w:sz w:val="20"/>
                <w:szCs w:val="20"/>
              </w:rPr>
            </w:pPr>
            <w:r>
              <w:rPr>
                <w:sz w:val="20"/>
                <w:szCs w:val="20"/>
              </w:rPr>
              <w:t>10</w:t>
            </w:r>
          </w:p>
        </w:tc>
        <w:tc>
          <w:tcPr>
            <w:tcW w:w="709" w:type="dxa"/>
            <w:vAlign w:val="center"/>
          </w:tcPr>
          <w:p w:rsidR="00CF0324" w:rsidRDefault="00124A10">
            <w:pPr>
              <w:jc w:val="center"/>
              <w:rPr>
                <w:sz w:val="20"/>
                <w:szCs w:val="20"/>
              </w:rPr>
            </w:pPr>
            <w:r>
              <w:rPr>
                <w:sz w:val="20"/>
                <w:szCs w:val="20"/>
              </w:rPr>
              <w:t>10</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91</w:t>
            </w:r>
          </w:p>
        </w:tc>
      </w:tr>
      <w:tr w:rsidR="00CF0324">
        <w:trPr>
          <w:trHeight w:val="186"/>
        </w:trPr>
        <w:tc>
          <w:tcPr>
            <w:tcW w:w="567" w:type="dxa"/>
            <w:vAlign w:val="center"/>
          </w:tcPr>
          <w:p w:rsidR="00CF0324" w:rsidRDefault="00124A10">
            <w:pPr>
              <w:jc w:val="center"/>
              <w:rPr>
                <w:sz w:val="20"/>
                <w:szCs w:val="20"/>
              </w:rPr>
            </w:pPr>
            <w:r>
              <w:rPr>
                <w:sz w:val="20"/>
                <w:szCs w:val="20"/>
              </w:rPr>
              <w:t>9.</w:t>
            </w:r>
          </w:p>
        </w:tc>
        <w:tc>
          <w:tcPr>
            <w:tcW w:w="2835" w:type="dxa"/>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Количество воспитанников, чел.</w:t>
            </w:r>
          </w:p>
        </w:tc>
        <w:tc>
          <w:tcPr>
            <w:tcW w:w="708" w:type="dxa"/>
            <w:vAlign w:val="center"/>
          </w:tcPr>
          <w:p w:rsidR="00CF0324" w:rsidRDefault="00124A10">
            <w:pPr>
              <w:jc w:val="center"/>
              <w:rPr>
                <w:sz w:val="20"/>
                <w:szCs w:val="20"/>
              </w:rPr>
            </w:pPr>
            <w:r>
              <w:rPr>
                <w:sz w:val="20"/>
                <w:szCs w:val="20"/>
              </w:rPr>
              <w:t>2242</w:t>
            </w:r>
          </w:p>
        </w:tc>
        <w:tc>
          <w:tcPr>
            <w:tcW w:w="708" w:type="dxa"/>
            <w:vAlign w:val="center"/>
          </w:tcPr>
          <w:p w:rsidR="00CF0324" w:rsidRDefault="00124A10">
            <w:pPr>
              <w:jc w:val="center"/>
              <w:rPr>
                <w:sz w:val="20"/>
                <w:szCs w:val="20"/>
              </w:rPr>
            </w:pPr>
            <w:r>
              <w:rPr>
                <w:sz w:val="20"/>
                <w:szCs w:val="20"/>
              </w:rPr>
              <w:t>2234</w:t>
            </w:r>
          </w:p>
        </w:tc>
        <w:tc>
          <w:tcPr>
            <w:tcW w:w="710" w:type="dxa"/>
            <w:vAlign w:val="center"/>
          </w:tcPr>
          <w:p w:rsidR="00CF0324" w:rsidRDefault="00124A10">
            <w:pPr>
              <w:jc w:val="center"/>
              <w:rPr>
                <w:sz w:val="20"/>
                <w:szCs w:val="20"/>
              </w:rPr>
            </w:pPr>
            <w:r>
              <w:rPr>
                <w:sz w:val="20"/>
                <w:szCs w:val="20"/>
              </w:rPr>
              <w:t>2173</w:t>
            </w:r>
          </w:p>
        </w:tc>
        <w:tc>
          <w:tcPr>
            <w:tcW w:w="709" w:type="dxa"/>
            <w:vAlign w:val="center"/>
          </w:tcPr>
          <w:p w:rsidR="00CF0324" w:rsidRDefault="00124A10">
            <w:pPr>
              <w:jc w:val="center"/>
              <w:rPr>
                <w:sz w:val="20"/>
                <w:szCs w:val="20"/>
              </w:rPr>
            </w:pPr>
            <w:r>
              <w:rPr>
                <w:sz w:val="20"/>
                <w:szCs w:val="20"/>
              </w:rPr>
              <w:t>2064</w:t>
            </w:r>
          </w:p>
        </w:tc>
        <w:tc>
          <w:tcPr>
            <w:tcW w:w="709" w:type="dxa"/>
            <w:vAlign w:val="center"/>
          </w:tcPr>
          <w:p w:rsidR="00CF0324" w:rsidRDefault="00124A10">
            <w:pPr>
              <w:jc w:val="center"/>
              <w:rPr>
                <w:sz w:val="20"/>
                <w:szCs w:val="20"/>
              </w:rPr>
            </w:pPr>
            <w:r>
              <w:rPr>
                <w:sz w:val="20"/>
                <w:szCs w:val="20"/>
              </w:rPr>
              <w:t>1974</w:t>
            </w:r>
          </w:p>
        </w:tc>
        <w:tc>
          <w:tcPr>
            <w:tcW w:w="709" w:type="dxa"/>
            <w:vAlign w:val="center"/>
          </w:tcPr>
          <w:p w:rsidR="00CF0324" w:rsidRDefault="00124A10">
            <w:pPr>
              <w:jc w:val="center"/>
              <w:rPr>
                <w:sz w:val="20"/>
                <w:szCs w:val="20"/>
              </w:rPr>
            </w:pPr>
            <w:r>
              <w:rPr>
                <w:sz w:val="20"/>
                <w:szCs w:val="20"/>
              </w:rPr>
              <w:t>1825</w:t>
            </w:r>
          </w:p>
        </w:tc>
        <w:tc>
          <w:tcPr>
            <w:tcW w:w="709" w:type="dxa"/>
            <w:vAlign w:val="center"/>
          </w:tcPr>
          <w:p w:rsidR="00CF0324" w:rsidRDefault="00124A10">
            <w:pPr>
              <w:jc w:val="center"/>
              <w:rPr>
                <w:sz w:val="20"/>
                <w:szCs w:val="20"/>
              </w:rPr>
            </w:pPr>
            <w:r>
              <w:rPr>
                <w:sz w:val="20"/>
                <w:szCs w:val="20"/>
              </w:rPr>
              <w:t>1755</w:t>
            </w:r>
          </w:p>
        </w:tc>
        <w:tc>
          <w:tcPr>
            <w:tcW w:w="709" w:type="dxa"/>
            <w:vAlign w:val="center"/>
          </w:tcPr>
          <w:p w:rsidR="00CF0324" w:rsidRDefault="00124A10">
            <w:pPr>
              <w:jc w:val="center"/>
              <w:rPr>
                <w:sz w:val="20"/>
                <w:szCs w:val="20"/>
              </w:rPr>
            </w:pPr>
            <w:r>
              <w:rPr>
                <w:sz w:val="20"/>
                <w:szCs w:val="20"/>
              </w:rPr>
              <w:t>96</w:t>
            </w:r>
          </w:p>
        </w:tc>
        <w:tc>
          <w:tcPr>
            <w:tcW w:w="850" w:type="dxa"/>
            <w:vAlign w:val="center"/>
          </w:tcPr>
          <w:p w:rsidR="00CF0324" w:rsidRDefault="00124A10">
            <w:pPr>
              <w:jc w:val="center"/>
              <w:rPr>
                <w:sz w:val="20"/>
                <w:szCs w:val="20"/>
              </w:rPr>
            </w:pPr>
            <w:r>
              <w:rPr>
                <w:sz w:val="20"/>
                <w:szCs w:val="20"/>
              </w:rPr>
              <w:t>78</w:t>
            </w:r>
          </w:p>
        </w:tc>
      </w:tr>
      <w:tr w:rsidR="00CF0324">
        <w:tc>
          <w:tcPr>
            <w:tcW w:w="567" w:type="dxa"/>
            <w:vAlign w:val="center"/>
          </w:tcPr>
          <w:p w:rsidR="00CF0324" w:rsidRDefault="00124A10">
            <w:pPr>
              <w:jc w:val="center"/>
              <w:rPr>
                <w:sz w:val="20"/>
                <w:szCs w:val="20"/>
              </w:rPr>
            </w:pPr>
            <w:r>
              <w:rPr>
                <w:sz w:val="20"/>
                <w:szCs w:val="20"/>
              </w:rPr>
              <w:t>10.</w:t>
            </w:r>
          </w:p>
        </w:tc>
        <w:tc>
          <w:tcPr>
            <w:tcW w:w="2835" w:type="dxa"/>
            <w:vAlign w:val="center"/>
          </w:tcPr>
          <w:p w:rsidR="00CF0324" w:rsidRDefault="00124A10">
            <w:pPr>
              <w:jc w:val="both"/>
              <w:rPr>
                <w:sz w:val="20"/>
                <w:szCs w:val="20"/>
              </w:rPr>
            </w:pPr>
            <w:r>
              <w:rPr>
                <w:sz w:val="20"/>
                <w:szCs w:val="20"/>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708" w:type="dxa"/>
            <w:vAlign w:val="center"/>
          </w:tcPr>
          <w:p w:rsidR="00CF0324" w:rsidRDefault="00124A10">
            <w:pPr>
              <w:jc w:val="center"/>
              <w:rPr>
                <w:sz w:val="20"/>
                <w:szCs w:val="20"/>
              </w:rPr>
            </w:pPr>
            <w:r>
              <w:rPr>
                <w:sz w:val="20"/>
                <w:szCs w:val="20"/>
              </w:rPr>
              <w:t>6,2</w:t>
            </w:r>
          </w:p>
        </w:tc>
        <w:tc>
          <w:tcPr>
            <w:tcW w:w="708" w:type="dxa"/>
            <w:vAlign w:val="center"/>
          </w:tcPr>
          <w:p w:rsidR="00CF0324" w:rsidRDefault="00124A10">
            <w:pPr>
              <w:jc w:val="center"/>
              <w:rPr>
                <w:sz w:val="20"/>
                <w:szCs w:val="20"/>
              </w:rPr>
            </w:pPr>
            <w:r>
              <w:rPr>
                <w:sz w:val="20"/>
                <w:szCs w:val="20"/>
              </w:rPr>
              <w:t>6,1</w:t>
            </w:r>
          </w:p>
        </w:tc>
        <w:tc>
          <w:tcPr>
            <w:tcW w:w="710" w:type="dxa"/>
            <w:vAlign w:val="center"/>
          </w:tcPr>
          <w:p w:rsidR="00CF0324" w:rsidRDefault="00124A10">
            <w:pPr>
              <w:jc w:val="center"/>
              <w:rPr>
                <w:sz w:val="20"/>
                <w:szCs w:val="20"/>
              </w:rPr>
            </w:pPr>
            <w:r>
              <w:rPr>
                <w:sz w:val="20"/>
                <w:szCs w:val="20"/>
              </w:rPr>
              <w:t>2,2</w:t>
            </w:r>
          </w:p>
        </w:tc>
        <w:tc>
          <w:tcPr>
            <w:tcW w:w="709" w:type="dxa"/>
            <w:vAlign w:val="center"/>
          </w:tcPr>
          <w:p w:rsidR="00CF0324" w:rsidRDefault="00124A10">
            <w:pPr>
              <w:jc w:val="center"/>
              <w:rPr>
                <w:sz w:val="20"/>
                <w:szCs w:val="20"/>
              </w:rPr>
            </w:pPr>
            <w:r>
              <w:rPr>
                <w:sz w:val="20"/>
                <w:szCs w:val="20"/>
              </w:rPr>
              <w:t>1,6</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0,0</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х</w:t>
            </w:r>
          </w:p>
        </w:tc>
      </w:tr>
      <w:tr w:rsidR="00CF0324">
        <w:tc>
          <w:tcPr>
            <w:tcW w:w="567" w:type="dxa"/>
            <w:vAlign w:val="center"/>
          </w:tcPr>
          <w:p w:rsidR="00CF0324" w:rsidRDefault="00124A10">
            <w:pPr>
              <w:jc w:val="center"/>
              <w:rPr>
                <w:sz w:val="20"/>
                <w:szCs w:val="20"/>
              </w:rPr>
            </w:pPr>
            <w:r>
              <w:rPr>
                <w:sz w:val="20"/>
                <w:szCs w:val="20"/>
              </w:rPr>
              <w:t>11.</w:t>
            </w:r>
          </w:p>
        </w:tc>
        <w:tc>
          <w:tcPr>
            <w:tcW w:w="2835" w:type="dxa"/>
            <w:vAlign w:val="center"/>
          </w:tcPr>
          <w:p w:rsidR="00CF0324" w:rsidRDefault="00124A10">
            <w:pPr>
              <w:jc w:val="both"/>
              <w:rPr>
                <w:sz w:val="20"/>
                <w:szCs w:val="20"/>
              </w:rPr>
            </w:pPr>
            <w:r>
              <w:rPr>
                <w:sz w:val="20"/>
                <w:szCs w:val="20"/>
              </w:rPr>
              <w:t>Удельный вес обеспеченных местами в дошкольных образовательных учреждениях (отложенная потребность), %</w:t>
            </w:r>
          </w:p>
        </w:tc>
        <w:tc>
          <w:tcPr>
            <w:tcW w:w="708" w:type="dxa"/>
            <w:vAlign w:val="center"/>
          </w:tcPr>
          <w:p w:rsidR="00CF0324" w:rsidRDefault="00CF0324">
            <w:pPr>
              <w:jc w:val="center"/>
              <w:rPr>
                <w:sz w:val="20"/>
                <w:szCs w:val="20"/>
              </w:rPr>
            </w:pPr>
          </w:p>
        </w:tc>
        <w:tc>
          <w:tcPr>
            <w:tcW w:w="708" w:type="dxa"/>
            <w:vAlign w:val="center"/>
          </w:tcPr>
          <w:p w:rsidR="00CF0324" w:rsidRDefault="00CF0324">
            <w:pPr>
              <w:jc w:val="center"/>
              <w:rPr>
                <w:sz w:val="20"/>
                <w:szCs w:val="20"/>
              </w:rPr>
            </w:pPr>
          </w:p>
        </w:tc>
        <w:tc>
          <w:tcPr>
            <w:tcW w:w="710"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850" w:type="dxa"/>
            <w:vAlign w:val="center"/>
          </w:tcPr>
          <w:p w:rsidR="00CF0324" w:rsidRDefault="00CF0324">
            <w:pPr>
              <w:jc w:val="center"/>
              <w:rPr>
                <w:sz w:val="20"/>
                <w:szCs w:val="20"/>
              </w:rPr>
            </w:pPr>
          </w:p>
        </w:tc>
      </w:tr>
      <w:tr w:rsidR="00CF0324">
        <w:trPr>
          <w:trHeight w:val="186"/>
        </w:trPr>
        <w:tc>
          <w:tcPr>
            <w:tcW w:w="567" w:type="dxa"/>
            <w:vAlign w:val="center"/>
          </w:tcPr>
          <w:p w:rsidR="00CF0324" w:rsidRDefault="00CF0324">
            <w:pPr>
              <w:jc w:val="center"/>
              <w:rPr>
                <w:b/>
                <w:color w:val="00B0F0"/>
                <w:sz w:val="20"/>
                <w:szCs w:val="20"/>
              </w:rPr>
            </w:pPr>
          </w:p>
        </w:tc>
        <w:tc>
          <w:tcPr>
            <w:tcW w:w="2835" w:type="dxa"/>
          </w:tcPr>
          <w:p w:rsidR="00CF0324" w:rsidRDefault="00124A10">
            <w:pPr>
              <w:pStyle w:val="1b"/>
              <w:widowControl w:val="0"/>
              <w:spacing w:line="240" w:lineRule="auto"/>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целевые показатели</w:t>
            </w:r>
          </w:p>
        </w:tc>
        <w:tc>
          <w:tcPr>
            <w:tcW w:w="708" w:type="dxa"/>
            <w:vAlign w:val="center"/>
          </w:tcPr>
          <w:p w:rsidR="00CF0324" w:rsidRDefault="00124A10">
            <w:pPr>
              <w:jc w:val="center"/>
              <w:rPr>
                <w:b/>
                <w:color w:val="00B0F0"/>
                <w:sz w:val="20"/>
                <w:szCs w:val="20"/>
              </w:rPr>
            </w:pPr>
            <w:r>
              <w:rPr>
                <w:b/>
                <w:color w:val="00B0F0"/>
                <w:sz w:val="20"/>
                <w:szCs w:val="20"/>
              </w:rPr>
              <w:t>74,9</w:t>
            </w:r>
          </w:p>
        </w:tc>
        <w:tc>
          <w:tcPr>
            <w:tcW w:w="708" w:type="dxa"/>
            <w:vAlign w:val="center"/>
          </w:tcPr>
          <w:p w:rsidR="00CF0324" w:rsidRDefault="00124A10">
            <w:pPr>
              <w:jc w:val="center"/>
              <w:rPr>
                <w:b/>
                <w:color w:val="00B0F0"/>
                <w:sz w:val="20"/>
                <w:szCs w:val="20"/>
              </w:rPr>
            </w:pPr>
            <w:r>
              <w:rPr>
                <w:b/>
                <w:color w:val="00B0F0"/>
                <w:sz w:val="20"/>
                <w:szCs w:val="20"/>
              </w:rPr>
              <w:t>75,5</w:t>
            </w:r>
          </w:p>
        </w:tc>
        <w:tc>
          <w:tcPr>
            <w:tcW w:w="710" w:type="dxa"/>
            <w:vAlign w:val="center"/>
          </w:tcPr>
          <w:p w:rsidR="00CF0324" w:rsidRDefault="00124A10">
            <w:pPr>
              <w:jc w:val="center"/>
              <w:rPr>
                <w:b/>
                <w:color w:val="00B0F0"/>
                <w:sz w:val="20"/>
                <w:szCs w:val="20"/>
              </w:rPr>
            </w:pPr>
            <w:r>
              <w:rPr>
                <w:b/>
                <w:color w:val="00B0F0"/>
                <w:sz w:val="20"/>
                <w:szCs w:val="20"/>
              </w:rPr>
              <w:t>80,0</w:t>
            </w:r>
          </w:p>
        </w:tc>
        <w:tc>
          <w:tcPr>
            <w:tcW w:w="709" w:type="dxa"/>
            <w:vAlign w:val="center"/>
          </w:tcPr>
          <w:p w:rsidR="00CF0324" w:rsidRDefault="00124A10">
            <w:pPr>
              <w:jc w:val="center"/>
              <w:rPr>
                <w:b/>
                <w:color w:val="00B0F0"/>
                <w:sz w:val="20"/>
                <w:szCs w:val="20"/>
              </w:rPr>
            </w:pPr>
            <w:r>
              <w:rPr>
                <w:b/>
                <w:color w:val="00B0F0"/>
                <w:sz w:val="20"/>
                <w:szCs w:val="20"/>
              </w:rPr>
              <w:t>85,0</w:t>
            </w:r>
          </w:p>
        </w:tc>
        <w:tc>
          <w:tcPr>
            <w:tcW w:w="709" w:type="dxa"/>
            <w:vAlign w:val="center"/>
          </w:tcPr>
          <w:p w:rsidR="00CF0324" w:rsidRDefault="00124A10">
            <w:pPr>
              <w:jc w:val="center"/>
              <w:rPr>
                <w:b/>
                <w:color w:val="00B0F0"/>
                <w:sz w:val="20"/>
                <w:szCs w:val="20"/>
              </w:rPr>
            </w:pPr>
            <w:r>
              <w:rPr>
                <w:b/>
                <w:color w:val="00B0F0"/>
                <w:sz w:val="20"/>
                <w:szCs w:val="20"/>
              </w:rPr>
              <w:t>85,0</w:t>
            </w:r>
          </w:p>
        </w:tc>
        <w:tc>
          <w:tcPr>
            <w:tcW w:w="709" w:type="dxa"/>
            <w:vAlign w:val="center"/>
          </w:tcPr>
          <w:p w:rsidR="00CF0324" w:rsidRDefault="00124A10">
            <w:pPr>
              <w:jc w:val="center"/>
              <w:rPr>
                <w:b/>
                <w:color w:val="00B0F0"/>
                <w:sz w:val="20"/>
                <w:szCs w:val="20"/>
              </w:rPr>
            </w:pPr>
            <w:r>
              <w:rPr>
                <w:b/>
                <w:color w:val="00B0F0"/>
                <w:sz w:val="20"/>
                <w:szCs w:val="20"/>
              </w:rPr>
              <w:t>85,0</w:t>
            </w:r>
          </w:p>
        </w:tc>
        <w:tc>
          <w:tcPr>
            <w:tcW w:w="709" w:type="dxa"/>
            <w:vAlign w:val="center"/>
          </w:tcPr>
          <w:p w:rsidR="00CF0324" w:rsidRDefault="00124A10">
            <w:pPr>
              <w:jc w:val="center"/>
              <w:rPr>
                <w:b/>
                <w:color w:val="00B0F0"/>
                <w:sz w:val="20"/>
                <w:szCs w:val="20"/>
              </w:rPr>
            </w:pPr>
            <w:r>
              <w:rPr>
                <w:b/>
                <w:color w:val="00B0F0"/>
                <w:sz w:val="20"/>
                <w:szCs w:val="20"/>
              </w:rPr>
              <w:t>85,0</w:t>
            </w:r>
          </w:p>
        </w:tc>
        <w:tc>
          <w:tcPr>
            <w:tcW w:w="709" w:type="dxa"/>
            <w:vAlign w:val="center"/>
          </w:tcPr>
          <w:p w:rsidR="00CF0324" w:rsidRDefault="00124A10">
            <w:pPr>
              <w:jc w:val="center"/>
              <w:rPr>
                <w:b/>
                <w:color w:val="00B0F0"/>
                <w:sz w:val="20"/>
                <w:szCs w:val="20"/>
              </w:rPr>
            </w:pPr>
            <w:r>
              <w:rPr>
                <w:b/>
                <w:color w:val="00B0F0"/>
                <w:sz w:val="20"/>
                <w:szCs w:val="20"/>
              </w:rPr>
              <w:t>100</w:t>
            </w:r>
          </w:p>
        </w:tc>
        <w:tc>
          <w:tcPr>
            <w:tcW w:w="850" w:type="dxa"/>
            <w:vAlign w:val="center"/>
          </w:tcPr>
          <w:p w:rsidR="00CF0324" w:rsidRDefault="00124A10">
            <w:pPr>
              <w:jc w:val="center"/>
              <w:rPr>
                <w:b/>
                <w:color w:val="00B0F0"/>
                <w:sz w:val="20"/>
                <w:szCs w:val="20"/>
              </w:rPr>
            </w:pPr>
            <w:r>
              <w:rPr>
                <w:b/>
                <w:color w:val="00B0F0"/>
                <w:sz w:val="20"/>
                <w:szCs w:val="20"/>
              </w:rPr>
              <w:t>113</w:t>
            </w:r>
          </w:p>
        </w:tc>
      </w:tr>
      <w:tr w:rsidR="00CF0324">
        <w:trPr>
          <w:trHeight w:val="186"/>
        </w:trPr>
        <w:tc>
          <w:tcPr>
            <w:tcW w:w="567" w:type="dxa"/>
            <w:vAlign w:val="center"/>
          </w:tcPr>
          <w:p w:rsidR="00CF0324" w:rsidRDefault="00CF0324">
            <w:pPr>
              <w:jc w:val="center"/>
              <w:rPr>
                <w:b/>
                <w:color w:val="92D050"/>
                <w:sz w:val="20"/>
                <w:szCs w:val="20"/>
              </w:rPr>
            </w:pPr>
          </w:p>
        </w:tc>
        <w:tc>
          <w:tcPr>
            <w:tcW w:w="2835" w:type="dxa"/>
          </w:tcPr>
          <w:p w:rsidR="00CF0324" w:rsidRDefault="00124A10">
            <w:pPr>
              <w:pStyle w:val="1b"/>
              <w:widowControl w:val="0"/>
              <w:spacing w:line="240" w:lineRule="auto"/>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фактические данные</w:t>
            </w:r>
          </w:p>
        </w:tc>
        <w:tc>
          <w:tcPr>
            <w:tcW w:w="708" w:type="dxa"/>
            <w:vAlign w:val="center"/>
          </w:tcPr>
          <w:p w:rsidR="00CF0324" w:rsidRDefault="00124A10">
            <w:pPr>
              <w:jc w:val="center"/>
              <w:rPr>
                <w:b/>
                <w:color w:val="92D050"/>
                <w:sz w:val="20"/>
                <w:szCs w:val="20"/>
              </w:rPr>
            </w:pPr>
            <w:r>
              <w:rPr>
                <w:b/>
                <w:color w:val="92D050"/>
                <w:sz w:val="20"/>
                <w:szCs w:val="20"/>
              </w:rPr>
              <w:t>93,8</w:t>
            </w:r>
          </w:p>
        </w:tc>
        <w:tc>
          <w:tcPr>
            <w:tcW w:w="708" w:type="dxa"/>
            <w:vAlign w:val="center"/>
          </w:tcPr>
          <w:p w:rsidR="00CF0324" w:rsidRDefault="00124A10">
            <w:pPr>
              <w:jc w:val="center"/>
              <w:rPr>
                <w:b/>
                <w:color w:val="92D050"/>
                <w:sz w:val="20"/>
                <w:szCs w:val="20"/>
              </w:rPr>
            </w:pPr>
            <w:r>
              <w:rPr>
                <w:b/>
                <w:color w:val="92D050"/>
                <w:sz w:val="20"/>
                <w:szCs w:val="20"/>
              </w:rPr>
              <w:t>93,9</w:t>
            </w:r>
          </w:p>
        </w:tc>
        <w:tc>
          <w:tcPr>
            <w:tcW w:w="710" w:type="dxa"/>
            <w:vAlign w:val="center"/>
          </w:tcPr>
          <w:p w:rsidR="00CF0324" w:rsidRDefault="00124A10">
            <w:pPr>
              <w:jc w:val="center"/>
              <w:rPr>
                <w:b/>
                <w:color w:val="92D050"/>
                <w:sz w:val="20"/>
                <w:szCs w:val="20"/>
              </w:rPr>
            </w:pPr>
            <w:r>
              <w:rPr>
                <w:b/>
                <w:color w:val="92D050"/>
                <w:sz w:val="20"/>
                <w:szCs w:val="20"/>
              </w:rPr>
              <w:t>97,8</w:t>
            </w:r>
          </w:p>
        </w:tc>
        <w:tc>
          <w:tcPr>
            <w:tcW w:w="709" w:type="dxa"/>
            <w:vAlign w:val="center"/>
          </w:tcPr>
          <w:p w:rsidR="00CF0324" w:rsidRDefault="00124A10">
            <w:pPr>
              <w:jc w:val="center"/>
              <w:rPr>
                <w:b/>
                <w:color w:val="92D050"/>
                <w:sz w:val="20"/>
                <w:szCs w:val="20"/>
              </w:rPr>
            </w:pPr>
            <w:r>
              <w:rPr>
                <w:b/>
                <w:color w:val="92D050"/>
                <w:sz w:val="20"/>
                <w:szCs w:val="20"/>
              </w:rPr>
              <w:t>98,4</w:t>
            </w:r>
          </w:p>
        </w:tc>
        <w:tc>
          <w:tcPr>
            <w:tcW w:w="709" w:type="dxa"/>
            <w:vAlign w:val="center"/>
          </w:tcPr>
          <w:p w:rsidR="00CF0324" w:rsidRDefault="00124A10">
            <w:pPr>
              <w:jc w:val="center"/>
              <w:rPr>
                <w:b/>
                <w:color w:val="92D050"/>
                <w:sz w:val="20"/>
                <w:szCs w:val="20"/>
              </w:rPr>
            </w:pPr>
            <w:r>
              <w:rPr>
                <w:b/>
                <w:color w:val="92D050"/>
                <w:sz w:val="20"/>
                <w:szCs w:val="20"/>
              </w:rPr>
              <w:t>100</w:t>
            </w:r>
          </w:p>
        </w:tc>
        <w:tc>
          <w:tcPr>
            <w:tcW w:w="709" w:type="dxa"/>
            <w:vAlign w:val="center"/>
          </w:tcPr>
          <w:p w:rsidR="00CF0324" w:rsidRDefault="00124A10">
            <w:pPr>
              <w:jc w:val="center"/>
              <w:rPr>
                <w:b/>
                <w:color w:val="92D050"/>
                <w:sz w:val="20"/>
                <w:szCs w:val="20"/>
              </w:rPr>
            </w:pPr>
            <w:r>
              <w:rPr>
                <w:b/>
                <w:color w:val="92D050"/>
                <w:sz w:val="20"/>
                <w:szCs w:val="20"/>
              </w:rPr>
              <w:t>100</w:t>
            </w:r>
          </w:p>
        </w:tc>
        <w:tc>
          <w:tcPr>
            <w:tcW w:w="709" w:type="dxa"/>
            <w:vAlign w:val="center"/>
          </w:tcPr>
          <w:p w:rsidR="00CF0324" w:rsidRDefault="00124A10">
            <w:pPr>
              <w:jc w:val="center"/>
              <w:rPr>
                <w:b/>
                <w:color w:val="92D050"/>
                <w:sz w:val="20"/>
                <w:szCs w:val="20"/>
              </w:rPr>
            </w:pPr>
            <w:r>
              <w:rPr>
                <w:b/>
                <w:color w:val="92D050"/>
                <w:sz w:val="20"/>
                <w:szCs w:val="20"/>
              </w:rPr>
              <w:t>100</w:t>
            </w:r>
          </w:p>
        </w:tc>
        <w:tc>
          <w:tcPr>
            <w:tcW w:w="709" w:type="dxa"/>
            <w:vAlign w:val="center"/>
          </w:tcPr>
          <w:p w:rsidR="00CF0324" w:rsidRDefault="00124A10">
            <w:pPr>
              <w:jc w:val="center"/>
              <w:rPr>
                <w:b/>
                <w:color w:val="92D050"/>
                <w:sz w:val="20"/>
                <w:szCs w:val="20"/>
              </w:rPr>
            </w:pPr>
            <w:r>
              <w:rPr>
                <w:b/>
                <w:color w:val="92D050"/>
                <w:sz w:val="20"/>
                <w:szCs w:val="20"/>
              </w:rPr>
              <w:t>100</w:t>
            </w:r>
          </w:p>
        </w:tc>
        <w:tc>
          <w:tcPr>
            <w:tcW w:w="850" w:type="dxa"/>
            <w:vAlign w:val="center"/>
          </w:tcPr>
          <w:p w:rsidR="00CF0324" w:rsidRDefault="00124A10">
            <w:pPr>
              <w:jc w:val="center"/>
              <w:rPr>
                <w:b/>
                <w:color w:val="92D050"/>
                <w:sz w:val="20"/>
                <w:szCs w:val="20"/>
              </w:rPr>
            </w:pPr>
            <w:r>
              <w:rPr>
                <w:b/>
                <w:color w:val="92D050"/>
                <w:sz w:val="20"/>
                <w:szCs w:val="20"/>
              </w:rPr>
              <w:t>106</w:t>
            </w:r>
          </w:p>
        </w:tc>
      </w:tr>
      <w:tr w:rsidR="00CF0324">
        <w:trPr>
          <w:trHeight w:val="186"/>
        </w:trPr>
        <w:tc>
          <w:tcPr>
            <w:tcW w:w="567" w:type="dxa"/>
            <w:vAlign w:val="center"/>
          </w:tcPr>
          <w:p w:rsidR="00CF0324" w:rsidRDefault="00124A10">
            <w:pPr>
              <w:jc w:val="center"/>
              <w:rPr>
                <w:sz w:val="20"/>
                <w:szCs w:val="20"/>
              </w:rPr>
            </w:pPr>
            <w:r>
              <w:rPr>
                <w:sz w:val="20"/>
                <w:szCs w:val="20"/>
              </w:rPr>
              <w:t>12.</w:t>
            </w:r>
          </w:p>
        </w:tc>
        <w:tc>
          <w:tcPr>
            <w:tcW w:w="2835" w:type="dxa"/>
          </w:tcPr>
          <w:p w:rsidR="00CF0324" w:rsidRDefault="00124A10">
            <w:pPr>
              <w:shd w:val="clear" w:color="auto" w:fill="FFFFFF"/>
              <w:rPr>
                <w:sz w:val="20"/>
                <w:szCs w:val="20"/>
              </w:rPr>
            </w:pPr>
            <w:r>
              <w:rPr>
                <w:sz w:val="20"/>
                <w:szCs w:val="20"/>
              </w:rPr>
              <w:t>Доступность дошкольного образования детей в возрасте от 1,5 до 3 лет, %</w:t>
            </w:r>
          </w:p>
        </w:tc>
        <w:tc>
          <w:tcPr>
            <w:tcW w:w="708" w:type="dxa"/>
            <w:vAlign w:val="center"/>
          </w:tcPr>
          <w:p w:rsidR="00CF0324" w:rsidRDefault="00124A10">
            <w:pPr>
              <w:jc w:val="center"/>
              <w:rPr>
                <w:sz w:val="20"/>
                <w:szCs w:val="20"/>
              </w:rPr>
            </w:pPr>
            <w:r>
              <w:rPr>
                <w:sz w:val="20"/>
                <w:szCs w:val="20"/>
              </w:rPr>
              <w:t>95</w:t>
            </w:r>
          </w:p>
        </w:tc>
        <w:tc>
          <w:tcPr>
            <w:tcW w:w="708" w:type="dxa"/>
            <w:vAlign w:val="center"/>
          </w:tcPr>
          <w:p w:rsidR="00CF0324" w:rsidRDefault="00124A10">
            <w:pPr>
              <w:jc w:val="center"/>
              <w:rPr>
                <w:sz w:val="20"/>
                <w:szCs w:val="20"/>
              </w:rPr>
            </w:pPr>
            <w:r>
              <w:rPr>
                <w:sz w:val="20"/>
                <w:szCs w:val="20"/>
              </w:rPr>
              <w:t>97</w:t>
            </w:r>
          </w:p>
        </w:tc>
        <w:tc>
          <w:tcPr>
            <w:tcW w:w="710" w:type="dxa"/>
            <w:vAlign w:val="center"/>
          </w:tcPr>
          <w:p w:rsidR="00CF0324" w:rsidRDefault="00124A10">
            <w:pPr>
              <w:jc w:val="center"/>
              <w:rPr>
                <w:sz w:val="20"/>
                <w:szCs w:val="20"/>
              </w:rPr>
            </w:pPr>
            <w:r>
              <w:rPr>
                <w:sz w:val="20"/>
                <w:szCs w:val="20"/>
              </w:rPr>
              <w:t>100</w:t>
            </w:r>
          </w:p>
        </w:tc>
        <w:tc>
          <w:tcPr>
            <w:tcW w:w="709" w:type="dxa"/>
            <w:vAlign w:val="center"/>
          </w:tcPr>
          <w:p w:rsidR="00CF0324" w:rsidRDefault="00124A10">
            <w:pPr>
              <w:jc w:val="center"/>
              <w:rPr>
                <w:sz w:val="20"/>
                <w:szCs w:val="20"/>
              </w:rPr>
            </w:pPr>
            <w:r>
              <w:rPr>
                <w:sz w:val="20"/>
                <w:szCs w:val="20"/>
              </w:rPr>
              <w:t>100</w:t>
            </w:r>
          </w:p>
        </w:tc>
        <w:tc>
          <w:tcPr>
            <w:tcW w:w="709" w:type="dxa"/>
            <w:vAlign w:val="center"/>
          </w:tcPr>
          <w:p w:rsidR="00CF0324" w:rsidRDefault="00124A10">
            <w:pPr>
              <w:jc w:val="center"/>
              <w:rPr>
                <w:sz w:val="20"/>
                <w:szCs w:val="20"/>
              </w:rPr>
            </w:pPr>
            <w:r>
              <w:rPr>
                <w:sz w:val="20"/>
                <w:szCs w:val="20"/>
              </w:rPr>
              <w:t>100</w:t>
            </w:r>
          </w:p>
        </w:tc>
        <w:tc>
          <w:tcPr>
            <w:tcW w:w="709" w:type="dxa"/>
            <w:vAlign w:val="center"/>
          </w:tcPr>
          <w:p w:rsidR="00CF0324" w:rsidRDefault="00124A10">
            <w:pPr>
              <w:jc w:val="center"/>
              <w:rPr>
                <w:sz w:val="20"/>
                <w:szCs w:val="20"/>
              </w:rPr>
            </w:pPr>
            <w:r>
              <w:rPr>
                <w:sz w:val="20"/>
                <w:szCs w:val="20"/>
              </w:rPr>
              <w:t>100</w:t>
            </w:r>
          </w:p>
        </w:tc>
        <w:tc>
          <w:tcPr>
            <w:tcW w:w="709" w:type="dxa"/>
            <w:vAlign w:val="center"/>
          </w:tcPr>
          <w:p w:rsidR="00CF0324" w:rsidRDefault="00124A10">
            <w:pPr>
              <w:jc w:val="center"/>
              <w:rPr>
                <w:sz w:val="20"/>
                <w:szCs w:val="20"/>
              </w:rPr>
            </w:pPr>
            <w:r>
              <w:rPr>
                <w:sz w:val="20"/>
                <w:szCs w:val="20"/>
              </w:rPr>
              <w:t>100</w:t>
            </w:r>
          </w:p>
        </w:tc>
        <w:tc>
          <w:tcPr>
            <w:tcW w:w="709" w:type="dxa"/>
            <w:vAlign w:val="center"/>
          </w:tcPr>
          <w:p w:rsidR="00CF0324" w:rsidRDefault="00124A10">
            <w:pPr>
              <w:jc w:val="center"/>
              <w:rPr>
                <w:sz w:val="20"/>
                <w:szCs w:val="20"/>
              </w:rPr>
            </w:pPr>
            <w:r>
              <w:rPr>
                <w:sz w:val="20"/>
                <w:szCs w:val="20"/>
              </w:rPr>
              <w:t>100</w:t>
            </w:r>
          </w:p>
        </w:tc>
        <w:tc>
          <w:tcPr>
            <w:tcW w:w="850" w:type="dxa"/>
            <w:vAlign w:val="center"/>
          </w:tcPr>
          <w:p w:rsidR="00CF0324" w:rsidRDefault="00124A10">
            <w:pPr>
              <w:jc w:val="center"/>
              <w:rPr>
                <w:sz w:val="20"/>
                <w:szCs w:val="20"/>
              </w:rPr>
            </w:pPr>
            <w:r>
              <w:rPr>
                <w:sz w:val="20"/>
                <w:szCs w:val="20"/>
              </w:rPr>
              <w:t>105</w:t>
            </w:r>
          </w:p>
        </w:tc>
      </w:tr>
      <w:tr w:rsidR="00CF0324">
        <w:trPr>
          <w:trHeight w:val="186"/>
        </w:trPr>
        <w:tc>
          <w:tcPr>
            <w:tcW w:w="9923" w:type="dxa"/>
            <w:gridSpan w:val="11"/>
            <w:vAlign w:val="center"/>
          </w:tcPr>
          <w:p w:rsidR="00CF0324" w:rsidRDefault="00124A10">
            <w:pPr>
              <w:jc w:val="center"/>
              <w:rPr>
                <w:i/>
                <w:sz w:val="20"/>
                <w:szCs w:val="20"/>
              </w:rPr>
            </w:pPr>
            <w:r>
              <w:rPr>
                <w:i/>
                <w:sz w:val="20"/>
                <w:szCs w:val="20"/>
              </w:rPr>
              <w:t>Дополнительное образование</w:t>
            </w:r>
          </w:p>
        </w:tc>
      </w:tr>
      <w:tr w:rsidR="00CF0324">
        <w:trPr>
          <w:trHeight w:val="186"/>
        </w:trPr>
        <w:tc>
          <w:tcPr>
            <w:tcW w:w="56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13</w:t>
            </w:r>
          </w:p>
        </w:tc>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Количество учреждений дополнительного образования, единиц</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100</w:t>
            </w:r>
          </w:p>
        </w:tc>
      </w:tr>
      <w:tr w:rsidR="00CF0324">
        <w:trPr>
          <w:trHeight w:val="186"/>
        </w:trPr>
        <w:tc>
          <w:tcPr>
            <w:tcW w:w="56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14</w:t>
            </w:r>
          </w:p>
        </w:tc>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Количество воспитанников, чел.</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1742</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734</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1423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1423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1097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1780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2253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127</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129</w:t>
            </w:r>
          </w:p>
        </w:tc>
      </w:tr>
      <w:tr w:rsidR="00CF0324">
        <w:trPr>
          <w:trHeight w:val="186"/>
        </w:trPr>
        <w:tc>
          <w:tcPr>
            <w:tcW w:w="56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15.</w:t>
            </w:r>
          </w:p>
        </w:tc>
        <w:tc>
          <w:tcPr>
            <w:tcW w:w="2835" w:type="dxa"/>
            <w:tcBorders>
              <w:top w:val="single" w:sz="4" w:space="0" w:color="000000"/>
              <w:left w:val="single" w:sz="4" w:space="0" w:color="000000"/>
              <w:bottom w:val="single" w:sz="4" w:space="0" w:color="000000"/>
              <w:right w:val="single" w:sz="4" w:space="0" w:color="000000"/>
            </w:tcBorders>
          </w:tcPr>
          <w:p w:rsidR="00CF0324" w:rsidRDefault="00124A10">
            <w:pPr>
              <w:shd w:val="clear" w:color="auto" w:fill="FFFFFF"/>
              <w:rPr>
                <w:sz w:val="20"/>
                <w:szCs w:val="20"/>
              </w:rPr>
            </w:pPr>
            <w:r>
              <w:rPr>
                <w:sz w:val="20"/>
                <w:szCs w:val="20"/>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60,7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51,0</w:t>
            </w:r>
          </w:p>
        </w:tc>
        <w:tc>
          <w:tcPr>
            <w:tcW w:w="71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84,6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84,3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86,7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94,7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87,2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92</w:t>
            </w:r>
          </w:p>
        </w:tc>
        <w:tc>
          <w:tcPr>
            <w:tcW w:w="85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rPr>
            </w:pPr>
            <w:r>
              <w:rPr>
                <w:sz w:val="20"/>
                <w:szCs w:val="20"/>
              </w:rPr>
              <w:t>144</w:t>
            </w:r>
          </w:p>
        </w:tc>
      </w:tr>
    </w:tbl>
    <w:p w:rsidR="00CF0324" w:rsidRDefault="00CF0324">
      <w:pPr>
        <w:spacing w:line="276" w:lineRule="auto"/>
        <w:jc w:val="both"/>
      </w:pPr>
    </w:p>
    <w:p w:rsidR="00CF0324" w:rsidRDefault="00124A10">
      <w:pPr>
        <w:spacing w:line="276" w:lineRule="auto"/>
        <w:ind w:firstLine="708"/>
        <w:jc w:val="both"/>
        <w:rPr>
          <w:bCs/>
        </w:rPr>
      </w:pPr>
      <w:r>
        <w:t xml:space="preserve">Из 15 образовательных школ только одна школа требует капитального ремонта (МКОУ Куминская СОШ). По итогам 2022 года, обеспеченность местами в школах в среднем по Кондинскому району составила – 108%, тем не менее, низкая обеспеченность местами в школах в пгт.Междуреченский – 73%. </w:t>
      </w:r>
      <w:r>
        <w:rPr>
          <w:bCs/>
        </w:rPr>
        <w:t xml:space="preserve">Охват детей школьного возраста общим </w:t>
      </w:r>
      <w:r>
        <w:rPr>
          <w:bCs/>
        </w:rPr>
        <w:lastRenderedPageBreak/>
        <w:t>образованием составляет 77,3%. Доля общеобразовательных учреждений, подключенных к сети Интернет, составляет 100%.</w:t>
      </w:r>
    </w:p>
    <w:p w:rsidR="00CF0324" w:rsidRDefault="00124A10">
      <w:pPr>
        <w:spacing w:line="276" w:lineRule="auto"/>
        <w:ind w:firstLine="708"/>
        <w:jc w:val="both"/>
        <w:rPr>
          <w:bCs/>
        </w:rPr>
      </w:pPr>
      <w:r>
        <w:rPr>
          <w:bCs/>
        </w:rPr>
        <w:t>Из 10 дошкольных учреждений только один детский сад имеет степень износа – 67% (МКОУ «Солнышко» пгт. Мортка). Охват детей дошкольным образованием составляет 80%.</w:t>
      </w:r>
    </w:p>
    <w:p w:rsidR="00CF0324" w:rsidRDefault="00124A10">
      <w:pPr>
        <w:spacing w:line="276" w:lineRule="auto"/>
        <w:ind w:firstLine="708"/>
        <w:jc w:val="both"/>
        <w:rPr>
          <w:iCs/>
        </w:rPr>
      </w:pPr>
      <w:r>
        <w:rPr>
          <w:rFonts w:eastAsia="TimesNewRomanPSMT"/>
          <w:iCs/>
        </w:rPr>
        <w:t xml:space="preserve">Социально ориентированная политика, реализуемая в Ханты-Мансийском автономном округе – Югре и Кондинском районе, создала благоприятные условия для развития дошкольного образования. В Кондинском районе </w:t>
      </w:r>
      <w:r>
        <w:rPr>
          <w:bCs/>
        </w:rPr>
        <w:t xml:space="preserve">достигнута 100% доступность дошкольного образования для детей. </w:t>
      </w:r>
      <w:r>
        <w:t>В общеобразовательных учреждениях района для сокращения управленческих расходов и оптимального использования площадей, реализуются программы дошкольного образования.</w:t>
      </w:r>
      <w:r>
        <w:rPr>
          <w:iCs/>
        </w:rPr>
        <w:t xml:space="preserve"> </w:t>
      </w:r>
      <w:r>
        <w:t>Особенность Кондинского района – наличие малокомплектных сельских школ в труднодоступных и отдаленных местностях  п. Шугур, п. Мулымья, п. Чантырья, д. Ушья, с. Алтай, с. Юмас, п. Ягодный. В общей сложности в них обучается 696 учащихся (16% от общего количества школьников).</w:t>
      </w:r>
    </w:p>
    <w:p w:rsidR="00CF0324" w:rsidRDefault="00124A10">
      <w:pPr>
        <w:spacing w:line="276" w:lineRule="auto"/>
        <w:ind w:firstLine="708"/>
        <w:jc w:val="both"/>
        <w:rPr>
          <w:color w:val="000000"/>
        </w:rPr>
      </w:pPr>
      <w:r>
        <w:t xml:space="preserve">Сохранению национальной самобытности коренных малочисленных народов Севера способствует изучение родных языков и литературы. Мансийский язык изучают в  </w:t>
      </w:r>
      <w:r>
        <w:rPr>
          <w:color w:val="000000"/>
        </w:rPr>
        <w:t>Шугурской СОШ - 46 учащихся, в Кондинской СОШ - 92 учащихся, в Юмасинской СОШ - 12 учащихся.</w:t>
      </w:r>
    </w:p>
    <w:p w:rsidR="00CF0324" w:rsidRDefault="00124A10">
      <w:pPr>
        <w:spacing w:line="276" w:lineRule="auto"/>
        <w:ind w:firstLine="708"/>
        <w:jc w:val="both"/>
      </w:pPr>
      <w:r>
        <w:t>Услуги по дополнительному образованию детей в районе оказывают образовательные учреждения: Центр дополнительного образования (пгт.Междуреченский), детский оздоровительно-образовательный (профильный) центр «Юбилейный», Кондинский учебный центр, 24 учреждения дошкольного и общего образования. Кроме того, услуги дополнительного образования дети имеют возможность получить в учреждениях дополнительного образования ведомства в сфере культуры и физической культуры и спорта.</w:t>
      </w:r>
    </w:p>
    <w:p w:rsidR="00CF0324" w:rsidRDefault="00124A10">
      <w:pPr>
        <w:spacing w:line="276" w:lineRule="auto"/>
        <w:ind w:firstLine="708"/>
        <w:jc w:val="both"/>
        <w:rPr>
          <w:rFonts w:eastAsia="TimesNewRomanPSMT"/>
          <w:iCs/>
        </w:rPr>
      </w:pPr>
      <w:r>
        <w:rPr>
          <w:rFonts w:eastAsia="TimesNewRomanPSMT"/>
          <w:iCs/>
        </w:rPr>
        <w:t xml:space="preserve">Для сферы образования </w:t>
      </w:r>
      <w:r>
        <w:rPr>
          <w:iCs/>
        </w:rPr>
        <w:t>Кондинского района</w:t>
      </w:r>
      <w:r>
        <w:rPr>
          <w:rFonts w:eastAsia="TimesNewRomanPSMT"/>
          <w:iCs/>
        </w:rPr>
        <w:t xml:space="preserve"> </w:t>
      </w:r>
      <w:r>
        <w:t>сохраняется тенденция старения педагогических кадров (доля учителей пенсионного возраста в Кондинском районе составляет 25,8%, доля молодых педагогов (стаж до 5 лет): воспитатели – 6,9%, учителя – 7,1%).</w:t>
      </w:r>
    </w:p>
    <w:p w:rsidR="00CF0324" w:rsidRDefault="00124A10">
      <w:pPr>
        <w:spacing w:line="276" w:lineRule="auto"/>
        <w:ind w:firstLine="708"/>
        <w:jc w:val="both"/>
        <w:rPr>
          <w:bCs/>
        </w:rPr>
      </w:pPr>
      <w:r>
        <w:rPr>
          <w:bCs/>
        </w:rPr>
        <w:t xml:space="preserve">Численность работников системы образования составляет 1768 человек. Благодаря эффективной реализации в Кондинском районе </w:t>
      </w:r>
      <w:r>
        <w:t>Указа Президента Российской Федерации от 7 мая 2012 года № 597 «О мероприятиях по реализации государственной социальной политики»</w:t>
      </w:r>
      <w:r>
        <w:rPr>
          <w:bCs/>
        </w:rPr>
        <w:t xml:space="preserve"> </w:t>
      </w:r>
      <w:r>
        <w:t>средняя заработная плата учителей в общем образовании в 2022 году составила 83542,4 руб., работников дошкольных образовательных учреждений – 51 659,8 руб.</w:t>
      </w:r>
    </w:p>
    <w:p w:rsidR="00CF0324" w:rsidRDefault="00124A10">
      <w:pPr>
        <w:spacing w:line="276" w:lineRule="auto"/>
        <w:ind w:firstLine="708"/>
        <w:jc w:val="both"/>
      </w:pPr>
      <w:r>
        <w:t>В бюджете муниципального образования доля расходов по отрасли «Образование» за 2022 год приблизилась к 53%, что свидетельствует о приоритете образования в районе. Доля внебюджетных средств – 2,9% от общего бюджетного финансирования, в том числе доходы от предоставления дополнительных платных образовательных услуг – 1,2% от объема бюджетного финансирования.</w:t>
      </w:r>
    </w:p>
    <w:p w:rsidR="00CF0324" w:rsidRDefault="00124A10">
      <w:pPr>
        <w:spacing w:line="276" w:lineRule="auto"/>
        <w:ind w:firstLine="708"/>
        <w:jc w:val="both"/>
      </w:pPr>
      <w:r>
        <w:t xml:space="preserve">В небольших населенных пунктах района модернизированные школы становятся своеобразными точками роста, местами общения. В сельских поселениях школы расширяют свои функции в сфере образования. В городских поселениях (пгт.Междуреченский, пгт. Мортка, пгт. Кондинское) школы становятся центром работы с талантливыми людьми района, предоставляя широкий спектр дополнительных образовательных услуг, организовывая кружковую деятельность и т.д. Сеть </w:t>
      </w:r>
      <w:r>
        <w:lastRenderedPageBreak/>
        <w:t>образовательных учреждений района начинает выполнять функцию транслятора нововведений и воспитания нового поколения.</w:t>
      </w:r>
    </w:p>
    <w:p w:rsidR="00CF0324" w:rsidRPr="00BA49AD" w:rsidRDefault="00124A10">
      <w:pPr>
        <w:pStyle w:val="3"/>
        <w:rPr>
          <w:rFonts w:ascii="Times New Roman" w:hAnsi="Times New Roman"/>
          <w:b w:val="0"/>
          <w:i/>
          <w:sz w:val="24"/>
          <w:szCs w:val="24"/>
          <w:lang w:val="ru-RU"/>
        </w:rPr>
      </w:pPr>
      <w:bookmarkStart w:id="18" w:name="_Toc18"/>
      <w:r w:rsidRPr="00BA49AD">
        <w:rPr>
          <w:rFonts w:ascii="Times New Roman" w:hAnsi="Times New Roman"/>
          <w:b w:val="0"/>
          <w:i/>
          <w:sz w:val="24"/>
          <w:szCs w:val="24"/>
          <w:lang w:val="ru-RU"/>
        </w:rPr>
        <w:t>1.</w:t>
      </w:r>
      <w:r>
        <w:rPr>
          <w:rFonts w:ascii="Times New Roman" w:hAnsi="Times New Roman"/>
          <w:b w:val="0"/>
          <w:i/>
          <w:sz w:val="24"/>
          <w:szCs w:val="24"/>
          <w:lang w:val="ru-RU"/>
        </w:rPr>
        <w:t>13</w:t>
      </w:r>
      <w:r w:rsidRPr="00BA49AD">
        <w:rPr>
          <w:rFonts w:ascii="Times New Roman" w:hAnsi="Times New Roman"/>
          <w:b w:val="0"/>
          <w:i/>
          <w:sz w:val="24"/>
          <w:szCs w:val="24"/>
          <w:lang w:val="ru-RU"/>
        </w:rPr>
        <w:t>.2. Здравоохранение</w:t>
      </w:r>
      <w:bookmarkEnd w:id="18"/>
    </w:p>
    <w:p w:rsidR="00CF0324" w:rsidRDefault="00124A10">
      <w:pPr>
        <w:spacing w:line="276" w:lineRule="auto"/>
        <w:ind w:firstLine="708"/>
        <w:jc w:val="both"/>
      </w:pPr>
      <w:r>
        <w:t xml:space="preserve">В системе здравоохранения Кондинского района функционирует три государственных учреждения: бюджетное учреждение Ханты-Мансийского автономного округа – Югры «Кондинского районная больница», бюджетное учреждение Ханты-Мансийского автономного округа – Югры «Центр общей врачебной практики», автономное учреждение Ханты-Мансийского автономного округа – Югры «Кондинская районная стоматологическая поликлиника» (таблица 1.27.). </w:t>
      </w:r>
    </w:p>
    <w:p w:rsidR="00CF0324" w:rsidRDefault="00124A10">
      <w:pPr>
        <w:spacing w:line="276" w:lineRule="auto"/>
        <w:ind w:firstLine="708"/>
        <w:jc w:val="both"/>
      </w:pPr>
      <w:r>
        <w:t>С 2014 года учреждения здравоохранения Кондинского района переданы в государственную собственность Ханты-Мансийского автономного округа – Югры. Первичная медико-санитарная помощь оказывается в 10 фельдшерско-акушерских пунктах (п. Лиственичный, с. Алтай, д. Кама, п. Ягодный, п. Ямки, д. Юмас, п. Шугур, д.Ушья, п. Чантырья, п. Назарово), в фельдшерском здравпункте п. Дальний, в 2 поликлиниках (пгт. Мортка, пгт. Куминский), в 3 врачебных амбулаториях (с.Леуши, с.Болчары, пгт. Луговой), в участковой больнице в пгт. Кондинское, в центре общей врачебной практике п. Мулымья (филиал в п. Половинка), в Кондинской районной больнице пгт.Междуреченский.</w:t>
      </w:r>
    </w:p>
    <w:p w:rsidR="00CF0324" w:rsidRDefault="00124A10">
      <w:pPr>
        <w:spacing w:line="276" w:lineRule="auto"/>
        <w:ind w:firstLine="708"/>
        <w:jc w:val="both"/>
      </w:pPr>
      <w:r>
        <w:t>Общая заболеваемость населения района по итогам 2021 года составила 1080,7 случаев на 1000 населения</w:t>
      </w:r>
      <w:r>
        <w:rPr>
          <w:rStyle w:val="16"/>
        </w:rPr>
        <w:footnoteReference w:id="37"/>
      </w:r>
      <w:r>
        <w:t xml:space="preserve">, что выше на 16% среднеокружного значения 931,2 случаев на 1000 населения и выше на 27% среднероссийского показателя 849,0 случаев на 1000 населения. </w:t>
      </w:r>
    </w:p>
    <w:p w:rsidR="00CF0324" w:rsidRDefault="00124A10">
      <w:pPr>
        <w:spacing w:line="276" w:lineRule="auto"/>
        <w:ind w:firstLine="708"/>
        <w:jc w:val="both"/>
      </w:pPr>
      <w:r>
        <w:t>Следует отметить, что заболеваемость населения района по классам:</w:t>
      </w:r>
    </w:p>
    <w:p w:rsidR="00CF0324" w:rsidRDefault="00124A10">
      <w:pPr>
        <w:spacing w:line="276" w:lineRule="auto"/>
        <w:ind w:firstLine="708"/>
        <w:jc w:val="both"/>
      </w:pPr>
      <w:r>
        <w:t>«болезни крови и кроветворных органов» - 4,5 случаев на 1000 населения, выше на 41% среднеокружного и среднероссийского значений 3,2 случаев на 1000 населения;</w:t>
      </w:r>
    </w:p>
    <w:p w:rsidR="00CF0324" w:rsidRDefault="00124A10">
      <w:pPr>
        <w:spacing w:line="276" w:lineRule="auto"/>
        <w:ind w:firstLine="708"/>
        <w:jc w:val="both"/>
      </w:pPr>
      <w:r>
        <w:t>«болезни системы кровообращения» - 51,2 случаев на 1000 населения, выше в 2,6 раза среднеокружного значения 19,3 случаев на 1000 населения и выше на 68% среднероссийского показателя 30,5 случаев на 1000 населения.</w:t>
      </w:r>
    </w:p>
    <w:p w:rsidR="00CF0324" w:rsidRDefault="00124A10">
      <w:pPr>
        <w:spacing w:line="276" w:lineRule="auto"/>
        <w:ind w:firstLine="708"/>
        <w:jc w:val="both"/>
      </w:pPr>
      <w:r>
        <w:t>«психические расстройства» - 3,1 случаев на 1000 населения, выше на 15% среднеокружного значения 2,7 случаев на 1000 населения, но ниже среднероссийского значения 4,0 случая на 1000 населения.</w:t>
      </w:r>
    </w:p>
    <w:p w:rsidR="00CF0324" w:rsidRDefault="00124A10">
      <w:pPr>
        <w:spacing w:before="240" w:line="276" w:lineRule="auto"/>
        <w:ind w:firstLine="708"/>
        <w:jc w:val="both"/>
      </w:pPr>
      <w:r>
        <w:t>Таблица 1.27. Показатели развития здравоохранения в Кондинском районе</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851"/>
        <w:gridCol w:w="709"/>
        <w:gridCol w:w="708"/>
        <w:gridCol w:w="709"/>
        <w:gridCol w:w="709"/>
        <w:gridCol w:w="850"/>
        <w:gridCol w:w="709"/>
        <w:gridCol w:w="709"/>
        <w:gridCol w:w="708"/>
      </w:tblGrid>
      <w:tr w:rsidR="00CF0324">
        <w:tc>
          <w:tcPr>
            <w:tcW w:w="567" w:type="dxa"/>
            <w:vMerge w:val="restart"/>
            <w:vAlign w:val="center"/>
          </w:tcPr>
          <w:p w:rsidR="00CF0324" w:rsidRDefault="00124A10">
            <w:pPr>
              <w:jc w:val="center"/>
              <w:rPr>
                <w:sz w:val="20"/>
                <w:szCs w:val="20"/>
              </w:rPr>
            </w:pPr>
            <w:r>
              <w:rPr>
                <w:sz w:val="20"/>
                <w:szCs w:val="20"/>
              </w:rPr>
              <w:t>№</w:t>
            </w:r>
          </w:p>
        </w:tc>
        <w:tc>
          <w:tcPr>
            <w:tcW w:w="2694" w:type="dxa"/>
            <w:vMerge w:val="restart"/>
            <w:vAlign w:val="center"/>
          </w:tcPr>
          <w:p w:rsidR="00CF0324" w:rsidRDefault="00124A10">
            <w:pPr>
              <w:jc w:val="center"/>
              <w:rPr>
                <w:sz w:val="20"/>
                <w:szCs w:val="20"/>
              </w:rPr>
            </w:pPr>
            <w:r>
              <w:rPr>
                <w:sz w:val="20"/>
                <w:szCs w:val="20"/>
              </w:rPr>
              <w:t>Наименование показателей</w:t>
            </w:r>
          </w:p>
        </w:tc>
        <w:tc>
          <w:tcPr>
            <w:tcW w:w="5245" w:type="dxa"/>
            <w:gridSpan w:val="7"/>
            <w:vAlign w:val="center"/>
          </w:tcPr>
          <w:p w:rsidR="00CF0324" w:rsidRDefault="00124A10">
            <w:pPr>
              <w:jc w:val="center"/>
              <w:rPr>
                <w:sz w:val="20"/>
                <w:szCs w:val="20"/>
              </w:rPr>
            </w:pPr>
            <w:r>
              <w:rPr>
                <w:sz w:val="20"/>
                <w:szCs w:val="20"/>
              </w:rPr>
              <w:t>годы</w:t>
            </w:r>
          </w:p>
        </w:tc>
        <w:tc>
          <w:tcPr>
            <w:tcW w:w="1417" w:type="dxa"/>
            <w:gridSpan w:val="2"/>
          </w:tcPr>
          <w:p w:rsidR="00CF0324" w:rsidRDefault="00124A10">
            <w:pPr>
              <w:jc w:val="center"/>
              <w:rPr>
                <w:sz w:val="20"/>
                <w:szCs w:val="20"/>
              </w:rPr>
            </w:pPr>
            <w:r>
              <w:rPr>
                <w:sz w:val="20"/>
                <w:szCs w:val="20"/>
              </w:rPr>
              <w:t>Темп роста, %</w:t>
            </w:r>
          </w:p>
        </w:tc>
      </w:tr>
      <w:tr w:rsidR="00CF0324">
        <w:tc>
          <w:tcPr>
            <w:tcW w:w="567" w:type="dxa"/>
            <w:vMerge/>
            <w:vAlign w:val="center"/>
          </w:tcPr>
          <w:p w:rsidR="00CF0324" w:rsidRDefault="00CF0324">
            <w:pPr>
              <w:jc w:val="center"/>
              <w:rPr>
                <w:sz w:val="20"/>
                <w:szCs w:val="20"/>
              </w:rPr>
            </w:pPr>
          </w:p>
        </w:tc>
        <w:tc>
          <w:tcPr>
            <w:tcW w:w="2694" w:type="dxa"/>
            <w:vMerge/>
          </w:tcPr>
          <w:p w:rsidR="00CF0324" w:rsidRDefault="00CF0324">
            <w:pPr>
              <w:jc w:val="both"/>
              <w:rPr>
                <w:sz w:val="20"/>
                <w:szCs w:val="20"/>
              </w:rPr>
            </w:pPr>
          </w:p>
        </w:tc>
        <w:tc>
          <w:tcPr>
            <w:tcW w:w="851" w:type="dxa"/>
            <w:vAlign w:val="center"/>
          </w:tcPr>
          <w:p w:rsidR="00CF0324" w:rsidRDefault="00124A10">
            <w:pPr>
              <w:jc w:val="center"/>
              <w:rPr>
                <w:sz w:val="20"/>
                <w:szCs w:val="20"/>
              </w:rPr>
            </w:pPr>
            <w:r>
              <w:rPr>
                <w:sz w:val="20"/>
                <w:szCs w:val="20"/>
              </w:rPr>
              <w:t>2016</w:t>
            </w:r>
          </w:p>
        </w:tc>
        <w:tc>
          <w:tcPr>
            <w:tcW w:w="709" w:type="dxa"/>
            <w:vAlign w:val="center"/>
          </w:tcPr>
          <w:p w:rsidR="00CF0324" w:rsidRDefault="00124A10">
            <w:pPr>
              <w:jc w:val="center"/>
              <w:rPr>
                <w:sz w:val="20"/>
                <w:szCs w:val="20"/>
              </w:rPr>
            </w:pPr>
            <w:r>
              <w:rPr>
                <w:sz w:val="20"/>
                <w:szCs w:val="20"/>
              </w:rPr>
              <w:t>2017</w:t>
            </w:r>
          </w:p>
        </w:tc>
        <w:tc>
          <w:tcPr>
            <w:tcW w:w="708" w:type="dxa"/>
            <w:vAlign w:val="center"/>
          </w:tcPr>
          <w:p w:rsidR="00CF0324" w:rsidRDefault="00124A10">
            <w:pPr>
              <w:jc w:val="center"/>
              <w:rPr>
                <w:sz w:val="20"/>
                <w:szCs w:val="20"/>
              </w:rPr>
            </w:pPr>
            <w:r>
              <w:rPr>
                <w:sz w:val="20"/>
                <w:szCs w:val="20"/>
              </w:rPr>
              <w:t>2018</w:t>
            </w:r>
          </w:p>
        </w:tc>
        <w:tc>
          <w:tcPr>
            <w:tcW w:w="709" w:type="dxa"/>
            <w:vAlign w:val="center"/>
          </w:tcPr>
          <w:p w:rsidR="00CF0324" w:rsidRDefault="00124A10">
            <w:pPr>
              <w:jc w:val="center"/>
              <w:rPr>
                <w:sz w:val="20"/>
                <w:szCs w:val="20"/>
              </w:rPr>
            </w:pPr>
            <w:r>
              <w:rPr>
                <w:sz w:val="20"/>
                <w:szCs w:val="20"/>
              </w:rPr>
              <w:t>2019</w:t>
            </w:r>
          </w:p>
        </w:tc>
        <w:tc>
          <w:tcPr>
            <w:tcW w:w="709" w:type="dxa"/>
            <w:vAlign w:val="center"/>
          </w:tcPr>
          <w:p w:rsidR="00CF0324" w:rsidRDefault="00124A10">
            <w:pPr>
              <w:jc w:val="center"/>
              <w:rPr>
                <w:sz w:val="20"/>
                <w:szCs w:val="20"/>
              </w:rPr>
            </w:pPr>
            <w:r>
              <w:rPr>
                <w:sz w:val="20"/>
                <w:szCs w:val="20"/>
              </w:rPr>
              <w:t>2020</w:t>
            </w:r>
          </w:p>
        </w:tc>
        <w:tc>
          <w:tcPr>
            <w:tcW w:w="850" w:type="dxa"/>
            <w:vAlign w:val="center"/>
          </w:tcPr>
          <w:p w:rsidR="00CF0324" w:rsidRDefault="00124A10">
            <w:pPr>
              <w:jc w:val="center"/>
              <w:rPr>
                <w:sz w:val="20"/>
                <w:szCs w:val="20"/>
              </w:rPr>
            </w:pPr>
            <w:r>
              <w:rPr>
                <w:sz w:val="20"/>
                <w:szCs w:val="20"/>
              </w:rPr>
              <w:t>2021</w:t>
            </w:r>
          </w:p>
        </w:tc>
        <w:tc>
          <w:tcPr>
            <w:tcW w:w="709" w:type="dxa"/>
            <w:vAlign w:val="center"/>
          </w:tcPr>
          <w:p w:rsidR="00CF0324" w:rsidRDefault="00124A10">
            <w:pPr>
              <w:jc w:val="center"/>
              <w:rPr>
                <w:sz w:val="20"/>
                <w:szCs w:val="20"/>
              </w:rPr>
            </w:pPr>
            <w:r>
              <w:rPr>
                <w:sz w:val="20"/>
                <w:szCs w:val="20"/>
              </w:rPr>
              <w:t>2022</w:t>
            </w:r>
          </w:p>
        </w:tc>
        <w:tc>
          <w:tcPr>
            <w:tcW w:w="709" w:type="dxa"/>
          </w:tcPr>
          <w:p w:rsidR="00CF0324" w:rsidRDefault="00124A10">
            <w:pPr>
              <w:jc w:val="center"/>
              <w:rPr>
                <w:sz w:val="20"/>
                <w:szCs w:val="20"/>
              </w:rPr>
            </w:pPr>
            <w:r>
              <w:rPr>
                <w:sz w:val="20"/>
                <w:szCs w:val="20"/>
              </w:rPr>
              <w:t>2022/2021</w:t>
            </w:r>
          </w:p>
        </w:tc>
        <w:tc>
          <w:tcPr>
            <w:tcW w:w="708" w:type="dxa"/>
          </w:tcPr>
          <w:p w:rsidR="00CF0324" w:rsidRDefault="00124A10">
            <w:pPr>
              <w:jc w:val="center"/>
              <w:rPr>
                <w:sz w:val="20"/>
                <w:szCs w:val="20"/>
              </w:rPr>
            </w:pPr>
            <w:r>
              <w:rPr>
                <w:sz w:val="20"/>
                <w:szCs w:val="20"/>
              </w:rPr>
              <w:t>2022/</w:t>
            </w:r>
          </w:p>
          <w:p w:rsidR="00CF0324" w:rsidRDefault="00124A10">
            <w:pPr>
              <w:jc w:val="center"/>
              <w:rPr>
                <w:sz w:val="20"/>
                <w:szCs w:val="20"/>
              </w:rPr>
            </w:pPr>
            <w:r>
              <w:rPr>
                <w:sz w:val="20"/>
                <w:szCs w:val="20"/>
              </w:rPr>
              <w:t>2016</w:t>
            </w:r>
          </w:p>
        </w:tc>
      </w:tr>
      <w:tr w:rsidR="00CF0324">
        <w:tc>
          <w:tcPr>
            <w:tcW w:w="567" w:type="dxa"/>
            <w:vAlign w:val="center"/>
          </w:tcPr>
          <w:p w:rsidR="00CF0324" w:rsidRDefault="00124A10">
            <w:pPr>
              <w:jc w:val="center"/>
              <w:rPr>
                <w:sz w:val="20"/>
                <w:szCs w:val="20"/>
              </w:rPr>
            </w:pPr>
            <w:r>
              <w:rPr>
                <w:sz w:val="20"/>
                <w:szCs w:val="20"/>
              </w:rPr>
              <w:t>1.</w:t>
            </w:r>
          </w:p>
        </w:tc>
        <w:tc>
          <w:tcPr>
            <w:tcW w:w="2694" w:type="dxa"/>
          </w:tcPr>
          <w:p w:rsidR="00CF0324" w:rsidRDefault="00124A10">
            <w:pPr>
              <w:jc w:val="both"/>
              <w:rPr>
                <w:sz w:val="20"/>
                <w:szCs w:val="20"/>
              </w:rPr>
            </w:pPr>
            <w:r>
              <w:rPr>
                <w:sz w:val="20"/>
                <w:szCs w:val="20"/>
              </w:rPr>
              <w:t>Количество учреждений здравоохранения, единиц</w:t>
            </w:r>
          </w:p>
        </w:tc>
        <w:tc>
          <w:tcPr>
            <w:tcW w:w="851" w:type="dxa"/>
            <w:vAlign w:val="center"/>
          </w:tcPr>
          <w:p w:rsidR="00CF0324" w:rsidRDefault="00124A10">
            <w:pPr>
              <w:jc w:val="center"/>
              <w:rPr>
                <w:sz w:val="20"/>
                <w:szCs w:val="20"/>
              </w:rPr>
            </w:pPr>
            <w:r>
              <w:rPr>
                <w:sz w:val="20"/>
                <w:szCs w:val="20"/>
              </w:rPr>
              <w:t>3</w:t>
            </w:r>
          </w:p>
        </w:tc>
        <w:tc>
          <w:tcPr>
            <w:tcW w:w="709" w:type="dxa"/>
            <w:vAlign w:val="center"/>
          </w:tcPr>
          <w:p w:rsidR="00CF0324" w:rsidRDefault="00124A10">
            <w:pPr>
              <w:jc w:val="center"/>
              <w:rPr>
                <w:sz w:val="20"/>
                <w:szCs w:val="20"/>
              </w:rPr>
            </w:pPr>
            <w:r>
              <w:rPr>
                <w:sz w:val="20"/>
                <w:szCs w:val="20"/>
              </w:rPr>
              <w:t>3</w:t>
            </w:r>
          </w:p>
        </w:tc>
        <w:tc>
          <w:tcPr>
            <w:tcW w:w="708" w:type="dxa"/>
            <w:vAlign w:val="center"/>
          </w:tcPr>
          <w:p w:rsidR="00CF0324" w:rsidRDefault="00124A10">
            <w:pPr>
              <w:jc w:val="center"/>
              <w:rPr>
                <w:sz w:val="20"/>
                <w:szCs w:val="20"/>
              </w:rPr>
            </w:pPr>
            <w:r>
              <w:rPr>
                <w:sz w:val="20"/>
                <w:szCs w:val="20"/>
              </w:rPr>
              <w:t>3</w:t>
            </w:r>
          </w:p>
        </w:tc>
        <w:tc>
          <w:tcPr>
            <w:tcW w:w="709" w:type="dxa"/>
            <w:vAlign w:val="center"/>
          </w:tcPr>
          <w:p w:rsidR="00CF0324" w:rsidRDefault="00124A10">
            <w:pPr>
              <w:jc w:val="center"/>
              <w:rPr>
                <w:sz w:val="20"/>
                <w:szCs w:val="20"/>
              </w:rPr>
            </w:pPr>
            <w:r>
              <w:rPr>
                <w:sz w:val="20"/>
                <w:szCs w:val="20"/>
              </w:rPr>
              <w:t>3</w:t>
            </w:r>
          </w:p>
        </w:tc>
        <w:tc>
          <w:tcPr>
            <w:tcW w:w="709" w:type="dxa"/>
            <w:vAlign w:val="center"/>
          </w:tcPr>
          <w:p w:rsidR="00CF0324" w:rsidRDefault="00124A10">
            <w:pPr>
              <w:jc w:val="center"/>
              <w:rPr>
                <w:sz w:val="20"/>
                <w:szCs w:val="20"/>
              </w:rPr>
            </w:pPr>
            <w:r>
              <w:rPr>
                <w:sz w:val="20"/>
                <w:szCs w:val="20"/>
              </w:rPr>
              <w:t>3</w:t>
            </w:r>
          </w:p>
        </w:tc>
        <w:tc>
          <w:tcPr>
            <w:tcW w:w="850" w:type="dxa"/>
            <w:vAlign w:val="center"/>
          </w:tcPr>
          <w:p w:rsidR="00CF0324" w:rsidRDefault="00124A10">
            <w:pPr>
              <w:jc w:val="center"/>
              <w:rPr>
                <w:sz w:val="20"/>
                <w:szCs w:val="20"/>
              </w:rPr>
            </w:pPr>
            <w:r>
              <w:rPr>
                <w:sz w:val="20"/>
                <w:szCs w:val="20"/>
              </w:rPr>
              <w:t>3</w:t>
            </w:r>
          </w:p>
        </w:tc>
        <w:tc>
          <w:tcPr>
            <w:tcW w:w="709" w:type="dxa"/>
            <w:vAlign w:val="center"/>
          </w:tcPr>
          <w:p w:rsidR="00CF0324" w:rsidRDefault="00124A10">
            <w:pPr>
              <w:jc w:val="center"/>
              <w:rPr>
                <w:sz w:val="20"/>
                <w:szCs w:val="20"/>
              </w:rPr>
            </w:pPr>
            <w:r>
              <w:rPr>
                <w:sz w:val="20"/>
                <w:szCs w:val="20"/>
              </w:rPr>
              <w:t>3</w:t>
            </w:r>
          </w:p>
        </w:tc>
        <w:tc>
          <w:tcPr>
            <w:tcW w:w="709" w:type="dxa"/>
            <w:vAlign w:val="center"/>
          </w:tcPr>
          <w:p w:rsidR="00CF0324" w:rsidRDefault="00124A10">
            <w:pPr>
              <w:jc w:val="center"/>
              <w:rPr>
                <w:sz w:val="20"/>
                <w:szCs w:val="20"/>
              </w:rPr>
            </w:pPr>
            <w:r>
              <w:rPr>
                <w:sz w:val="20"/>
                <w:szCs w:val="20"/>
              </w:rPr>
              <w:t>100</w:t>
            </w:r>
          </w:p>
        </w:tc>
        <w:tc>
          <w:tcPr>
            <w:tcW w:w="708" w:type="dxa"/>
            <w:vAlign w:val="center"/>
          </w:tcPr>
          <w:p w:rsidR="00CF0324" w:rsidRDefault="00124A10">
            <w:pPr>
              <w:jc w:val="center"/>
              <w:rPr>
                <w:sz w:val="20"/>
                <w:szCs w:val="20"/>
              </w:rPr>
            </w:pPr>
            <w:r>
              <w:rPr>
                <w:sz w:val="20"/>
                <w:szCs w:val="20"/>
              </w:rPr>
              <w:t>100</w:t>
            </w:r>
          </w:p>
        </w:tc>
      </w:tr>
      <w:tr w:rsidR="00CF0324">
        <w:tc>
          <w:tcPr>
            <w:tcW w:w="567" w:type="dxa"/>
            <w:vAlign w:val="center"/>
          </w:tcPr>
          <w:p w:rsidR="00CF0324" w:rsidRDefault="00124A10">
            <w:pPr>
              <w:jc w:val="center"/>
              <w:rPr>
                <w:sz w:val="20"/>
                <w:szCs w:val="20"/>
              </w:rPr>
            </w:pPr>
            <w:r>
              <w:rPr>
                <w:sz w:val="20"/>
                <w:szCs w:val="20"/>
              </w:rPr>
              <w:t>2.</w:t>
            </w:r>
          </w:p>
        </w:tc>
        <w:tc>
          <w:tcPr>
            <w:tcW w:w="2694" w:type="dxa"/>
          </w:tcPr>
          <w:p w:rsidR="00CF0324" w:rsidRDefault="00124A10">
            <w:pPr>
              <w:jc w:val="both"/>
              <w:rPr>
                <w:sz w:val="20"/>
                <w:szCs w:val="20"/>
              </w:rPr>
            </w:pPr>
            <w:r>
              <w:rPr>
                <w:sz w:val="20"/>
                <w:szCs w:val="20"/>
              </w:rPr>
              <w:t>Количество коек, единиц</w:t>
            </w:r>
          </w:p>
        </w:tc>
        <w:tc>
          <w:tcPr>
            <w:tcW w:w="851" w:type="dxa"/>
            <w:vAlign w:val="center"/>
          </w:tcPr>
          <w:p w:rsidR="00CF0324" w:rsidRDefault="00124A10">
            <w:pPr>
              <w:jc w:val="center"/>
              <w:rPr>
                <w:sz w:val="20"/>
                <w:szCs w:val="20"/>
              </w:rPr>
            </w:pPr>
            <w:r>
              <w:rPr>
                <w:sz w:val="20"/>
                <w:szCs w:val="20"/>
              </w:rPr>
              <w:t>199</w:t>
            </w:r>
          </w:p>
        </w:tc>
        <w:tc>
          <w:tcPr>
            <w:tcW w:w="709" w:type="dxa"/>
            <w:vAlign w:val="center"/>
          </w:tcPr>
          <w:p w:rsidR="00CF0324" w:rsidRDefault="00124A10">
            <w:pPr>
              <w:jc w:val="center"/>
              <w:rPr>
                <w:sz w:val="20"/>
                <w:szCs w:val="20"/>
              </w:rPr>
            </w:pPr>
            <w:r>
              <w:rPr>
                <w:sz w:val="20"/>
                <w:szCs w:val="20"/>
              </w:rPr>
              <w:t>199</w:t>
            </w:r>
          </w:p>
        </w:tc>
        <w:tc>
          <w:tcPr>
            <w:tcW w:w="708" w:type="dxa"/>
            <w:vAlign w:val="center"/>
          </w:tcPr>
          <w:p w:rsidR="00CF0324" w:rsidRDefault="00124A10">
            <w:pPr>
              <w:jc w:val="center"/>
              <w:rPr>
                <w:sz w:val="20"/>
                <w:szCs w:val="20"/>
              </w:rPr>
            </w:pPr>
            <w:r>
              <w:rPr>
                <w:sz w:val="20"/>
                <w:szCs w:val="20"/>
              </w:rPr>
              <w:t>199</w:t>
            </w:r>
          </w:p>
        </w:tc>
        <w:tc>
          <w:tcPr>
            <w:tcW w:w="709" w:type="dxa"/>
            <w:vAlign w:val="center"/>
          </w:tcPr>
          <w:p w:rsidR="00CF0324" w:rsidRDefault="00124A10">
            <w:pPr>
              <w:jc w:val="center"/>
              <w:rPr>
                <w:sz w:val="20"/>
                <w:szCs w:val="20"/>
              </w:rPr>
            </w:pPr>
            <w:r>
              <w:rPr>
                <w:sz w:val="20"/>
                <w:szCs w:val="20"/>
              </w:rPr>
              <w:t>199</w:t>
            </w:r>
          </w:p>
        </w:tc>
        <w:tc>
          <w:tcPr>
            <w:tcW w:w="709" w:type="dxa"/>
            <w:vAlign w:val="center"/>
          </w:tcPr>
          <w:p w:rsidR="00CF0324" w:rsidRDefault="00124A10">
            <w:pPr>
              <w:jc w:val="center"/>
              <w:rPr>
                <w:color w:val="000000"/>
                <w:sz w:val="20"/>
                <w:szCs w:val="20"/>
              </w:rPr>
            </w:pPr>
            <w:r>
              <w:rPr>
                <w:color w:val="000000"/>
                <w:sz w:val="20"/>
                <w:szCs w:val="20"/>
              </w:rPr>
              <w:t>199</w:t>
            </w:r>
          </w:p>
        </w:tc>
        <w:tc>
          <w:tcPr>
            <w:tcW w:w="850" w:type="dxa"/>
            <w:vAlign w:val="center"/>
          </w:tcPr>
          <w:p w:rsidR="00CF0324" w:rsidRDefault="00124A10">
            <w:pPr>
              <w:jc w:val="center"/>
              <w:rPr>
                <w:color w:val="000000"/>
                <w:sz w:val="20"/>
                <w:szCs w:val="20"/>
              </w:rPr>
            </w:pPr>
            <w:r>
              <w:rPr>
                <w:color w:val="000000"/>
                <w:sz w:val="20"/>
                <w:szCs w:val="20"/>
              </w:rPr>
              <w:t>199</w:t>
            </w:r>
          </w:p>
        </w:tc>
        <w:tc>
          <w:tcPr>
            <w:tcW w:w="709" w:type="dxa"/>
            <w:vAlign w:val="center"/>
          </w:tcPr>
          <w:p w:rsidR="00CF0324" w:rsidRDefault="00124A10">
            <w:pPr>
              <w:jc w:val="center"/>
              <w:rPr>
                <w:sz w:val="20"/>
                <w:szCs w:val="20"/>
              </w:rPr>
            </w:pPr>
            <w:r>
              <w:rPr>
                <w:sz w:val="20"/>
                <w:szCs w:val="20"/>
              </w:rPr>
              <w:t>200</w:t>
            </w:r>
          </w:p>
        </w:tc>
        <w:tc>
          <w:tcPr>
            <w:tcW w:w="709" w:type="dxa"/>
            <w:vAlign w:val="center"/>
          </w:tcPr>
          <w:p w:rsidR="00CF0324" w:rsidRDefault="00124A10">
            <w:pPr>
              <w:jc w:val="center"/>
              <w:rPr>
                <w:sz w:val="20"/>
                <w:szCs w:val="20"/>
              </w:rPr>
            </w:pPr>
            <w:r>
              <w:rPr>
                <w:sz w:val="20"/>
                <w:szCs w:val="20"/>
              </w:rPr>
              <w:t>101</w:t>
            </w:r>
          </w:p>
        </w:tc>
        <w:tc>
          <w:tcPr>
            <w:tcW w:w="708" w:type="dxa"/>
            <w:vAlign w:val="center"/>
          </w:tcPr>
          <w:p w:rsidR="00CF0324" w:rsidRDefault="00124A10">
            <w:pPr>
              <w:jc w:val="center"/>
              <w:rPr>
                <w:sz w:val="20"/>
                <w:szCs w:val="20"/>
              </w:rPr>
            </w:pPr>
            <w:r>
              <w:rPr>
                <w:sz w:val="20"/>
                <w:szCs w:val="20"/>
              </w:rPr>
              <w:t>101</w:t>
            </w:r>
          </w:p>
        </w:tc>
      </w:tr>
      <w:tr w:rsidR="00CF0324">
        <w:tc>
          <w:tcPr>
            <w:tcW w:w="567" w:type="dxa"/>
            <w:vAlign w:val="center"/>
          </w:tcPr>
          <w:p w:rsidR="00CF0324" w:rsidRDefault="00124A10">
            <w:pPr>
              <w:jc w:val="center"/>
              <w:rPr>
                <w:sz w:val="20"/>
                <w:szCs w:val="20"/>
              </w:rPr>
            </w:pPr>
            <w:r>
              <w:rPr>
                <w:sz w:val="20"/>
                <w:szCs w:val="20"/>
              </w:rPr>
              <w:t>3.</w:t>
            </w:r>
          </w:p>
        </w:tc>
        <w:tc>
          <w:tcPr>
            <w:tcW w:w="2694" w:type="dxa"/>
          </w:tcPr>
          <w:p w:rsidR="00CF0324" w:rsidRDefault="00124A10">
            <w:pPr>
              <w:jc w:val="both"/>
              <w:rPr>
                <w:sz w:val="20"/>
                <w:szCs w:val="20"/>
              </w:rPr>
            </w:pPr>
            <w:r>
              <w:rPr>
                <w:sz w:val="20"/>
                <w:szCs w:val="20"/>
              </w:rPr>
              <w:t>Мощность амбулаторно-поликлинических учреждений, посещений в смену</w:t>
            </w:r>
          </w:p>
        </w:tc>
        <w:tc>
          <w:tcPr>
            <w:tcW w:w="851" w:type="dxa"/>
            <w:vAlign w:val="center"/>
          </w:tcPr>
          <w:p w:rsidR="00CF0324" w:rsidRDefault="00124A10">
            <w:pPr>
              <w:jc w:val="center"/>
              <w:rPr>
                <w:sz w:val="20"/>
                <w:szCs w:val="20"/>
              </w:rPr>
            </w:pPr>
            <w:r>
              <w:rPr>
                <w:sz w:val="20"/>
                <w:szCs w:val="20"/>
              </w:rPr>
              <w:t>1402</w:t>
            </w:r>
          </w:p>
        </w:tc>
        <w:tc>
          <w:tcPr>
            <w:tcW w:w="709" w:type="dxa"/>
            <w:vAlign w:val="center"/>
          </w:tcPr>
          <w:p w:rsidR="00CF0324" w:rsidRDefault="00124A10">
            <w:pPr>
              <w:jc w:val="center"/>
              <w:rPr>
                <w:sz w:val="20"/>
                <w:szCs w:val="20"/>
              </w:rPr>
            </w:pPr>
            <w:r>
              <w:rPr>
                <w:sz w:val="20"/>
                <w:szCs w:val="20"/>
              </w:rPr>
              <w:t>1402</w:t>
            </w:r>
          </w:p>
        </w:tc>
        <w:tc>
          <w:tcPr>
            <w:tcW w:w="708" w:type="dxa"/>
            <w:vAlign w:val="center"/>
          </w:tcPr>
          <w:p w:rsidR="00CF0324" w:rsidRDefault="00124A10">
            <w:pPr>
              <w:jc w:val="center"/>
              <w:rPr>
                <w:sz w:val="20"/>
                <w:szCs w:val="20"/>
              </w:rPr>
            </w:pPr>
            <w:r>
              <w:rPr>
                <w:sz w:val="20"/>
                <w:szCs w:val="20"/>
              </w:rPr>
              <w:t>1402</w:t>
            </w:r>
          </w:p>
        </w:tc>
        <w:tc>
          <w:tcPr>
            <w:tcW w:w="709" w:type="dxa"/>
            <w:vAlign w:val="center"/>
          </w:tcPr>
          <w:p w:rsidR="00CF0324" w:rsidRDefault="00124A10">
            <w:pPr>
              <w:jc w:val="center"/>
              <w:rPr>
                <w:sz w:val="20"/>
                <w:szCs w:val="20"/>
              </w:rPr>
            </w:pPr>
            <w:r>
              <w:rPr>
                <w:sz w:val="20"/>
                <w:szCs w:val="20"/>
              </w:rPr>
              <w:t>1402</w:t>
            </w:r>
          </w:p>
        </w:tc>
        <w:tc>
          <w:tcPr>
            <w:tcW w:w="709" w:type="dxa"/>
            <w:vAlign w:val="center"/>
          </w:tcPr>
          <w:p w:rsidR="00CF0324" w:rsidRDefault="00124A10">
            <w:pPr>
              <w:jc w:val="center"/>
              <w:rPr>
                <w:color w:val="000000"/>
                <w:sz w:val="20"/>
                <w:szCs w:val="20"/>
              </w:rPr>
            </w:pPr>
            <w:r>
              <w:rPr>
                <w:color w:val="000000"/>
                <w:sz w:val="20"/>
                <w:szCs w:val="20"/>
              </w:rPr>
              <w:t>1402</w:t>
            </w:r>
          </w:p>
        </w:tc>
        <w:tc>
          <w:tcPr>
            <w:tcW w:w="850" w:type="dxa"/>
            <w:vAlign w:val="center"/>
          </w:tcPr>
          <w:p w:rsidR="00CF0324" w:rsidRDefault="00124A10">
            <w:pPr>
              <w:jc w:val="center"/>
              <w:rPr>
                <w:color w:val="000000"/>
                <w:sz w:val="20"/>
                <w:szCs w:val="20"/>
              </w:rPr>
            </w:pPr>
            <w:r>
              <w:rPr>
                <w:color w:val="000000"/>
                <w:sz w:val="20"/>
                <w:szCs w:val="20"/>
              </w:rPr>
              <w:t>1402</w:t>
            </w:r>
          </w:p>
        </w:tc>
        <w:tc>
          <w:tcPr>
            <w:tcW w:w="709" w:type="dxa"/>
            <w:vAlign w:val="center"/>
          </w:tcPr>
          <w:p w:rsidR="00CF0324" w:rsidRDefault="00124A10">
            <w:pPr>
              <w:jc w:val="center"/>
              <w:rPr>
                <w:sz w:val="20"/>
                <w:szCs w:val="20"/>
              </w:rPr>
            </w:pPr>
            <w:r>
              <w:rPr>
                <w:sz w:val="20"/>
                <w:szCs w:val="20"/>
              </w:rPr>
              <w:t>1402</w:t>
            </w:r>
          </w:p>
        </w:tc>
        <w:tc>
          <w:tcPr>
            <w:tcW w:w="709" w:type="dxa"/>
            <w:vAlign w:val="center"/>
          </w:tcPr>
          <w:p w:rsidR="00CF0324" w:rsidRDefault="00124A10">
            <w:pPr>
              <w:jc w:val="center"/>
              <w:rPr>
                <w:sz w:val="20"/>
                <w:szCs w:val="20"/>
              </w:rPr>
            </w:pPr>
            <w:r>
              <w:rPr>
                <w:sz w:val="20"/>
                <w:szCs w:val="20"/>
              </w:rPr>
              <w:t>100</w:t>
            </w:r>
          </w:p>
        </w:tc>
        <w:tc>
          <w:tcPr>
            <w:tcW w:w="708" w:type="dxa"/>
            <w:vAlign w:val="center"/>
          </w:tcPr>
          <w:p w:rsidR="00CF0324" w:rsidRDefault="00124A10">
            <w:pPr>
              <w:jc w:val="center"/>
              <w:rPr>
                <w:sz w:val="20"/>
                <w:szCs w:val="20"/>
              </w:rPr>
            </w:pPr>
            <w:r>
              <w:rPr>
                <w:sz w:val="20"/>
                <w:szCs w:val="20"/>
              </w:rPr>
              <w:t>100</w:t>
            </w:r>
          </w:p>
        </w:tc>
      </w:tr>
      <w:tr w:rsidR="00CF0324">
        <w:tc>
          <w:tcPr>
            <w:tcW w:w="567" w:type="dxa"/>
            <w:vAlign w:val="center"/>
          </w:tcPr>
          <w:p w:rsidR="00CF0324" w:rsidRDefault="00124A10">
            <w:pPr>
              <w:jc w:val="center"/>
              <w:rPr>
                <w:sz w:val="20"/>
                <w:szCs w:val="20"/>
              </w:rPr>
            </w:pPr>
            <w:r>
              <w:rPr>
                <w:sz w:val="20"/>
                <w:szCs w:val="20"/>
              </w:rPr>
              <w:t>4.</w:t>
            </w:r>
          </w:p>
        </w:tc>
        <w:tc>
          <w:tcPr>
            <w:tcW w:w="2694" w:type="dxa"/>
          </w:tcPr>
          <w:p w:rsidR="00CF0324" w:rsidRDefault="00124A10">
            <w:pPr>
              <w:jc w:val="both"/>
              <w:rPr>
                <w:sz w:val="20"/>
                <w:szCs w:val="20"/>
              </w:rPr>
            </w:pPr>
            <w:r>
              <w:rPr>
                <w:sz w:val="20"/>
                <w:szCs w:val="20"/>
              </w:rPr>
              <w:t xml:space="preserve">Количество врачей всех </w:t>
            </w:r>
            <w:r>
              <w:rPr>
                <w:sz w:val="20"/>
                <w:szCs w:val="20"/>
              </w:rPr>
              <w:lastRenderedPageBreak/>
              <w:t>специальностей</w:t>
            </w:r>
          </w:p>
        </w:tc>
        <w:tc>
          <w:tcPr>
            <w:tcW w:w="851" w:type="dxa"/>
            <w:vAlign w:val="center"/>
          </w:tcPr>
          <w:p w:rsidR="00CF0324" w:rsidRDefault="00124A10">
            <w:pPr>
              <w:jc w:val="center"/>
              <w:rPr>
                <w:sz w:val="20"/>
                <w:szCs w:val="20"/>
              </w:rPr>
            </w:pPr>
            <w:r>
              <w:rPr>
                <w:sz w:val="20"/>
                <w:szCs w:val="20"/>
              </w:rPr>
              <w:lastRenderedPageBreak/>
              <w:t>136</w:t>
            </w:r>
          </w:p>
        </w:tc>
        <w:tc>
          <w:tcPr>
            <w:tcW w:w="709" w:type="dxa"/>
            <w:vAlign w:val="center"/>
          </w:tcPr>
          <w:p w:rsidR="00CF0324" w:rsidRDefault="00124A10">
            <w:pPr>
              <w:jc w:val="center"/>
              <w:rPr>
                <w:sz w:val="20"/>
                <w:szCs w:val="20"/>
              </w:rPr>
            </w:pPr>
            <w:r>
              <w:rPr>
                <w:sz w:val="20"/>
                <w:szCs w:val="20"/>
              </w:rPr>
              <w:t>129</w:t>
            </w:r>
          </w:p>
        </w:tc>
        <w:tc>
          <w:tcPr>
            <w:tcW w:w="708" w:type="dxa"/>
            <w:vAlign w:val="center"/>
          </w:tcPr>
          <w:p w:rsidR="00CF0324" w:rsidRDefault="00124A10">
            <w:pPr>
              <w:jc w:val="center"/>
              <w:rPr>
                <w:sz w:val="20"/>
                <w:szCs w:val="20"/>
              </w:rPr>
            </w:pPr>
            <w:r>
              <w:rPr>
                <w:sz w:val="20"/>
                <w:szCs w:val="20"/>
              </w:rPr>
              <w:t>112</w:t>
            </w:r>
          </w:p>
        </w:tc>
        <w:tc>
          <w:tcPr>
            <w:tcW w:w="709" w:type="dxa"/>
            <w:vAlign w:val="center"/>
          </w:tcPr>
          <w:p w:rsidR="00CF0324" w:rsidRDefault="00124A10">
            <w:pPr>
              <w:jc w:val="center"/>
              <w:rPr>
                <w:sz w:val="20"/>
                <w:szCs w:val="20"/>
              </w:rPr>
            </w:pPr>
            <w:r>
              <w:rPr>
                <w:sz w:val="20"/>
                <w:szCs w:val="20"/>
              </w:rPr>
              <w:t>114</w:t>
            </w:r>
          </w:p>
        </w:tc>
        <w:tc>
          <w:tcPr>
            <w:tcW w:w="709" w:type="dxa"/>
            <w:vAlign w:val="center"/>
          </w:tcPr>
          <w:p w:rsidR="00CF0324" w:rsidRDefault="00124A10">
            <w:pPr>
              <w:jc w:val="center"/>
              <w:rPr>
                <w:color w:val="000000"/>
                <w:sz w:val="20"/>
                <w:szCs w:val="20"/>
              </w:rPr>
            </w:pPr>
            <w:r>
              <w:rPr>
                <w:color w:val="000000"/>
                <w:sz w:val="20"/>
                <w:szCs w:val="20"/>
              </w:rPr>
              <w:t>117</w:t>
            </w:r>
          </w:p>
        </w:tc>
        <w:tc>
          <w:tcPr>
            <w:tcW w:w="850" w:type="dxa"/>
            <w:vAlign w:val="center"/>
          </w:tcPr>
          <w:p w:rsidR="00CF0324" w:rsidRDefault="00124A10">
            <w:pPr>
              <w:jc w:val="center"/>
              <w:rPr>
                <w:color w:val="000000"/>
                <w:sz w:val="20"/>
                <w:szCs w:val="20"/>
              </w:rPr>
            </w:pPr>
            <w:r>
              <w:rPr>
                <w:color w:val="000000"/>
                <w:sz w:val="20"/>
                <w:szCs w:val="20"/>
              </w:rPr>
              <w:t>113</w:t>
            </w:r>
          </w:p>
        </w:tc>
        <w:tc>
          <w:tcPr>
            <w:tcW w:w="709" w:type="dxa"/>
            <w:vAlign w:val="center"/>
          </w:tcPr>
          <w:p w:rsidR="00CF0324" w:rsidRDefault="00124A10">
            <w:pPr>
              <w:jc w:val="center"/>
              <w:rPr>
                <w:sz w:val="20"/>
                <w:szCs w:val="20"/>
              </w:rPr>
            </w:pPr>
            <w:r>
              <w:rPr>
                <w:sz w:val="20"/>
                <w:szCs w:val="20"/>
              </w:rPr>
              <w:t>114</w:t>
            </w:r>
          </w:p>
        </w:tc>
        <w:tc>
          <w:tcPr>
            <w:tcW w:w="709" w:type="dxa"/>
            <w:vAlign w:val="center"/>
          </w:tcPr>
          <w:p w:rsidR="00CF0324" w:rsidRDefault="00124A10">
            <w:pPr>
              <w:jc w:val="center"/>
              <w:rPr>
                <w:sz w:val="20"/>
                <w:szCs w:val="20"/>
              </w:rPr>
            </w:pPr>
            <w:r>
              <w:rPr>
                <w:sz w:val="20"/>
                <w:szCs w:val="20"/>
              </w:rPr>
              <w:t>101</w:t>
            </w:r>
          </w:p>
        </w:tc>
        <w:tc>
          <w:tcPr>
            <w:tcW w:w="708" w:type="dxa"/>
            <w:vAlign w:val="center"/>
          </w:tcPr>
          <w:p w:rsidR="00CF0324" w:rsidRDefault="00124A10">
            <w:pPr>
              <w:jc w:val="center"/>
              <w:rPr>
                <w:sz w:val="20"/>
                <w:szCs w:val="20"/>
              </w:rPr>
            </w:pPr>
            <w:r>
              <w:rPr>
                <w:sz w:val="20"/>
                <w:szCs w:val="20"/>
              </w:rPr>
              <w:t>84</w:t>
            </w:r>
          </w:p>
        </w:tc>
      </w:tr>
      <w:tr w:rsidR="00CF0324">
        <w:tc>
          <w:tcPr>
            <w:tcW w:w="567" w:type="dxa"/>
            <w:vAlign w:val="center"/>
          </w:tcPr>
          <w:p w:rsidR="00CF0324" w:rsidRDefault="00124A10">
            <w:pPr>
              <w:jc w:val="center"/>
              <w:rPr>
                <w:sz w:val="20"/>
                <w:szCs w:val="20"/>
              </w:rPr>
            </w:pPr>
            <w:r>
              <w:rPr>
                <w:sz w:val="20"/>
                <w:szCs w:val="20"/>
              </w:rPr>
              <w:lastRenderedPageBreak/>
              <w:t>5.</w:t>
            </w:r>
          </w:p>
        </w:tc>
        <w:tc>
          <w:tcPr>
            <w:tcW w:w="2694" w:type="dxa"/>
          </w:tcPr>
          <w:p w:rsidR="00CF0324" w:rsidRDefault="00124A10">
            <w:pPr>
              <w:jc w:val="both"/>
              <w:rPr>
                <w:sz w:val="20"/>
                <w:szCs w:val="20"/>
              </w:rPr>
            </w:pPr>
            <w:r>
              <w:rPr>
                <w:sz w:val="20"/>
                <w:szCs w:val="20"/>
              </w:rPr>
              <w:t>Количество врачей на 10 000 чел. населения</w:t>
            </w:r>
          </w:p>
        </w:tc>
        <w:tc>
          <w:tcPr>
            <w:tcW w:w="851"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8"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color w:val="000000"/>
                <w:sz w:val="20"/>
                <w:szCs w:val="20"/>
              </w:rPr>
            </w:pPr>
          </w:p>
        </w:tc>
        <w:tc>
          <w:tcPr>
            <w:tcW w:w="850" w:type="dxa"/>
            <w:vAlign w:val="center"/>
          </w:tcPr>
          <w:p w:rsidR="00CF0324" w:rsidRDefault="00CF0324">
            <w:pPr>
              <w:jc w:val="center"/>
              <w:rPr>
                <w:color w:val="000000"/>
                <w:sz w:val="20"/>
                <w:szCs w:val="20"/>
              </w:rPr>
            </w:pPr>
          </w:p>
        </w:tc>
        <w:tc>
          <w:tcPr>
            <w:tcW w:w="709" w:type="dxa"/>
            <w:vAlign w:val="center"/>
          </w:tcPr>
          <w:p w:rsidR="00CF0324" w:rsidRDefault="00CF0324">
            <w:pPr>
              <w:jc w:val="center"/>
              <w:rPr>
                <w:sz w:val="20"/>
                <w:szCs w:val="20"/>
              </w:rPr>
            </w:pPr>
          </w:p>
        </w:tc>
        <w:tc>
          <w:tcPr>
            <w:tcW w:w="709" w:type="dxa"/>
            <w:vAlign w:val="center"/>
          </w:tcPr>
          <w:p w:rsidR="00CF0324" w:rsidRDefault="00CF0324">
            <w:pPr>
              <w:jc w:val="center"/>
              <w:rPr>
                <w:sz w:val="20"/>
                <w:szCs w:val="20"/>
              </w:rPr>
            </w:pPr>
          </w:p>
        </w:tc>
        <w:tc>
          <w:tcPr>
            <w:tcW w:w="708" w:type="dxa"/>
            <w:vAlign w:val="center"/>
          </w:tcPr>
          <w:p w:rsidR="00CF0324" w:rsidRDefault="00CF0324">
            <w:pPr>
              <w:jc w:val="center"/>
              <w:rPr>
                <w:sz w:val="20"/>
                <w:szCs w:val="20"/>
              </w:rPr>
            </w:pPr>
          </w:p>
        </w:tc>
      </w:tr>
      <w:tr w:rsidR="00CF0324">
        <w:tc>
          <w:tcPr>
            <w:tcW w:w="567" w:type="dxa"/>
            <w:vAlign w:val="center"/>
          </w:tcPr>
          <w:p w:rsidR="00CF0324" w:rsidRDefault="00CF0324">
            <w:pPr>
              <w:jc w:val="center"/>
              <w:rPr>
                <w:b/>
                <w:color w:val="00B0F0"/>
                <w:sz w:val="20"/>
                <w:szCs w:val="20"/>
              </w:rPr>
            </w:pPr>
          </w:p>
        </w:tc>
        <w:tc>
          <w:tcPr>
            <w:tcW w:w="2694" w:type="dxa"/>
          </w:tcPr>
          <w:p w:rsidR="00CF0324" w:rsidRDefault="00124A10">
            <w:pPr>
              <w:jc w:val="both"/>
              <w:rPr>
                <w:b/>
                <w:color w:val="00B0F0"/>
                <w:sz w:val="20"/>
                <w:szCs w:val="20"/>
              </w:rPr>
            </w:pPr>
            <w:r>
              <w:rPr>
                <w:b/>
                <w:color w:val="00B0F0"/>
                <w:sz w:val="20"/>
                <w:szCs w:val="20"/>
              </w:rPr>
              <w:t xml:space="preserve">   целевые показатели</w:t>
            </w:r>
          </w:p>
        </w:tc>
        <w:tc>
          <w:tcPr>
            <w:tcW w:w="851" w:type="dxa"/>
            <w:vAlign w:val="center"/>
          </w:tcPr>
          <w:p w:rsidR="00CF0324" w:rsidRDefault="00124A10">
            <w:pPr>
              <w:jc w:val="center"/>
              <w:rPr>
                <w:b/>
                <w:color w:val="00B0F0"/>
                <w:sz w:val="20"/>
                <w:szCs w:val="20"/>
              </w:rPr>
            </w:pPr>
            <w:r>
              <w:rPr>
                <w:b/>
                <w:color w:val="00B0F0"/>
                <w:sz w:val="20"/>
                <w:szCs w:val="20"/>
              </w:rPr>
              <w:t>38,5</w:t>
            </w:r>
          </w:p>
        </w:tc>
        <w:tc>
          <w:tcPr>
            <w:tcW w:w="709" w:type="dxa"/>
            <w:vAlign w:val="center"/>
          </w:tcPr>
          <w:p w:rsidR="00CF0324" w:rsidRDefault="00124A10">
            <w:pPr>
              <w:jc w:val="center"/>
              <w:rPr>
                <w:b/>
                <w:color w:val="00B0F0"/>
                <w:sz w:val="20"/>
                <w:szCs w:val="20"/>
              </w:rPr>
            </w:pPr>
            <w:r>
              <w:rPr>
                <w:b/>
                <w:color w:val="00B0F0"/>
                <w:sz w:val="20"/>
                <w:szCs w:val="20"/>
              </w:rPr>
              <w:t>38,7</w:t>
            </w:r>
          </w:p>
        </w:tc>
        <w:tc>
          <w:tcPr>
            <w:tcW w:w="708" w:type="dxa"/>
            <w:vAlign w:val="center"/>
          </w:tcPr>
          <w:p w:rsidR="00CF0324" w:rsidRDefault="00124A10">
            <w:pPr>
              <w:jc w:val="center"/>
              <w:rPr>
                <w:b/>
                <w:color w:val="00B0F0"/>
                <w:sz w:val="20"/>
                <w:szCs w:val="20"/>
              </w:rPr>
            </w:pPr>
            <w:r>
              <w:rPr>
                <w:b/>
                <w:color w:val="00B0F0"/>
                <w:sz w:val="20"/>
                <w:szCs w:val="20"/>
              </w:rPr>
              <w:t>39,0</w:t>
            </w:r>
          </w:p>
        </w:tc>
        <w:tc>
          <w:tcPr>
            <w:tcW w:w="709" w:type="dxa"/>
            <w:vAlign w:val="center"/>
          </w:tcPr>
          <w:p w:rsidR="00CF0324" w:rsidRDefault="00124A10">
            <w:pPr>
              <w:jc w:val="center"/>
              <w:rPr>
                <w:b/>
                <w:color w:val="00B0F0"/>
                <w:sz w:val="20"/>
                <w:szCs w:val="20"/>
              </w:rPr>
            </w:pPr>
            <w:r>
              <w:rPr>
                <w:b/>
                <w:color w:val="00B0F0"/>
                <w:sz w:val="20"/>
                <w:szCs w:val="20"/>
              </w:rPr>
              <w:t>39,2</w:t>
            </w:r>
          </w:p>
        </w:tc>
        <w:tc>
          <w:tcPr>
            <w:tcW w:w="709" w:type="dxa"/>
            <w:vAlign w:val="center"/>
          </w:tcPr>
          <w:p w:rsidR="00CF0324" w:rsidRDefault="00124A10">
            <w:pPr>
              <w:jc w:val="center"/>
              <w:rPr>
                <w:b/>
                <w:color w:val="00B0F0"/>
                <w:sz w:val="20"/>
                <w:szCs w:val="20"/>
              </w:rPr>
            </w:pPr>
            <w:r>
              <w:rPr>
                <w:b/>
                <w:color w:val="00B0F0"/>
                <w:sz w:val="20"/>
                <w:szCs w:val="20"/>
              </w:rPr>
              <w:t>39,4</w:t>
            </w:r>
          </w:p>
        </w:tc>
        <w:tc>
          <w:tcPr>
            <w:tcW w:w="850" w:type="dxa"/>
            <w:vAlign w:val="center"/>
          </w:tcPr>
          <w:p w:rsidR="00CF0324" w:rsidRDefault="00124A10">
            <w:pPr>
              <w:jc w:val="center"/>
              <w:rPr>
                <w:b/>
                <w:color w:val="00B0F0"/>
                <w:sz w:val="20"/>
                <w:szCs w:val="20"/>
              </w:rPr>
            </w:pPr>
            <w:r>
              <w:rPr>
                <w:b/>
                <w:color w:val="00B0F0"/>
                <w:sz w:val="20"/>
                <w:szCs w:val="20"/>
              </w:rPr>
              <w:t>39,4</w:t>
            </w:r>
          </w:p>
        </w:tc>
        <w:tc>
          <w:tcPr>
            <w:tcW w:w="709" w:type="dxa"/>
            <w:vAlign w:val="center"/>
          </w:tcPr>
          <w:p w:rsidR="00CF0324" w:rsidRDefault="00124A10">
            <w:pPr>
              <w:jc w:val="center"/>
              <w:rPr>
                <w:b/>
                <w:color w:val="00B0F0"/>
                <w:sz w:val="20"/>
                <w:szCs w:val="20"/>
              </w:rPr>
            </w:pPr>
            <w:r>
              <w:rPr>
                <w:b/>
                <w:color w:val="00B0F0"/>
                <w:sz w:val="20"/>
                <w:szCs w:val="20"/>
              </w:rPr>
              <w:t>39,4</w:t>
            </w:r>
          </w:p>
        </w:tc>
        <w:tc>
          <w:tcPr>
            <w:tcW w:w="709" w:type="dxa"/>
            <w:vAlign w:val="center"/>
          </w:tcPr>
          <w:p w:rsidR="00CF0324" w:rsidRDefault="00124A10">
            <w:pPr>
              <w:jc w:val="center"/>
              <w:rPr>
                <w:b/>
                <w:color w:val="00B0F0"/>
                <w:sz w:val="20"/>
                <w:szCs w:val="20"/>
              </w:rPr>
            </w:pPr>
            <w:r>
              <w:rPr>
                <w:b/>
                <w:color w:val="00B0F0"/>
                <w:sz w:val="20"/>
                <w:szCs w:val="20"/>
              </w:rPr>
              <w:t>100</w:t>
            </w:r>
          </w:p>
        </w:tc>
        <w:tc>
          <w:tcPr>
            <w:tcW w:w="708" w:type="dxa"/>
            <w:vAlign w:val="center"/>
          </w:tcPr>
          <w:p w:rsidR="00CF0324" w:rsidRDefault="00124A10">
            <w:pPr>
              <w:jc w:val="center"/>
              <w:rPr>
                <w:b/>
                <w:color w:val="00B0F0"/>
                <w:sz w:val="20"/>
                <w:szCs w:val="20"/>
              </w:rPr>
            </w:pPr>
            <w:r>
              <w:rPr>
                <w:b/>
                <w:color w:val="00B0F0"/>
                <w:sz w:val="20"/>
                <w:szCs w:val="20"/>
              </w:rPr>
              <w:t>102</w:t>
            </w:r>
          </w:p>
        </w:tc>
      </w:tr>
      <w:tr w:rsidR="00CF0324">
        <w:tc>
          <w:tcPr>
            <w:tcW w:w="567" w:type="dxa"/>
            <w:vAlign w:val="center"/>
          </w:tcPr>
          <w:p w:rsidR="00CF0324" w:rsidRDefault="00CF0324">
            <w:pPr>
              <w:jc w:val="center"/>
              <w:rPr>
                <w:b/>
                <w:color w:val="92D050"/>
                <w:sz w:val="20"/>
                <w:szCs w:val="20"/>
              </w:rPr>
            </w:pPr>
          </w:p>
        </w:tc>
        <w:tc>
          <w:tcPr>
            <w:tcW w:w="2694" w:type="dxa"/>
          </w:tcPr>
          <w:p w:rsidR="00CF0324" w:rsidRDefault="00124A10">
            <w:pPr>
              <w:jc w:val="both"/>
              <w:rPr>
                <w:b/>
                <w:color w:val="92D050"/>
                <w:sz w:val="20"/>
                <w:szCs w:val="20"/>
              </w:rPr>
            </w:pPr>
            <w:r>
              <w:rPr>
                <w:b/>
                <w:color w:val="92D050"/>
                <w:sz w:val="20"/>
                <w:szCs w:val="20"/>
              </w:rPr>
              <w:t xml:space="preserve">   фактические показатели</w:t>
            </w:r>
          </w:p>
        </w:tc>
        <w:tc>
          <w:tcPr>
            <w:tcW w:w="851" w:type="dxa"/>
            <w:vAlign w:val="center"/>
          </w:tcPr>
          <w:p w:rsidR="00CF0324" w:rsidRDefault="00124A10">
            <w:pPr>
              <w:jc w:val="center"/>
              <w:rPr>
                <w:sz w:val="20"/>
                <w:szCs w:val="20"/>
              </w:rPr>
            </w:pPr>
            <w:r>
              <w:rPr>
                <w:sz w:val="20"/>
                <w:szCs w:val="20"/>
              </w:rPr>
              <w:t>43,2</w:t>
            </w:r>
          </w:p>
        </w:tc>
        <w:tc>
          <w:tcPr>
            <w:tcW w:w="709" w:type="dxa"/>
            <w:vAlign w:val="center"/>
          </w:tcPr>
          <w:p w:rsidR="00CF0324" w:rsidRDefault="00124A10">
            <w:pPr>
              <w:jc w:val="center"/>
              <w:rPr>
                <w:sz w:val="20"/>
                <w:szCs w:val="20"/>
              </w:rPr>
            </w:pPr>
            <w:r>
              <w:rPr>
                <w:sz w:val="20"/>
                <w:szCs w:val="20"/>
              </w:rPr>
              <w:t>41,4</w:t>
            </w:r>
          </w:p>
        </w:tc>
        <w:tc>
          <w:tcPr>
            <w:tcW w:w="708" w:type="dxa"/>
            <w:vAlign w:val="center"/>
          </w:tcPr>
          <w:p w:rsidR="00CF0324" w:rsidRDefault="00124A10">
            <w:pPr>
              <w:jc w:val="center"/>
              <w:rPr>
                <w:sz w:val="20"/>
                <w:szCs w:val="20"/>
              </w:rPr>
            </w:pPr>
            <w:r>
              <w:rPr>
                <w:sz w:val="20"/>
                <w:szCs w:val="20"/>
              </w:rPr>
              <w:t>35,3</w:t>
            </w:r>
          </w:p>
        </w:tc>
        <w:tc>
          <w:tcPr>
            <w:tcW w:w="709" w:type="dxa"/>
            <w:vAlign w:val="center"/>
          </w:tcPr>
          <w:p w:rsidR="00CF0324" w:rsidRDefault="00124A10">
            <w:pPr>
              <w:jc w:val="center"/>
              <w:rPr>
                <w:b/>
                <w:color w:val="92D050"/>
                <w:sz w:val="20"/>
                <w:szCs w:val="20"/>
              </w:rPr>
            </w:pPr>
            <w:r>
              <w:rPr>
                <w:b/>
                <w:color w:val="92D050"/>
                <w:sz w:val="20"/>
                <w:szCs w:val="20"/>
              </w:rPr>
              <w:t>37,0</w:t>
            </w:r>
          </w:p>
        </w:tc>
        <w:tc>
          <w:tcPr>
            <w:tcW w:w="709" w:type="dxa"/>
            <w:vAlign w:val="center"/>
          </w:tcPr>
          <w:p w:rsidR="00CF0324" w:rsidRDefault="00124A10">
            <w:pPr>
              <w:jc w:val="center"/>
              <w:rPr>
                <w:b/>
                <w:color w:val="92D050"/>
                <w:sz w:val="20"/>
                <w:szCs w:val="20"/>
              </w:rPr>
            </w:pPr>
            <w:r>
              <w:rPr>
                <w:b/>
                <w:color w:val="92D050"/>
                <w:sz w:val="20"/>
                <w:szCs w:val="20"/>
              </w:rPr>
              <w:t>38,1</w:t>
            </w:r>
          </w:p>
        </w:tc>
        <w:tc>
          <w:tcPr>
            <w:tcW w:w="850" w:type="dxa"/>
            <w:vAlign w:val="center"/>
          </w:tcPr>
          <w:p w:rsidR="00CF0324" w:rsidRDefault="00124A10">
            <w:pPr>
              <w:jc w:val="center"/>
              <w:rPr>
                <w:b/>
                <w:color w:val="92D050"/>
                <w:sz w:val="20"/>
                <w:szCs w:val="20"/>
              </w:rPr>
            </w:pPr>
            <w:r>
              <w:rPr>
                <w:b/>
                <w:color w:val="92D050"/>
                <w:sz w:val="20"/>
                <w:szCs w:val="20"/>
              </w:rPr>
              <w:t>37,1</w:t>
            </w:r>
          </w:p>
        </w:tc>
        <w:tc>
          <w:tcPr>
            <w:tcW w:w="709" w:type="dxa"/>
            <w:vAlign w:val="center"/>
          </w:tcPr>
          <w:p w:rsidR="00CF0324" w:rsidRDefault="00124A10">
            <w:pPr>
              <w:jc w:val="center"/>
              <w:rPr>
                <w:b/>
                <w:color w:val="92D050"/>
                <w:sz w:val="20"/>
                <w:szCs w:val="20"/>
              </w:rPr>
            </w:pPr>
            <w:r>
              <w:rPr>
                <w:b/>
                <w:color w:val="92D050"/>
                <w:sz w:val="20"/>
                <w:szCs w:val="20"/>
              </w:rPr>
              <w:t>37,3</w:t>
            </w:r>
          </w:p>
        </w:tc>
        <w:tc>
          <w:tcPr>
            <w:tcW w:w="709" w:type="dxa"/>
            <w:vAlign w:val="center"/>
          </w:tcPr>
          <w:p w:rsidR="00CF0324" w:rsidRDefault="00124A10">
            <w:pPr>
              <w:jc w:val="center"/>
              <w:rPr>
                <w:b/>
                <w:color w:val="92D050"/>
                <w:sz w:val="20"/>
                <w:szCs w:val="20"/>
              </w:rPr>
            </w:pPr>
            <w:r>
              <w:rPr>
                <w:b/>
                <w:color w:val="92D050"/>
                <w:sz w:val="20"/>
                <w:szCs w:val="20"/>
              </w:rPr>
              <w:t>101</w:t>
            </w:r>
          </w:p>
        </w:tc>
        <w:tc>
          <w:tcPr>
            <w:tcW w:w="708" w:type="dxa"/>
            <w:vAlign w:val="center"/>
          </w:tcPr>
          <w:p w:rsidR="00CF0324" w:rsidRDefault="00124A10">
            <w:pPr>
              <w:jc w:val="center"/>
              <w:rPr>
                <w:b/>
                <w:color w:val="92D050"/>
                <w:sz w:val="20"/>
                <w:szCs w:val="20"/>
              </w:rPr>
            </w:pPr>
            <w:r>
              <w:rPr>
                <w:b/>
                <w:color w:val="92D050"/>
                <w:sz w:val="20"/>
                <w:szCs w:val="20"/>
              </w:rPr>
              <w:t>86</w:t>
            </w:r>
          </w:p>
        </w:tc>
      </w:tr>
      <w:tr w:rsidR="00CF0324">
        <w:tc>
          <w:tcPr>
            <w:tcW w:w="567" w:type="dxa"/>
            <w:vAlign w:val="center"/>
          </w:tcPr>
          <w:p w:rsidR="00CF0324" w:rsidRDefault="00124A10">
            <w:pPr>
              <w:jc w:val="center"/>
              <w:rPr>
                <w:sz w:val="20"/>
                <w:szCs w:val="20"/>
              </w:rPr>
            </w:pPr>
            <w:r>
              <w:rPr>
                <w:sz w:val="20"/>
                <w:szCs w:val="20"/>
              </w:rPr>
              <w:t>6.</w:t>
            </w:r>
          </w:p>
        </w:tc>
        <w:tc>
          <w:tcPr>
            <w:tcW w:w="2694" w:type="dxa"/>
          </w:tcPr>
          <w:p w:rsidR="00CF0324" w:rsidRDefault="00124A10">
            <w:pPr>
              <w:jc w:val="both"/>
              <w:rPr>
                <w:sz w:val="20"/>
                <w:szCs w:val="20"/>
              </w:rPr>
            </w:pPr>
            <w:r>
              <w:rPr>
                <w:sz w:val="20"/>
                <w:szCs w:val="20"/>
              </w:rPr>
              <w:t>Количество среднего медицинского персонала</w:t>
            </w:r>
          </w:p>
        </w:tc>
        <w:tc>
          <w:tcPr>
            <w:tcW w:w="851" w:type="dxa"/>
            <w:vAlign w:val="center"/>
          </w:tcPr>
          <w:p w:rsidR="00CF0324" w:rsidRDefault="00124A10">
            <w:pPr>
              <w:jc w:val="center"/>
              <w:rPr>
                <w:sz w:val="20"/>
                <w:szCs w:val="20"/>
              </w:rPr>
            </w:pPr>
            <w:r>
              <w:rPr>
                <w:sz w:val="20"/>
                <w:szCs w:val="20"/>
              </w:rPr>
              <w:t>475</w:t>
            </w:r>
          </w:p>
        </w:tc>
        <w:tc>
          <w:tcPr>
            <w:tcW w:w="709" w:type="dxa"/>
            <w:vAlign w:val="center"/>
          </w:tcPr>
          <w:p w:rsidR="00CF0324" w:rsidRDefault="00124A10">
            <w:pPr>
              <w:jc w:val="center"/>
              <w:rPr>
                <w:sz w:val="20"/>
                <w:szCs w:val="20"/>
              </w:rPr>
            </w:pPr>
            <w:r>
              <w:rPr>
                <w:sz w:val="20"/>
                <w:szCs w:val="20"/>
              </w:rPr>
              <w:t>473</w:t>
            </w:r>
          </w:p>
        </w:tc>
        <w:tc>
          <w:tcPr>
            <w:tcW w:w="708" w:type="dxa"/>
            <w:vAlign w:val="center"/>
          </w:tcPr>
          <w:p w:rsidR="00CF0324" w:rsidRDefault="00124A10">
            <w:pPr>
              <w:jc w:val="center"/>
              <w:rPr>
                <w:sz w:val="20"/>
                <w:szCs w:val="20"/>
              </w:rPr>
            </w:pPr>
            <w:r>
              <w:rPr>
                <w:sz w:val="20"/>
                <w:szCs w:val="20"/>
              </w:rPr>
              <w:t>433</w:t>
            </w:r>
          </w:p>
        </w:tc>
        <w:tc>
          <w:tcPr>
            <w:tcW w:w="709" w:type="dxa"/>
            <w:vAlign w:val="center"/>
          </w:tcPr>
          <w:p w:rsidR="00CF0324" w:rsidRDefault="00124A10">
            <w:pPr>
              <w:jc w:val="center"/>
              <w:rPr>
                <w:sz w:val="20"/>
                <w:szCs w:val="20"/>
              </w:rPr>
            </w:pPr>
            <w:r>
              <w:rPr>
                <w:sz w:val="20"/>
                <w:szCs w:val="20"/>
              </w:rPr>
              <w:t>423</w:t>
            </w:r>
          </w:p>
        </w:tc>
        <w:tc>
          <w:tcPr>
            <w:tcW w:w="709" w:type="dxa"/>
            <w:vAlign w:val="center"/>
          </w:tcPr>
          <w:p w:rsidR="00CF0324" w:rsidRDefault="00124A10">
            <w:pPr>
              <w:jc w:val="center"/>
              <w:rPr>
                <w:color w:val="000000"/>
                <w:sz w:val="20"/>
                <w:szCs w:val="20"/>
              </w:rPr>
            </w:pPr>
            <w:r>
              <w:rPr>
                <w:color w:val="000000"/>
                <w:sz w:val="20"/>
                <w:szCs w:val="20"/>
              </w:rPr>
              <w:t>413</w:t>
            </w:r>
          </w:p>
        </w:tc>
        <w:tc>
          <w:tcPr>
            <w:tcW w:w="850" w:type="dxa"/>
            <w:vAlign w:val="center"/>
          </w:tcPr>
          <w:p w:rsidR="00CF0324" w:rsidRDefault="00124A10">
            <w:pPr>
              <w:jc w:val="center"/>
              <w:rPr>
                <w:color w:val="000000"/>
                <w:sz w:val="20"/>
                <w:szCs w:val="20"/>
              </w:rPr>
            </w:pPr>
            <w:r>
              <w:rPr>
                <w:color w:val="000000"/>
                <w:sz w:val="20"/>
                <w:szCs w:val="20"/>
              </w:rPr>
              <w:t>417</w:t>
            </w:r>
          </w:p>
        </w:tc>
        <w:tc>
          <w:tcPr>
            <w:tcW w:w="709" w:type="dxa"/>
            <w:vAlign w:val="center"/>
          </w:tcPr>
          <w:p w:rsidR="00CF0324" w:rsidRDefault="00124A10">
            <w:pPr>
              <w:jc w:val="center"/>
              <w:rPr>
                <w:sz w:val="20"/>
                <w:szCs w:val="20"/>
              </w:rPr>
            </w:pPr>
            <w:r>
              <w:rPr>
                <w:sz w:val="20"/>
                <w:szCs w:val="20"/>
              </w:rPr>
              <w:t>410</w:t>
            </w:r>
          </w:p>
        </w:tc>
        <w:tc>
          <w:tcPr>
            <w:tcW w:w="709" w:type="dxa"/>
            <w:vAlign w:val="center"/>
          </w:tcPr>
          <w:p w:rsidR="00CF0324" w:rsidRDefault="00124A10">
            <w:pPr>
              <w:jc w:val="center"/>
              <w:rPr>
                <w:sz w:val="20"/>
                <w:szCs w:val="20"/>
              </w:rPr>
            </w:pPr>
            <w:r>
              <w:rPr>
                <w:sz w:val="20"/>
                <w:szCs w:val="20"/>
              </w:rPr>
              <w:t>98</w:t>
            </w:r>
          </w:p>
        </w:tc>
        <w:tc>
          <w:tcPr>
            <w:tcW w:w="708" w:type="dxa"/>
            <w:vAlign w:val="center"/>
          </w:tcPr>
          <w:p w:rsidR="00CF0324" w:rsidRDefault="00124A10">
            <w:pPr>
              <w:jc w:val="center"/>
              <w:rPr>
                <w:sz w:val="20"/>
                <w:szCs w:val="20"/>
              </w:rPr>
            </w:pPr>
            <w:r>
              <w:rPr>
                <w:sz w:val="20"/>
                <w:szCs w:val="20"/>
              </w:rPr>
              <w:t>86</w:t>
            </w:r>
          </w:p>
        </w:tc>
      </w:tr>
      <w:tr w:rsidR="00CF0324">
        <w:tc>
          <w:tcPr>
            <w:tcW w:w="567" w:type="dxa"/>
            <w:vAlign w:val="center"/>
          </w:tcPr>
          <w:p w:rsidR="00CF0324" w:rsidRDefault="00124A10">
            <w:pPr>
              <w:jc w:val="center"/>
              <w:rPr>
                <w:sz w:val="20"/>
                <w:szCs w:val="20"/>
              </w:rPr>
            </w:pPr>
            <w:r>
              <w:rPr>
                <w:sz w:val="20"/>
                <w:szCs w:val="20"/>
              </w:rPr>
              <w:t>7.</w:t>
            </w:r>
          </w:p>
        </w:tc>
        <w:tc>
          <w:tcPr>
            <w:tcW w:w="2694" w:type="dxa"/>
            <w:vAlign w:val="center"/>
          </w:tcPr>
          <w:p w:rsidR="00CF0324" w:rsidRDefault="00124A10">
            <w:pPr>
              <w:jc w:val="both"/>
              <w:rPr>
                <w:sz w:val="20"/>
                <w:szCs w:val="20"/>
              </w:rPr>
            </w:pPr>
            <w:r>
              <w:rPr>
                <w:sz w:val="20"/>
                <w:szCs w:val="20"/>
              </w:rPr>
              <w:t>Обеспеченность койками на 10 000 населения</w:t>
            </w:r>
          </w:p>
        </w:tc>
        <w:tc>
          <w:tcPr>
            <w:tcW w:w="851" w:type="dxa"/>
            <w:vAlign w:val="center"/>
          </w:tcPr>
          <w:p w:rsidR="00CF0324" w:rsidRDefault="00124A10">
            <w:pPr>
              <w:jc w:val="center"/>
              <w:rPr>
                <w:sz w:val="20"/>
                <w:szCs w:val="20"/>
              </w:rPr>
            </w:pPr>
            <w:r>
              <w:rPr>
                <w:sz w:val="20"/>
                <w:szCs w:val="20"/>
              </w:rPr>
              <w:t>63,3</w:t>
            </w:r>
          </w:p>
        </w:tc>
        <w:tc>
          <w:tcPr>
            <w:tcW w:w="709" w:type="dxa"/>
            <w:vAlign w:val="center"/>
          </w:tcPr>
          <w:p w:rsidR="00CF0324" w:rsidRDefault="00124A10">
            <w:pPr>
              <w:jc w:val="center"/>
              <w:rPr>
                <w:sz w:val="20"/>
                <w:szCs w:val="20"/>
              </w:rPr>
            </w:pPr>
            <w:r>
              <w:rPr>
                <w:sz w:val="20"/>
                <w:szCs w:val="20"/>
              </w:rPr>
              <w:t>63,7</w:t>
            </w:r>
          </w:p>
        </w:tc>
        <w:tc>
          <w:tcPr>
            <w:tcW w:w="708" w:type="dxa"/>
            <w:vAlign w:val="center"/>
          </w:tcPr>
          <w:p w:rsidR="00CF0324" w:rsidRDefault="00124A10">
            <w:pPr>
              <w:jc w:val="center"/>
              <w:rPr>
                <w:sz w:val="20"/>
                <w:szCs w:val="20"/>
              </w:rPr>
            </w:pPr>
            <w:r>
              <w:rPr>
                <w:sz w:val="20"/>
                <w:szCs w:val="20"/>
              </w:rPr>
              <w:t>64,2</w:t>
            </w:r>
          </w:p>
        </w:tc>
        <w:tc>
          <w:tcPr>
            <w:tcW w:w="709" w:type="dxa"/>
            <w:vAlign w:val="center"/>
          </w:tcPr>
          <w:p w:rsidR="00CF0324" w:rsidRDefault="00124A10">
            <w:pPr>
              <w:jc w:val="center"/>
              <w:rPr>
                <w:sz w:val="20"/>
                <w:szCs w:val="20"/>
              </w:rPr>
            </w:pPr>
            <w:r>
              <w:rPr>
                <w:sz w:val="20"/>
                <w:szCs w:val="20"/>
              </w:rPr>
              <w:t>64,7</w:t>
            </w:r>
          </w:p>
        </w:tc>
        <w:tc>
          <w:tcPr>
            <w:tcW w:w="709" w:type="dxa"/>
            <w:vAlign w:val="center"/>
          </w:tcPr>
          <w:p w:rsidR="00CF0324" w:rsidRDefault="00124A10">
            <w:pPr>
              <w:jc w:val="center"/>
              <w:rPr>
                <w:sz w:val="20"/>
                <w:szCs w:val="20"/>
              </w:rPr>
            </w:pPr>
            <w:r>
              <w:rPr>
                <w:sz w:val="20"/>
                <w:szCs w:val="20"/>
              </w:rPr>
              <w:t>64,7</w:t>
            </w:r>
            <w:r>
              <w:rPr>
                <w:rStyle w:val="16"/>
                <w:sz w:val="20"/>
                <w:szCs w:val="20"/>
              </w:rPr>
              <w:footnoteReference w:id="38"/>
            </w:r>
          </w:p>
        </w:tc>
        <w:tc>
          <w:tcPr>
            <w:tcW w:w="850" w:type="dxa"/>
            <w:vAlign w:val="center"/>
          </w:tcPr>
          <w:p w:rsidR="00CF0324" w:rsidRDefault="00124A10">
            <w:pPr>
              <w:jc w:val="center"/>
              <w:rPr>
                <w:sz w:val="20"/>
                <w:szCs w:val="20"/>
              </w:rPr>
            </w:pPr>
            <w:r>
              <w:rPr>
                <w:sz w:val="20"/>
                <w:szCs w:val="20"/>
              </w:rPr>
              <w:t>65,2</w:t>
            </w:r>
          </w:p>
        </w:tc>
        <w:tc>
          <w:tcPr>
            <w:tcW w:w="709" w:type="dxa"/>
            <w:vAlign w:val="center"/>
          </w:tcPr>
          <w:p w:rsidR="00CF0324" w:rsidRDefault="00124A10">
            <w:pPr>
              <w:jc w:val="center"/>
              <w:rPr>
                <w:sz w:val="20"/>
                <w:szCs w:val="20"/>
              </w:rPr>
            </w:pPr>
            <w:r>
              <w:rPr>
                <w:sz w:val="20"/>
                <w:szCs w:val="20"/>
              </w:rPr>
              <w:t>65,6</w:t>
            </w:r>
          </w:p>
        </w:tc>
        <w:tc>
          <w:tcPr>
            <w:tcW w:w="709" w:type="dxa"/>
            <w:vAlign w:val="center"/>
          </w:tcPr>
          <w:p w:rsidR="00CF0324" w:rsidRDefault="00124A10">
            <w:pPr>
              <w:jc w:val="center"/>
              <w:rPr>
                <w:sz w:val="20"/>
                <w:szCs w:val="20"/>
              </w:rPr>
            </w:pPr>
            <w:r>
              <w:rPr>
                <w:sz w:val="20"/>
                <w:szCs w:val="20"/>
              </w:rPr>
              <w:t>101</w:t>
            </w:r>
          </w:p>
        </w:tc>
        <w:tc>
          <w:tcPr>
            <w:tcW w:w="708" w:type="dxa"/>
            <w:vAlign w:val="center"/>
          </w:tcPr>
          <w:p w:rsidR="00CF0324" w:rsidRDefault="00124A10">
            <w:pPr>
              <w:jc w:val="center"/>
              <w:rPr>
                <w:sz w:val="20"/>
                <w:szCs w:val="20"/>
              </w:rPr>
            </w:pPr>
            <w:r>
              <w:rPr>
                <w:sz w:val="20"/>
                <w:szCs w:val="20"/>
              </w:rPr>
              <w:t>104</w:t>
            </w:r>
          </w:p>
        </w:tc>
      </w:tr>
      <w:tr w:rsidR="00CF0324">
        <w:tc>
          <w:tcPr>
            <w:tcW w:w="567" w:type="dxa"/>
            <w:vAlign w:val="center"/>
          </w:tcPr>
          <w:p w:rsidR="00CF0324" w:rsidRDefault="00124A10">
            <w:pPr>
              <w:jc w:val="center"/>
              <w:rPr>
                <w:sz w:val="20"/>
                <w:szCs w:val="20"/>
              </w:rPr>
            </w:pPr>
            <w:r>
              <w:rPr>
                <w:sz w:val="20"/>
                <w:szCs w:val="20"/>
              </w:rPr>
              <w:t>8.</w:t>
            </w:r>
          </w:p>
        </w:tc>
        <w:tc>
          <w:tcPr>
            <w:tcW w:w="2694" w:type="dxa"/>
            <w:vAlign w:val="center"/>
          </w:tcPr>
          <w:p w:rsidR="00CF0324" w:rsidRDefault="00124A10">
            <w:pPr>
              <w:jc w:val="both"/>
              <w:rPr>
                <w:sz w:val="20"/>
                <w:szCs w:val="20"/>
              </w:rPr>
            </w:pPr>
            <w:r>
              <w:rPr>
                <w:sz w:val="20"/>
                <w:szCs w:val="20"/>
              </w:rPr>
              <w:t>Заболеваемость общая на 1000 населения</w:t>
            </w:r>
          </w:p>
        </w:tc>
        <w:tc>
          <w:tcPr>
            <w:tcW w:w="851" w:type="dxa"/>
            <w:vAlign w:val="center"/>
          </w:tcPr>
          <w:p w:rsidR="00CF0324" w:rsidRDefault="00124A10">
            <w:pPr>
              <w:jc w:val="center"/>
              <w:rPr>
                <w:sz w:val="20"/>
                <w:szCs w:val="20"/>
              </w:rPr>
            </w:pPr>
            <w:r>
              <w:rPr>
                <w:sz w:val="20"/>
                <w:szCs w:val="20"/>
              </w:rPr>
              <w:t>1090,3</w:t>
            </w:r>
          </w:p>
        </w:tc>
        <w:tc>
          <w:tcPr>
            <w:tcW w:w="709" w:type="dxa"/>
            <w:vAlign w:val="center"/>
          </w:tcPr>
          <w:p w:rsidR="00CF0324" w:rsidRDefault="00124A10">
            <w:pPr>
              <w:jc w:val="center"/>
              <w:rPr>
                <w:sz w:val="20"/>
                <w:szCs w:val="20"/>
              </w:rPr>
            </w:pPr>
            <w:r>
              <w:rPr>
                <w:sz w:val="20"/>
                <w:szCs w:val="20"/>
              </w:rPr>
              <w:t>961,3</w:t>
            </w:r>
          </w:p>
        </w:tc>
        <w:tc>
          <w:tcPr>
            <w:tcW w:w="708" w:type="dxa"/>
            <w:vAlign w:val="center"/>
          </w:tcPr>
          <w:p w:rsidR="00CF0324" w:rsidRDefault="00124A10">
            <w:pPr>
              <w:jc w:val="center"/>
              <w:rPr>
                <w:sz w:val="20"/>
                <w:szCs w:val="20"/>
              </w:rPr>
            </w:pPr>
            <w:r>
              <w:rPr>
                <w:sz w:val="20"/>
                <w:szCs w:val="20"/>
              </w:rPr>
              <w:t>845,8</w:t>
            </w:r>
          </w:p>
        </w:tc>
        <w:tc>
          <w:tcPr>
            <w:tcW w:w="709" w:type="dxa"/>
            <w:vAlign w:val="center"/>
          </w:tcPr>
          <w:p w:rsidR="00CF0324" w:rsidRDefault="00124A10">
            <w:pPr>
              <w:jc w:val="center"/>
              <w:rPr>
                <w:sz w:val="20"/>
                <w:szCs w:val="20"/>
              </w:rPr>
            </w:pPr>
            <w:r>
              <w:rPr>
                <w:sz w:val="20"/>
                <w:szCs w:val="20"/>
              </w:rPr>
              <w:t>958,9</w:t>
            </w:r>
          </w:p>
        </w:tc>
        <w:tc>
          <w:tcPr>
            <w:tcW w:w="709" w:type="dxa"/>
            <w:vAlign w:val="center"/>
          </w:tcPr>
          <w:p w:rsidR="00CF0324" w:rsidRDefault="00124A10">
            <w:pPr>
              <w:jc w:val="center"/>
              <w:rPr>
                <w:sz w:val="20"/>
                <w:szCs w:val="20"/>
              </w:rPr>
            </w:pPr>
            <w:r>
              <w:rPr>
                <w:sz w:val="20"/>
                <w:szCs w:val="20"/>
              </w:rPr>
              <w:t>957,0</w:t>
            </w:r>
          </w:p>
        </w:tc>
        <w:tc>
          <w:tcPr>
            <w:tcW w:w="850" w:type="dxa"/>
            <w:vAlign w:val="center"/>
          </w:tcPr>
          <w:p w:rsidR="00CF0324" w:rsidRDefault="00124A10">
            <w:pPr>
              <w:jc w:val="center"/>
              <w:rPr>
                <w:sz w:val="20"/>
                <w:szCs w:val="20"/>
              </w:rPr>
            </w:pPr>
            <w:r>
              <w:rPr>
                <w:sz w:val="20"/>
                <w:szCs w:val="20"/>
              </w:rPr>
              <w:t>1080,7</w:t>
            </w:r>
          </w:p>
        </w:tc>
        <w:tc>
          <w:tcPr>
            <w:tcW w:w="709" w:type="dxa"/>
            <w:vAlign w:val="center"/>
          </w:tcPr>
          <w:p w:rsidR="00CF0324" w:rsidRDefault="00124A10">
            <w:pPr>
              <w:jc w:val="center"/>
              <w:rPr>
                <w:sz w:val="20"/>
                <w:szCs w:val="20"/>
              </w:rPr>
            </w:pPr>
            <w:r>
              <w:rPr>
                <w:sz w:val="20"/>
                <w:szCs w:val="20"/>
              </w:rPr>
              <w:t>936,6</w:t>
            </w:r>
          </w:p>
        </w:tc>
        <w:tc>
          <w:tcPr>
            <w:tcW w:w="709" w:type="dxa"/>
            <w:vAlign w:val="center"/>
          </w:tcPr>
          <w:p w:rsidR="00CF0324" w:rsidRDefault="00124A10">
            <w:pPr>
              <w:jc w:val="center"/>
              <w:rPr>
                <w:sz w:val="20"/>
                <w:szCs w:val="20"/>
              </w:rPr>
            </w:pPr>
            <w:r>
              <w:rPr>
                <w:sz w:val="20"/>
                <w:szCs w:val="20"/>
              </w:rPr>
              <w:t>87</w:t>
            </w:r>
          </w:p>
        </w:tc>
        <w:tc>
          <w:tcPr>
            <w:tcW w:w="708" w:type="dxa"/>
            <w:vAlign w:val="center"/>
          </w:tcPr>
          <w:p w:rsidR="00CF0324" w:rsidRDefault="00124A10">
            <w:pPr>
              <w:jc w:val="center"/>
              <w:rPr>
                <w:sz w:val="20"/>
                <w:szCs w:val="20"/>
              </w:rPr>
            </w:pPr>
            <w:r>
              <w:rPr>
                <w:sz w:val="20"/>
                <w:szCs w:val="20"/>
              </w:rPr>
              <w:t>86</w:t>
            </w:r>
          </w:p>
        </w:tc>
      </w:tr>
      <w:tr w:rsidR="00CF0324">
        <w:tc>
          <w:tcPr>
            <w:tcW w:w="567" w:type="dxa"/>
            <w:vAlign w:val="center"/>
          </w:tcPr>
          <w:p w:rsidR="00CF0324" w:rsidRDefault="00124A10">
            <w:pPr>
              <w:jc w:val="center"/>
              <w:rPr>
                <w:sz w:val="20"/>
                <w:szCs w:val="20"/>
              </w:rPr>
            </w:pPr>
            <w:r>
              <w:rPr>
                <w:sz w:val="20"/>
                <w:szCs w:val="20"/>
              </w:rPr>
              <w:t>9.</w:t>
            </w:r>
          </w:p>
        </w:tc>
        <w:tc>
          <w:tcPr>
            <w:tcW w:w="2694" w:type="dxa"/>
            <w:vAlign w:val="center"/>
          </w:tcPr>
          <w:p w:rsidR="00CF0324" w:rsidRDefault="00124A10">
            <w:pPr>
              <w:jc w:val="both"/>
              <w:rPr>
                <w:sz w:val="20"/>
                <w:szCs w:val="20"/>
              </w:rPr>
            </w:pPr>
            <w:r>
              <w:rPr>
                <w:sz w:val="20"/>
                <w:szCs w:val="20"/>
              </w:rPr>
              <w:t>Продолжительность жизни при рождении, число лет</w:t>
            </w:r>
          </w:p>
        </w:tc>
        <w:tc>
          <w:tcPr>
            <w:tcW w:w="851" w:type="dxa"/>
            <w:vAlign w:val="center"/>
          </w:tcPr>
          <w:p w:rsidR="00CF0324" w:rsidRDefault="00124A10">
            <w:pPr>
              <w:jc w:val="center"/>
              <w:rPr>
                <w:sz w:val="20"/>
                <w:szCs w:val="20"/>
              </w:rPr>
            </w:pPr>
            <w:r>
              <w:rPr>
                <w:sz w:val="20"/>
                <w:szCs w:val="20"/>
              </w:rPr>
              <w:t>65,0</w:t>
            </w:r>
          </w:p>
        </w:tc>
        <w:tc>
          <w:tcPr>
            <w:tcW w:w="709" w:type="dxa"/>
            <w:vAlign w:val="center"/>
          </w:tcPr>
          <w:p w:rsidR="00CF0324" w:rsidRDefault="00124A10">
            <w:pPr>
              <w:jc w:val="center"/>
              <w:rPr>
                <w:sz w:val="20"/>
                <w:szCs w:val="20"/>
              </w:rPr>
            </w:pPr>
            <w:r>
              <w:rPr>
                <w:sz w:val="20"/>
                <w:szCs w:val="20"/>
              </w:rPr>
              <w:t>67,5</w:t>
            </w:r>
          </w:p>
        </w:tc>
        <w:tc>
          <w:tcPr>
            <w:tcW w:w="708" w:type="dxa"/>
            <w:vAlign w:val="center"/>
          </w:tcPr>
          <w:p w:rsidR="00CF0324" w:rsidRDefault="00124A10">
            <w:pPr>
              <w:jc w:val="center"/>
              <w:rPr>
                <w:sz w:val="20"/>
                <w:szCs w:val="20"/>
              </w:rPr>
            </w:pPr>
            <w:r>
              <w:rPr>
                <w:sz w:val="20"/>
                <w:szCs w:val="20"/>
              </w:rPr>
              <w:t>66,5</w:t>
            </w:r>
          </w:p>
        </w:tc>
        <w:tc>
          <w:tcPr>
            <w:tcW w:w="709" w:type="dxa"/>
            <w:vAlign w:val="center"/>
          </w:tcPr>
          <w:p w:rsidR="00CF0324" w:rsidRDefault="00124A10">
            <w:pPr>
              <w:jc w:val="center"/>
              <w:rPr>
                <w:sz w:val="20"/>
                <w:szCs w:val="20"/>
              </w:rPr>
            </w:pPr>
            <w:r>
              <w:rPr>
                <w:sz w:val="20"/>
                <w:szCs w:val="20"/>
              </w:rPr>
              <w:t>69,0</w:t>
            </w:r>
          </w:p>
        </w:tc>
        <w:tc>
          <w:tcPr>
            <w:tcW w:w="709" w:type="dxa"/>
            <w:vAlign w:val="center"/>
          </w:tcPr>
          <w:p w:rsidR="00CF0324" w:rsidRDefault="00124A10">
            <w:pPr>
              <w:jc w:val="center"/>
              <w:rPr>
                <w:sz w:val="20"/>
                <w:szCs w:val="20"/>
              </w:rPr>
            </w:pPr>
            <w:r>
              <w:rPr>
                <w:sz w:val="20"/>
                <w:szCs w:val="20"/>
              </w:rPr>
              <w:t>69,0</w:t>
            </w:r>
          </w:p>
        </w:tc>
        <w:tc>
          <w:tcPr>
            <w:tcW w:w="850" w:type="dxa"/>
            <w:vAlign w:val="center"/>
          </w:tcPr>
          <w:p w:rsidR="00CF0324" w:rsidRDefault="00124A10">
            <w:pPr>
              <w:jc w:val="center"/>
              <w:rPr>
                <w:sz w:val="20"/>
                <w:szCs w:val="20"/>
              </w:rPr>
            </w:pPr>
            <w:r>
              <w:rPr>
                <w:sz w:val="20"/>
                <w:szCs w:val="20"/>
              </w:rPr>
              <w:t>68,0</w:t>
            </w:r>
          </w:p>
        </w:tc>
        <w:tc>
          <w:tcPr>
            <w:tcW w:w="709" w:type="dxa"/>
            <w:vAlign w:val="center"/>
          </w:tcPr>
          <w:p w:rsidR="00CF0324" w:rsidRDefault="00124A10">
            <w:pPr>
              <w:jc w:val="center"/>
              <w:rPr>
                <w:sz w:val="20"/>
                <w:szCs w:val="20"/>
              </w:rPr>
            </w:pPr>
            <w:r>
              <w:rPr>
                <w:sz w:val="20"/>
                <w:szCs w:val="20"/>
              </w:rPr>
              <w:t>65,5</w:t>
            </w:r>
          </w:p>
        </w:tc>
        <w:tc>
          <w:tcPr>
            <w:tcW w:w="709" w:type="dxa"/>
            <w:vAlign w:val="center"/>
          </w:tcPr>
          <w:p w:rsidR="00CF0324" w:rsidRDefault="00124A10">
            <w:pPr>
              <w:jc w:val="center"/>
              <w:rPr>
                <w:sz w:val="20"/>
                <w:szCs w:val="20"/>
              </w:rPr>
            </w:pPr>
            <w:r>
              <w:rPr>
                <w:sz w:val="20"/>
                <w:szCs w:val="20"/>
              </w:rPr>
              <w:t>96</w:t>
            </w:r>
          </w:p>
        </w:tc>
        <w:tc>
          <w:tcPr>
            <w:tcW w:w="708" w:type="dxa"/>
            <w:vAlign w:val="center"/>
          </w:tcPr>
          <w:p w:rsidR="00CF0324" w:rsidRDefault="00124A10">
            <w:pPr>
              <w:jc w:val="center"/>
              <w:rPr>
                <w:sz w:val="20"/>
                <w:szCs w:val="20"/>
              </w:rPr>
            </w:pPr>
            <w:r>
              <w:rPr>
                <w:sz w:val="20"/>
                <w:szCs w:val="20"/>
              </w:rPr>
              <w:t>101</w:t>
            </w:r>
          </w:p>
        </w:tc>
      </w:tr>
    </w:tbl>
    <w:p w:rsidR="00CF0324" w:rsidRDefault="00CF0324">
      <w:pPr>
        <w:spacing w:line="276" w:lineRule="auto"/>
        <w:ind w:firstLine="708"/>
        <w:jc w:val="both"/>
        <w:rPr>
          <w:color w:val="000000"/>
          <w:shd w:val="clear" w:color="auto" w:fill="FFFFFF"/>
        </w:rPr>
      </w:pPr>
    </w:p>
    <w:p w:rsidR="00CF0324" w:rsidRDefault="00124A10">
      <w:pPr>
        <w:spacing w:line="276" w:lineRule="auto"/>
        <w:ind w:firstLine="708"/>
        <w:jc w:val="both"/>
      </w:pPr>
      <w:r>
        <w:t>Количество коек круглосуточного стационара учреждений здравоохранения составляет 200 коек. Мощность амбулаторно-поликлинических учреждений – 1402 посещений в смену. Средняя заработная плата врачей составила более 160 тыс. руб., среднего медицинского персонала около 75 тыс. руб.</w:t>
      </w:r>
    </w:p>
    <w:p w:rsidR="00CF0324" w:rsidRDefault="00124A10">
      <w:pPr>
        <w:spacing w:line="276" w:lineRule="auto"/>
        <w:ind w:firstLine="708"/>
        <w:jc w:val="both"/>
      </w:pPr>
      <w:r>
        <w:t>За последние годы наблюдается снижение смертности от заболеваний онкологической запущенности и социальных болезней. В тоже время, общая заболеваемость населения района имеет тенденцию циклического роста, низкая продолжительность жизни по сравнению со среднеокружными и среднероссийскими показателями. Больничные учреждения района не в состоянии качественно оказывать полный комплекс услуг по диагностике и лечению отдельных видов заболеваний. В Кондинском районе наблюдается дефицит специалистов многих лечебных профилей. Больные вынуждены получать платные медицинские услуги в Тюмени, Екатеринбурге, Ханты-Мансийске, Урае и других крупных городах. Следует отметить, что опрос общественного мнения граждан показал высокий запрос на качественные медицинские услуги в целом и повышение доступности к услугам в отдаленных населенных пунктах, особенно пгт. Кондинское.</w:t>
      </w:r>
    </w:p>
    <w:p w:rsidR="00CF0324" w:rsidRDefault="00124A10">
      <w:pPr>
        <w:spacing w:line="276" w:lineRule="auto"/>
        <w:ind w:firstLine="708"/>
        <w:jc w:val="both"/>
      </w:pPr>
      <w:r>
        <w:t>В рамках государственной программы Ханты-Мансийского автономного округа – Югры «Современное здравоохранение»</w:t>
      </w:r>
      <w:r>
        <w:rPr>
          <w:rStyle w:val="16"/>
        </w:rPr>
        <w:footnoteReference w:id="39"/>
      </w:r>
      <w:r>
        <w:t xml:space="preserve"> проводится обновление материально-технической базы учреждений здравоохранения. В Кондинском районе построены новые объекты здравоохранения п. Мулымья (на 100 посещений в смену), с. Болчары (26 посещений в смену), с. Леуши (26 посещений в смену). В среднесрочной перспективе запланированы к обновлению объекты здравоохранения в пгт.Луговой (40 посещений в смену), пгт. Кондинское (46 посещений в смену) и капитальные ремонты объектов в пгт.Мортка, пгт. Междуреченский.</w:t>
      </w:r>
    </w:p>
    <w:p w:rsidR="00CF0324" w:rsidRDefault="00124A10">
      <w:pPr>
        <w:spacing w:line="276" w:lineRule="auto"/>
        <w:ind w:firstLine="708"/>
        <w:jc w:val="both"/>
      </w:pPr>
      <w:r>
        <w:rPr>
          <w:bCs/>
        </w:rPr>
        <w:t>В сфере здравоохранения</w:t>
      </w:r>
      <w:r>
        <w:t xml:space="preserve"> Кондинский район конкурирует со своими южными соседями за квалифицированные кадры – около трети врачей и значительный процент медсестер приехали из других регионов Российской Федерации. Этому способствует сравнительно высокий уровень заработной платы, а также возможность работать в современных медицинских учреждениях.</w:t>
      </w:r>
    </w:p>
    <w:p w:rsidR="00CF0324" w:rsidRPr="00BA49AD" w:rsidRDefault="00124A10">
      <w:pPr>
        <w:pStyle w:val="3"/>
        <w:spacing w:line="276" w:lineRule="auto"/>
        <w:rPr>
          <w:rFonts w:ascii="Times New Roman" w:hAnsi="Times New Roman"/>
          <w:b w:val="0"/>
          <w:i/>
          <w:sz w:val="24"/>
          <w:szCs w:val="24"/>
          <w:lang w:val="ru-RU"/>
        </w:rPr>
      </w:pPr>
      <w:bookmarkStart w:id="19" w:name="_Toc19"/>
      <w:r w:rsidRPr="00BA49AD">
        <w:rPr>
          <w:rFonts w:ascii="Times New Roman" w:hAnsi="Times New Roman"/>
          <w:b w:val="0"/>
          <w:i/>
          <w:sz w:val="24"/>
          <w:szCs w:val="24"/>
          <w:lang w:val="ru-RU"/>
        </w:rPr>
        <w:lastRenderedPageBreak/>
        <w:t>1.</w:t>
      </w:r>
      <w:r>
        <w:rPr>
          <w:rFonts w:ascii="Times New Roman" w:hAnsi="Times New Roman"/>
          <w:b w:val="0"/>
          <w:i/>
          <w:sz w:val="24"/>
          <w:szCs w:val="24"/>
          <w:lang w:val="ru-RU"/>
        </w:rPr>
        <w:t>13</w:t>
      </w:r>
      <w:r w:rsidRPr="00BA49AD">
        <w:rPr>
          <w:rFonts w:ascii="Times New Roman" w:hAnsi="Times New Roman"/>
          <w:b w:val="0"/>
          <w:i/>
          <w:sz w:val="24"/>
          <w:szCs w:val="24"/>
          <w:lang w:val="ru-RU"/>
        </w:rPr>
        <w:t>.3. Культура</w:t>
      </w:r>
      <w:bookmarkEnd w:id="19"/>
    </w:p>
    <w:p w:rsidR="00CF0324" w:rsidRDefault="00124A10">
      <w:pPr>
        <w:spacing w:line="276" w:lineRule="auto"/>
        <w:ind w:firstLine="708"/>
        <w:jc w:val="both"/>
      </w:pPr>
      <w:r>
        <w:rPr>
          <w:bCs/>
        </w:rPr>
        <w:t>Сеть учреждений культуры</w:t>
      </w:r>
      <w:r>
        <w:t xml:space="preserve"> Кондинского района по состоянию на 01.01.2023 представлена 15 учреждениями (таблица 1.28), в том числе Кондинская межпоселенченская централизованная библиотечная система (22 филиала), два музея, детская школа искусств, детская музыкальная школа, 10 учреждений клубного типа.</w:t>
      </w:r>
    </w:p>
    <w:p w:rsidR="00CF0324" w:rsidRPr="00124A10" w:rsidRDefault="00124A10">
      <w:pPr>
        <w:spacing w:line="276" w:lineRule="auto"/>
        <w:ind w:firstLine="708"/>
        <w:jc w:val="both"/>
        <w:rPr>
          <w:rFonts w:ascii="TimesET" w:hAnsi="TimesET"/>
          <w:b/>
          <w:lang w:eastAsia="en-US"/>
        </w:rPr>
      </w:pPr>
      <w:r w:rsidRPr="00124A10">
        <w:rPr>
          <w:lang w:eastAsia="en-US"/>
        </w:rPr>
        <w:t>В учреждениях культуры досугового типа функционир</w:t>
      </w:r>
      <w:r>
        <w:rPr>
          <w:lang w:eastAsia="en-US"/>
        </w:rPr>
        <w:t>ует</w:t>
      </w:r>
      <w:r w:rsidRPr="00124A10">
        <w:rPr>
          <w:lang w:eastAsia="en-US"/>
        </w:rPr>
        <w:t xml:space="preserve"> 1</w:t>
      </w:r>
      <w:r>
        <w:rPr>
          <w:lang w:eastAsia="en-US"/>
        </w:rPr>
        <w:t>44</w:t>
      </w:r>
      <w:r w:rsidRPr="00124A10">
        <w:rPr>
          <w:lang w:eastAsia="en-US"/>
        </w:rPr>
        <w:t xml:space="preserve"> культурно-досуговых формировани</w:t>
      </w:r>
      <w:r>
        <w:rPr>
          <w:lang w:eastAsia="en-US"/>
        </w:rPr>
        <w:t>я</w:t>
      </w:r>
      <w:r w:rsidRPr="00124A10">
        <w:rPr>
          <w:lang w:eastAsia="en-US"/>
        </w:rPr>
        <w:t xml:space="preserve"> </w:t>
      </w:r>
      <w:r>
        <w:rPr>
          <w:lang w:eastAsia="en-US"/>
        </w:rPr>
        <w:t>различной направленности</w:t>
      </w:r>
      <w:r w:rsidRPr="00124A10">
        <w:rPr>
          <w:lang w:eastAsia="en-US"/>
        </w:rPr>
        <w:t>,</w:t>
      </w:r>
      <w:r>
        <w:rPr>
          <w:lang w:eastAsia="en-US"/>
        </w:rPr>
        <w:t xml:space="preserve"> в</w:t>
      </w:r>
      <w:r w:rsidRPr="00124A10">
        <w:rPr>
          <w:lang w:eastAsia="en-US"/>
        </w:rPr>
        <w:t xml:space="preserve"> которы</w:t>
      </w:r>
      <w:r>
        <w:rPr>
          <w:lang w:eastAsia="en-US"/>
        </w:rPr>
        <w:t>х</w:t>
      </w:r>
      <w:r w:rsidRPr="00124A10">
        <w:rPr>
          <w:lang w:eastAsia="en-US"/>
        </w:rPr>
        <w:t xml:space="preserve"> </w:t>
      </w:r>
      <w:r>
        <w:rPr>
          <w:lang w:eastAsia="en-US"/>
        </w:rPr>
        <w:t>занимаются</w:t>
      </w:r>
      <w:r w:rsidRPr="00124A10">
        <w:rPr>
          <w:lang w:eastAsia="en-US"/>
        </w:rPr>
        <w:t xml:space="preserve"> 2</w:t>
      </w:r>
      <w:r>
        <w:rPr>
          <w:lang w:eastAsia="en-US"/>
        </w:rPr>
        <w:t xml:space="preserve"> 494</w:t>
      </w:r>
      <w:r w:rsidRPr="00124A10">
        <w:rPr>
          <w:lang w:eastAsia="en-US"/>
        </w:rPr>
        <w:t xml:space="preserve"> </w:t>
      </w:r>
      <w:r>
        <w:rPr>
          <w:lang w:eastAsia="en-US"/>
        </w:rPr>
        <w:t xml:space="preserve">человека, </w:t>
      </w:r>
      <w:r>
        <w:t>что составляет порядка 8% населения района</w:t>
      </w:r>
      <w:r w:rsidRPr="00124A10">
        <w:rPr>
          <w:lang w:eastAsia="en-US"/>
        </w:rPr>
        <w:t>.</w:t>
      </w:r>
    </w:p>
    <w:p w:rsidR="00CF0324" w:rsidRDefault="00124A10">
      <w:pPr>
        <w:spacing w:line="276" w:lineRule="auto"/>
        <w:ind w:firstLine="708"/>
        <w:jc w:val="both"/>
      </w:pPr>
      <w:r>
        <w:t>В учреждениях культуры клубного типа Кондинского района функционирует 145 культурно – досуговых формирований различной направленности, в которых занимаются 2 176 человек, что составляет порядка 7% населения района. В муниципальном учреждении культуры «Районный дворец культуры и искусств «Конда» работают коллективы, имеющие звание  «Народный» и «Образцовый»: народный коллектив «Вокальный ансамбль русской песни «Журавушка», образцовый художественный коллектив «Детский вокальный коллектив  «Поп - хор «Чудо-NEXT», народный коллектив «Литературное объединение «Возрождение», образцовый художественный хореографический коллектив «Данс проект «Дива», народный самодеятельный коллектив хор русской песни «Отрада», народный самодеятельный коллектив вокальный ансамбль «Илларита». В составе учреждений дополнительного образования в сфере культуры осуществляют свою деятельность 3 образцовых художественных коллектива: ан6самбль танца «Инвенторс» и вокальный ансамбль «Ассоль» детской школы искусств пгт. Междуреченский и джазовый оркестр «Юность» детской музыкальной школы пгт. Кондинское. Средняя заработная плата работников культуры за 2022 год составила 62 527,9 рублей. Согласно Указу Президента Российской Федерации от 7 мая 2012 года № 597 «О мероприятиях по реализации государственной социальной политики» ежегодно проводится повышение оплаты труда работников учреждений культуры.</w:t>
      </w:r>
    </w:p>
    <w:p w:rsidR="00CF0324" w:rsidRDefault="00124A10">
      <w:pPr>
        <w:shd w:val="clear" w:color="auto" w:fill="FEFEFE"/>
        <w:tabs>
          <w:tab w:val="right" w:pos="9344"/>
        </w:tabs>
        <w:spacing w:before="240"/>
        <w:jc w:val="both"/>
        <w:rPr>
          <w:rFonts w:eastAsia="Arial"/>
        </w:rPr>
      </w:pPr>
      <w:r>
        <w:t>Таблица 1.28. П</w:t>
      </w:r>
      <w:r>
        <w:rPr>
          <w:rFonts w:eastAsia="Arial"/>
        </w:rPr>
        <w:t>оказатели культуры Кондинского района:</w:t>
      </w: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268"/>
        <w:gridCol w:w="851"/>
        <w:gridCol w:w="709"/>
        <w:gridCol w:w="709"/>
        <w:gridCol w:w="708"/>
        <w:gridCol w:w="709"/>
        <w:gridCol w:w="709"/>
        <w:gridCol w:w="709"/>
        <w:gridCol w:w="708"/>
        <w:gridCol w:w="709"/>
        <w:gridCol w:w="709"/>
      </w:tblGrid>
      <w:tr w:rsidR="00CF0324">
        <w:tc>
          <w:tcPr>
            <w:tcW w:w="426" w:type="dxa"/>
            <w:vMerge w:val="restart"/>
            <w:tcBorders>
              <w:top w:val="single" w:sz="4" w:space="0" w:color="000000"/>
              <w:left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w:t>
            </w:r>
          </w:p>
        </w:tc>
        <w:tc>
          <w:tcPr>
            <w:tcW w:w="2268" w:type="dxa"/>
            <w:vMerge w:val="restart"/>
            <w:tcBorders>
              <w:top w:val="single" w:sz="4" w:space="0" w:color="000000"/>
              <w:left w:val="single" w:sz="4" w:space="0" w:color="000000"/>
              <w:right w:val="single" w:sz="4" w:space="0" w:color="000000"/>
            </w:tcBorders>
          </w:tcPr>
          <w:p w:rsidR="00CF0324" w:rsidRDefault="00124A10">
            <w:pPr>
              <w:rPr>
                <w:sz w:val="20"/>
                <w:szCs w:val="20"/>
                <w:lang w:eastAsia="en-US"/>
              </w:rPr>
            </w:pPr>
            <w:r>
              <w:rPr>
                <w:sz w:val="20"/>
                <w:szCs w:val="20"/>
                <w:lang w:eastAsia="en-US"/>
              </w:rPr>
              <w:t>Наименование показателей</w:t>
            </w:r>
          </w:p>
        </w:tc>
        <w:tc>
          <w:tcPr>
            <w:tcW w:w="851" w:type="dxa"/>
            <w:vMerge w:val="restart"/>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Единица измерения</w:t>
            </w:r>
          </w:p>
        </w:tc>
        <w:tc>
          <w:tcPr>
            <w:tcW w:w="4961" w:type="dxa"/>
            <w:gridSpan w:val="7"/>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Годы</w:t>
            </w:r>
          </w:p>
        </w:tc>
        <w:tc>
          <w:tcPr>
            <w:tcW w:w="1418" w:type="dxa"/>
            <w:gridSpan w:val="2"/>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lang w:eastAsia="en-US"/>
              </w:rPr>
            </w:pPr>
            <w:r>
              <w:rPr>
                <w:sz w:val="20"/>
                <w:szCs w:val="20"/>
                <w:lang w:eastAsia="en-US"/>
              </w:rPr>
              <w:t>Темп роста,%</w:t>
            </w:r>
          </w:p>
        </w:tc>
      </w:tr>
      <w:tr w:rsidR="00CF0324">
        <w:tc>
          <w:tcPr>
            <w:tcW w:w="426" w:type="dxa"/>
            <w:vMerge/>
            <w:tcBorders>
              <w:left w:val="single" w:sz="4" w:space="0" w:color="000000"/>
              <w:bottom w:val="single" w:sz="4" w:space="0" w:color="000000"/>
              <w:right w:val="single" w:sz="4" w:space="0" w:color="000000"/>
            </w:tcBorders>
          </w:tcPr>
          <w:p w:rsidR="00CF0324" w:rsidRDefault="00CF0324">
            <w:pPr>
              <w:widowControl w:val="0"/>
              <w:jc w:val="center"/>
              <w:rPr>
                <w:rFonts w:eastAsia="Calibri"/>
                <w:sz w:val="20"/>
                <w:szCs w:val="20"/>
              </w:rPr>
            </w:pPr>
          </w:p>
        </w:tc>
        <w:tc>
          <w:tcPr>
            <w:tcW w:w="2268" w:type="dxa"/>
            <w:vMerge/>
            <w:tcBorders>
              <w:left w:val="single" w:sz="4" w:space="0" w:color="000000"/>
              <w:bottom w:val="single" w:sz="4" w:space="0" w:color="000000"/>
              <w:right w:val="single" w:sz="4" w:space="0" w:color="000000"/>
            </w:tcBorders>
          </w:tcPr>
          <w:p w:rsidR="00CF0324" w:rsidRDefault="00CF0324">
            <w:pPr>
              <w:rPr>
                <w:sz w:val="20"/>
                <w:szCs w:val="20"/>
                <w:lang w:eastAsia="en-US"/>
              </w:rPr>
            </w:pPr>
          </w:p>
        </w:tc>
        <w:tc>
          <w:tcPr>
            <w:tcW w:w="851" w:type="dxa"/>
            <w:vMerge/>
            <w:tcBorders>
              <w:left w:val="single" w:sz="4" w:space="0" w:color="000000"/>
              <w:right w:val="single" w:sz="4" w:space="0" w:color="000000"/>
            </w:tcBorders>
          </w:tcPr>
          <w:p w:rsidR="00CF0324" w:rsidRDefault="00CF0324">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c>
          <w:tcPr>
            <w:tcW w:w="709"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lang w:eastAsia="en-US"/>
              </w:rPr>
            </w:pPr>
            <w:r>
              <w:rPr>
                <w:sz w:val="20"/>
                <w:szCs w:val="20"/>
                <w:lang w:eastAsia="en-US"/>
              </w:rPr>
              <w:t>2022/ 2021</w:t>
            </w:r>
          </w:p>
        </w:tc>
        <w:tc>
          <w:tcPr>
            <w:tcW w:w="709" w:type="dxa"/>
            <w:tcBorders>
              <w:top w:val="single" w:sz="4" w:space="0" w:color="000000"/>
              <w:left w:val="single" w:sz="4" w:space="0" w:color="000000"/>
              <w:bottom w:val="single" w:sz="4" w:space="0" w:color="000000"/>
              <w:right w:val="single" w:sz="4" w:space="0" w:color="000000"/>
            </w:tcBorders>
          </w:tcPr>
          <w:p w:rsidR="00CF0324" w:rsidRDefault="00124A10">
            <w:pPr>
              <w:jc w:val="center"/>
              <w:rPr>
                <w:sz w:val="20"/>
                <w:szCs w:val="20"/>
                <w:lang w:eastAsia="en-US"/>
              </w:rPr>
            </w:pPr>
            <w:r>
              <w:rPr>
                <w:sz w:val="20"/>
                <w:szCs w:val="20"/>
                <w:lang w:eastAsia="en-US"/>
              </w:rPr>
              <w:t>2022/ 2016</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Количество учреждений</w:t>
            </w:r>
          </w:p>
        </w:tc>
        <w:tc>
          <w:tcPr>
            <w:tcW w:w="851"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94</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2</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Обеспеченность местами в учреждениях культурно-досугового типа на 1000 чел. населения</w:t>
            </w:r>
          </w:p>
        </w:tc>
        <w:tc>
          <w:tcPr>
            <w:tcW w:w="851"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мест</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86</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101</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3</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rPr>
              <w:t>Библиотечный фонд на 1000 человек</w:t>
            </w:r>
          </w:p>
        </w:tc>
        <w:tc>
          <w:tcPr>
            <w:tcW w:w="851"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7 806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8 058</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8 145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8 215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8 227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8 294</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8 143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104</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4</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в том числе количество новых поступлений на 1000 жителей</w:t>
            </w:r>
          </w:p>
        </w:tc>
        <w:tc>
          <w:tcPr>
            <w:tcW w:w="851"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экземпляров</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150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90</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110</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76</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5</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Проведено мероприятий досугового типа</w:t>
            </w:r>
          </w:p>
        </w:tc>
        <w:tc>
          <w:tcPr>
            <w:tcW w:w="851" w:type="dxa"/>
            <w:tcBorders>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6 472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6 338</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6 601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6 803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4 850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6 401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6 905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107</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6</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в том числе для детей</w:t>
            </w:r>
          </w:p>
        </w:tc>
        <w:tc>
          <w:tcPr>
            <w:tcW w:w="851" w:type="dxa"/>
            <w:tcBorders>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3 054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2 941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2 951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3 100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1 814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2597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3 225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124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106</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7</w:t>
            </w:r>
          </w:p>
        </w:tc>
        <w:tc>
          <w:tcPr>
            <w:tcW w:w="2268"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Число посещений культурных мероприятий, тыс. ед.</w:t>
            </w:r>
          </w:p>
        </w:tc>
        <w:tc>
          <w:tcPr>
            <w:tcW w:w="851" w:type="dxa"/>
            <w:tcBorders>
              <w:left w:val="single" w:sz="4" w:space="0" w:color="000000"/>
              <w:right w:val="single" w:sz="4" w:space="0" w:color="000000"/>
            </w:tcBorders>
          </w:tcPr>
          <w:p w:rsidR="00CF0324" w:rsidRDefault="00CF0324">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293,1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314,0</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336,5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345,0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351,0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367,3</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391,6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134</w:t>
            </w:r>
          </w:p>
        </w:tc>
      </w:tr>
    </w:tbl>
    <w:p w:rsidR="00CF0324" w:rsidRDefault="00124A10">
      <w:pPr>
        <w:spacing w:before="240" w:line="276" w:lineRule="auto"/>
        <w:ind w:firstLine="708"/>
        <w:jc w:val="both"/>
        <w:rPr>
          <w:color w:val="000000"/>
        </w:rPr>
      </w:pPr>
      <w:r>
        <w:rPr>
          <w:color w:val="000000"/>
        </w:rPr>
        <w:lastRenderedPageBreak/>
        <w:t>Кинообслуживание населения осуществляют 8 киноустановок в пгт.Междуреченский, пгт. Кондинское, пгт. Куминский, пгт. Мортка, с. Болчары, п.Ягодный, д. Ушья. Обеспеченность населения кинотеатрами и киноустановками оценивается на уровне 160%.</w:t>
      </w:r>
    </w:p>
    <w:p w:rsidR="00CF0324" w:rsidRDefault="00124A10">
      <w:pPr>
        <w:spacing w:line="276" w:lineRule="auto"/>
        <w:ind w:firstLine="708"/>
        <w:jc w:val="both"/>
        <w:rPr>
          <w:color w:val="000000"/>
        </w:rPr>
      </w:pPr>
      <w:r>
        <w:rPr>
          <w:color w:val="000000"/>
        </w:rPr>
        <w:t>Сетевая обеспеченность клубными учреждениями составила – 97,4%. Из 19 зданий клубных учреждений района шесть зданий с износом выше 65% (МКУ «Культурно-досуговое объединение «Созвездие Конды» пгт. Кондинское, МУ «Культурно-досуговый комплекс п. Луговой», МУК «Половинкинский сельский дом культуры», здание бывшего МУК «Рондо» МК РДКИ «Конда», здание сельского дома культуры (далее – СДК) п. Ямки, здание СДК п. Лиственичный), здания с износом 100% - МКУ «Центр культуры и молодежи «Камертон» пгт. Куминский, здание СДК п. Дальний,  МКУ «Сельский дом культуры» п. Шугур. Здание СДК с. Леуши снесено в связи с аварийным состоянием.</w:t>
      </w:r>
    </w:p>
    <w:p w:rsidR="00CF0324" w:rsidRDefault="00124A10">
      <w:pPr>
        <w:spacing w:line="276" w:lineRule="auto"/>
        <w:ind w:firstLine="708"/>
        <w:jc w:val="both"/>
        <w:rPr>
          <w:color w:val="000000"/>
          <w:shd w:val="clear" w:color="auto" w:fill="FFFFFF"/>
        </w:rPr>
      </w:pPr>
      <w:r>
        <w:rPr>
          <w:color w:val="000000"/>
          <w:shd w:val="clear" w:color="auto" w:fill="FFFFFF"/>
        </w:rPr>
        <w:t>Библиотечная деятельность в районе осуществляется МУК «Кондинская межпоселенченская централизованная библиотечная система» с 22 филиалами на всей территории района, тем самым сохранена доступность услуг для населения в отделенных населенных пунктах района. По итогам 2022 года обеспеченность библиотеками составила – 129%. Из 22 зданий библиотек, четыре находятся с износом выше 45% (филиалы № 5 пгт. Луговой, № 7 п. Половинка, № 14 с. Юмас, № 11 п. Лиственичный), два здания с износом более 65% (филиал № 1 пгт. Куминский, филиал № 2 с. Леуши).</w:t>
      </w:r>
    </w:p>
    <w:p w:rsidR="00CF0324" w:rsidRDefault="00124A10">
      <w:pPr>
        <w:spacing w:line="276" w:lineRule="auto"/>
        <w:ind w:firstLine="708"/>
        <w:jc w:val="both"/>
        <w:rPr>
          <w:color w:val="000000"/>
          <w:shd w:val="clear" w:color="auto" w:fill="FFFFFF"/>
        </w:rPr>
      </w:pPr>
      <w:r>
        <w:rPr>
          <w:color w:val="000000"/>
          <w:shd w:val="clear" w:color="auto" w:fill="FFFFFF"/>
        </w:rPr>
        <w:t>Сохранение и изучение историко-культурного наследия Кондинского района осуществляют два музея: Районный Учинский историко-этнографический музей имени А.Н. Хомякова и Районный краеведческий музей имени Н.С. Цехновой с музейным фондом более 30 тыс. единиц хранения. Обеспеченность музеями составила 67%. Здание музея в пгт. Кондинское имеет износ – 55% (2022 год).</w:t>
      </w:r>
    </w:p>
    <w:p w:rsidR="00CF0324" w:rsidRDefault="00124A10">
      <w:pPr>
        <w:pStyle w:val="3"/>
        <w:spacing w:line="276" w:lineRule="auto"/>
        <w:rPr>
          <w:rFonts w:ascii="Times New Roman" w:hAnsi="Times New Roman"/>
          <w:b w:val="0"/>
          <w:i/>
          <w:sz w:val="24"/>
          <w:szCs w:val="24"/>
        </w:rPr>
      </w:pPr>
      <w:bookmarkStart w:id="20" w:name="_Toc20"/>
      <w:r w:rsidRPr="00124A10">
        <w:rPr>
          <w:rFonts w:ascii="Times New Roman" w:hAnsi="Times New Roman"/>
          <w:b w:val="0"/>
          <w:i/>
          <w:sz w:val="24"/>
          <w:szCs w:val="24"/>
          <w:lang w:val="ru-RU"/>
        </w:rPr>
        <w:t>1.</w:t>
      </w:r>
      <w:r>
        <w:rPr>
          <w:rFonts w:ascii="Times New Roman" w:hAnsi="Times New Roman"/>
          <w:b w:val="0"/>
          <w:i/>
          <w:sz w:val="24"/>
          <w:szCs w:val="24"/>
          <w:lang w:val="ru-RU"/>
        </w:rPr>
        <w:t>13</w:t>
      </w:r>
      <w:r w:rsidRPr="00124A10">
        <w:rPr>
          <w:rFonts w:ascii="Times New Roman" w:hAnsi="Times New Roman"/>
          <w:b w:val="0"/>
          <w:i/>
          <w:sz w:val="24"/>
          <w:szCs w:val="24"/>
          <w:lang w:val="ru-RU"/>
        </w:rPr>
        <w:t xml:space="preserve">.4. </w:t>
      </w:r>
      <w:r>
        <w:rPr>
          <w:rFonts w:ascii="Times New Roman" w:hAnsi="Times New Roman"/>
          <w:b w:val="0"/>
          <w:i/>
          <w:sz w:val="24"/>
          <w:szCs w:val="24"/>
        </w:rPr>
        <w:t>Физическая культура и спорт</w:t>
      </w:r>
      <w:bookmarkEnd w:id="20"/>
    </w:p>
    <w:p w:rsidR="00CF0324" w:rsidRDefault="00124A10">
      <w:pPr>
        <w:spacing w:line="276" w:lineRule="auto"/>
        <w:ind w:firstLine="708"/>
        <w:jc w:val="both"/>
      </w:pPr>
      <w:r>
        <w:t>На территории Кондинского района в сфере физической культуры и спорта функционируют три учреждения дополнительного образования:</w:t>
      </w:r>
    </w:p>
    <w:p w:rsidR="00CF0324" w:rsidRDefault="00124A10">
      <w:pPr>
        <w:numPr>
          <w:ilvl w:val="0"/>
          <w:numId w:val="14"/>
        </w:numPr>
        <w:tabs>
          <w:tab w:val="num" w:pos="0"/>
          <w:tab w:val="num" w:pos="567"/>
          <w:tab w:val="left" w:pos="1080"/>
        </w:tabs>
        <w:spacing w:line="276" w:lineRule="auto"/>
        <w:ind w:left="0" w:firstLine="709"/>
        <w:jc w:val="both"/>
        <w:rPr>
          <w:rFonts w:eastAsia="Calibri"/>
          <w:bCs/>
          <w:lang w:eastAsia="en-US"/>
        </w:rPr>
      </w:pPr>
      <w:r>
        <w:t>Муниципальное бюджетное учреждение дополнительного образования Районная спортивная школа имеет обособленные подразделения на территории Кондинского района с собственной материально-технической базой на территории пгт. Междуреченский, п. Ягодный, с. Болчары, пгт. Куминский, пгт. Мортка.</w:t>
      </w:r>
    </w:p>
    <w:p w:rsidR="00CF0324" w:rsidRDefault="00124A10">
      <w:pPr>
        <w:tabs>
          <w:tab w:val="left" w:pos="1080"/>
        </w:tabs>
        <w:spacing w:line="276" w:lineRule="auto"/>
        <w:ind w:firstLine="708"/>
        <w:jc w:val="both"/>
        <w:rPr>
          <w:rFonts w:eastAsia="Calibri"/>
          <w:bCs/>
          <w:lang w:eastAsia="en-US"/>
        </w:rPr>
      </w:pPr>
      <w:r>
        <w:rPr>
          <w:rFonts w:eastAsia="Calibri"/>
          <w:bCs/>
          <w:lang w:eastAsia="en-US"/>
        </w:rPr>
        <w:t>Культивируются такие виды спорта, как: баскетбол, волейбол, мини-футбол, настольный теннис, пауэрлифтинг, бокс, адаптивная физическая культура, бильярд, греко-римская борьба, тяжелая атлетика, скандинавская ходьба, бадминтон, плавание.</w:t>
      </w:r>
    </w:p>
    <w:p w:rsidR="00CF0324" w:rsidRDefault="00124A10">
      <w:pPr>
        <w:spacing w:line="276" w:lineRule="auto"/>
        <w:ind w:firstLine="708"/>
        <w:jc w:val="both"/>
        <w:rPr>
          <w:rFonts w:eastAsia="Calibri"/>
          <w:bCs/>
          <w:lang w:eastAsia="en-US"/>
        </w:rPr>
      </w:pPr>
      <w:r>
        <w:rPr>
          <w:rFonts w:eastAsia="Calibri"/>
          <w:bCs/>
          <w:lang w:eastAsia="en-US"/>
        </w:rPr>
        <w:t>2.</w:t>
      </w:r>
      <w:r>
        <w:rPr>
          <w:rFonts w:eastAsia="Calibri"/>
          <w:bCs/>
          <w:lang w:eastAsia="en-US"/>
        </w:rPr>
        <w:tab/>
        <w:t xml:space="preserve">Муниципальное автономное учреждение дополнительного образования спортивная школа Олимпийского резерва по дзюдо реализует дополнительные общеобразовательные программы и программу спортивной подготовки по дзюдо на территории </w:t>
      </w:r>
      <w:r>
        <w:t xml:space="preserve">пгт. </w:t>
      </w:r>
      <w:r>
        <w:rPr>
          <w:rFonts w:eastAsia="Calibri"/>
          <w:bCs/>
          <w:lang w:eastAsia="en-US"/>
        </w:rPr>
        <w:t xml:space="preserve">Междуреченский, </w:t>
      </w:r>
      <w:r>
        <w:t xml:space="preserve">пгт. </w:t>
      </w:r>
      <w:r>
        <w:rPr>
          <w:rFonts w:eastAsia="Calibri"/>
          <w:bCs/>
          <w:lang w:eastAsia="en-US"/>
        </w:rPr>
        <w:t xml:space="preserve">Куминский, с. Леуши, </w:t>
      </w:r>
      <w:r>
        <w:t xml:space="preserve">пгт. </w:t>
      </w:r>
      <w:r>
        <w:rPr>
          <w:rFonts w:eastAsia="Calibri"/>
          <w:bCs/>
          <w:lang w:eastAsia="en-US"/>
        </w:rPr>
        <w:t xml:space="preserve">Луговой, </w:t>
      </w:r>
      <w:r>
        <w:t xml:space="preserve">пгт. </w:t>
      </w:r>
      <w:r>
        <w:rPr>
          <w:rFonts w:eastAsia="Calibri"/>
          <w:bCs/>
          <w:lang w:eastAsia="en-US"/>
        </w:rPr>
        <w:t xml:space="preserve">Мортка, </w:t>
      </w:r>
      <w:r>
        <w:t xml:space="preserve">пгт. </w:t>
      </w:r>
      <w:r>
        <w:rPr>
          <w:rFonts w:eastAsia="Calibri"/>
          <w:bCs/>
          <w:lang w:eastAsia="en-US"/>
        </w:rPr>
        <w:t xml:space="preserve"> Кондинское. Культивируемые виды спорта – дзюдо, самбо.</w:t>
      </w:r>
    </w:p>
    <w:p w:rsidR="00CF0324" w:rsidRDefault="00124A10">
      <w:pPr>
        <w:spacing w:line="276" w:lineRule="auto"/>
        <w:ind w:firstLine="708"/>
        <w:jc w:val="both"/>
        <w:rPr>
          <w:rFonts w:eastAsia="Calibri"/>
          <w:bCs/>
          <w:lang w:eastAsia="en-US"/>
        </w:rPr>
      </w:pPr>
      <w:r>
        <w:rPr>
          <w:rFonts w:eastAsia="Calibri"/>
          <w:bCs/>
          <w:lang w:eastAsia="en-US"/>
        </w:rPr>
        <w:t>3.</w:t>
      </w:r>
      <w:r>
        <w:rPr>
          <w:rFonts w:eastAsia="Calibri"/>
          <w:bCs/>
          <w:lang w:eastAsia="en-US"/>
        </w:rPr>
        <w:tab/>
        <w:t>Муниципальное бюджетное учреждение дополнительного образования спортивная школа Олимпийского резерва по биатлону реализует программу спортивной подготовки на территории пгт. Междуреченский, с. Чантырья, с. Леуши, пгт. Мортка. Культивируемые виды спорта – биатлон, лыжные гонки.</w:t>
      </w:r>
    </w:p>
    <w:p w:rsidR="00CF0324" w:rsidRDefault="00124A10">
      <w:pPr>
        <w:spacing w:line="276" w:lineRule="auto"/>
        <w:ind w:firstLine="708"/>
        <w:jc w:val="both"/>
      </w:pPr>
      <w:r>
        <w:lastRenderedPageBreak/>
        <w:t>Сеть учреждений физической культуры и спорта Кондинского района представлена 3 муниципальными учреждениями физической культуры и спорта. Всего же в районе 98 объектов спортивной инфраструктуры (включая все спортивные объекты вне зависимости от ведомственной принадлежности и форм собственности), в том числе: 35 спортивных зала, 3 лыжные базы, 3 стрелковых тира, 47 плоскостных спортивных сооружения, 2 бассейна, 8 других спортсооружений. Единовременная пропускная способность существующей сети составляет 2,6 тыс. чел. Обеспеченность спортивными сооружениями составила 73% (2022 год).</w:t>
      </w:r>
    </w:p>
    <w:p w:rsidR="00CF0324" w:rsidRDefault="00124A10">
      <w:pPr>
        <w:shd w:val="clear" w:color="auto" w:fill="FEFEFE"/>
        <w:tabs>
          <w:tab w:val="right" w:pos="9344"/>
        </w:tabs>
        <w:spacing w:before="240"/>
        <w:jc w:val="both"/>
        <w:rPr>
          <w:rFonts w:eastAsia="Arial"/>
        </w:rPr>
      </w:pPr>
      <w:r>
        <w:t>Таблица 1.29. П</w:t>
      </w:r>
      <w:r>
        <w:rPr>
          <w:rFonts w:eastAsia="Arial"/>
        </w:rPr>
        <w:t>оказатели физической культуры и спорта Кондинского района.</w:t>
      </w:r>
    </w:p>
    <w:tbl>
      <w:tblPr>
        <w:tblW w:w="9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4"/>
        <w:gridCol w:w="1134"/>
        <w:gridCol w:w="737"/>
        <w:gridCol w:w="709"/>
        <w:gridCol w:w="709"/>
        <w:gridCol w:w="709"/>
        <w:gridCol w:w="708"/>
        <w:gridCol w:w="709"/>
        <w:gridCol w:w="709"/>
        <w:gridCol w:w="680"/>
        <w:gridCol w:w="708"/>
      </w:tblGrid>
      <w:tr w:rsidR="00CF0324">
        <w:tc>
          <w:tcPr>
            <w:tcW w:w="426" w:type="dxa"/>
            <w:vMerge w:val="restart"/>
            <w:tcBorders>
              <w:top w:val="single" w:sz="4" w:space="0" w:color="000000"/>
              <w:left w:val="single" w:sz="4" w:space="0" w:color="000000"/>
              <w:right w:val="single" w:sz="4" w:space="0" w:color="000000"/>
            </w:tcBorders>
            <w:vAlign w:val="center"/>
          </w:tcPr>
          <w:p w:rsidR="00CF0324" w:rsidRDefault="00124A10">
            <w:pPr>
              <w:widowControl w:val="0"/>
              <w:jc w:val="center"/>
              <w:rPr>
                <w:rFonts w:eastAsia="Calibri"/>
                <w:sz w:val="20"/>
                <w:szCs w:val="20"/>
              </w:rPr>
            </w:pPr>
            <w:r>
              <w:rPr>
                <w:rFonts w:eastAsia="Calibri"/>
                <w:sz w:val="20"/>
                <w:szCs w:val="20"/>
              </w:rPr>
              <w:t>№</w:t>
            </w:r>
          </w:p>
        </w:tc>
        <w:tc>
          <w:tcPr>
            <w:tcW w:w="1984" w:type="dxa"/>
            <w:vMerge w:val="restart"/>
            <w:tcBorders>
              <w:top w:val="single" w:sz="4" w:space="0" w:color="000000"/>
              <w:left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Наименование показателей</w:t>
            </w:r>
          </w:p>
        </w:tc>
        <w:tc>
          <w:tcPr>
            <w:tcW w:w="1134" w:type="dxa"/>
            <w:vMerge w:val="restart"/>
            <w:tcBorders>
              <w:top w:val="single" w:sz="4" w:space="0" w:color="000000"/>
              <w:left w:val="single" w:sz="4" w:space="0" w:color="000000"/>
              <w:right w:val="single" w:sz="4" w:space="0" w:color="000000"/>
            </w:tcBorders>
            <w:vAlign w:val="center"/>
          </w:tcPr>
          <w:p w:rsidR="00CF0324" w:rsidRDefault="00124A10">
            <w:pPr>
              <w:jc w:val="center"/>
              <w:rPr>
                <w:sz w:val="20"/>
                <w:szCs w:val="20"/>
              </w:rPr>
            </w:pPr>
            <w:r>
              <w:rPr>
                <w:sz w:val="20"/>
                <w:szCs w:val="20"/>
              </w:rPr>
              <w:t>Единица измерения</w:t>
            </w:r>
          </w:p>
        </w:tc>
        <w:tc>
          <w:tcPr>
            <w:tcW w:w="4990" w:type="dxa"/>
            <w:gridSpan w:val="7"/>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Годы</w:t>
            </w: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Темп изменения,%</w:t>
            </w:r>
          </w:p>
        </w:tc>
      </w:tr>
      <w:tr w:rsidR="00CF0324">
        <w:tc>
          <w:tcPr>
            <w:tcW w:w="426" w:type="dxa"/>
            <w:vMerge/>
            <w:tcBorders>
              <w:left w:val="single" w:sz="4" w:space="0" w:color="000000"/>
              <w:bottom w:val="single" w:sz="4" w:space="0" w:color="000000"/>
              <w:right w:val="single" w:sz="4" w:space="0" w:color="000000"/>
            </w:tcBorders>
          </w:tcPr>
          <w:p w:rsidR="00CF0324" w:rsidRDefault="00CF0324">
            <w:pPr>
              <w:widowControl w:val="0"/>
              <w:jc w:val="center"/>
              <w:rPr>
                <w:rFonts w:eastAsia="Calibri"/>
                <w:sz w:val="20"/>
                <w:szCs w:val="20"/>
              </w:rPr>
            </w:pPr>
          </w:p>
        </w:tc>
        <w:tc>
          <w:tcPr>
            <w:tcW w:w="1984" w:type="dxa"/>
            <w:vMerge/>
            <w:tcBorders>
              <w:left w:val="single" w:sz="4" w:space="0" w:color="000000"/>
              <w:bottom w:val="single" w:sz="4" w:space="0" w:color="000000"/>
              <w:right w:val="single" w:sz="4" w:space="0" w:color="000000"/>
            </w:tcBorders>
          </w:tcPr>
          <w:p w:rsidR="00CF0324" w:rsidRDefault="00CF0324">
            <w:pPr>
              <w:rPr>
                <w:sz w:val="20"/>
                <w:szCs w:val="20"/>
                <w:lang w:eastAsia="en-US"/>
              </w:rPr>
            </w:pPr>
          </w:p>
        </w:tc>
        <w:tc>
          <w:tcPr>
            <w:tcW w:w="1134" w:type="dxa"/>
            <w:vMerge/>
            <w:tcBorders>
              <w:left w:val="single" w:sz="4" w:space="0" w:color="000000"/>
              <w:right w:val="single" w:sz="4" w:space="0" w:color="000000"/>
            </w:tcBorders>
          </w:tcPr>
          <w:p w:rsidR="00CF0324" w:rsidRDefault="00CF0324">
            <w:pPr>
              <w:jc w:val="center"/>
              <w:rPr>
                <w:sz w:val="20"/>
                <w:szCs w:val="20"/>
              </w:rPr>
            </w:pP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2019</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 2021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2022/ 2016</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rPr>
            </w:pPr>
            <w:r>
              <w:rPr>
                <w:rFonts w:eastAsia="Calibri"/>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Количество учреждений</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100</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75</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2</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Количество объектов физической культуры и спорта</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единиц</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86</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98</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103</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114</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3</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Единовременная пропускная способность</w:t>
            </w:r>
          </w:p>
        </w:tc>
        <w:tc>
          <w:tcPr>
            <w:tcW w:w="1134" w:type="dxa"/>
            <w:tcBorders>
              <w:top w:val="single" w:sz="4" w:space="0" w:color="000000"/>
              <w:left w:val="single" w:sz="4" w:space="0" w:color="000000"/>
              <w:right w:val="single" w:sz="4" w:space="0" w:color="000000"/>
            </w:tcBorders>
          </w:tcPr>
          <w:p w:rsidR="00CF0324" w:rsidRDefault="00124A10">
            <w:pPr>
              <w:jc w:val="center"/>
              <w:rPr>
                <w:sz w:val="20"/>
                <w:szCs w:val="20"/>
              </w:rPr>
            </w:pPr>
            <w:r>
              <w:rPr>
                <w:sz w:val="20"/>
                <w:szCs w:val="20"/>
              </w:rPr>
              <w:t>чел./</w:t>
            </w:r>
          </w:p>
          <w:p w:rsidR="00CF0324" w:rsidRDefault="00124A10">
            <w:pPr>
              <w:jc w:val="center"/>
              <w:rPr>
                <w:sz w:val="20"/>
                <w:szCs w:val="20"/>
              </w:rPr>
            </w:pPr>
            <w:r>
              <w:rPr>
                <w:sz w:val="20"/>
                <w:szCs w:val="20"/>
              </w:rPr>
              <w:t>час</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2618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2588</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2382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2441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2560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2646</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2564</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97</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98</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4</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lang w:eastAsia="en-US"/>
              </w:rPr>
            </w:pPr>
            <w:r>
              <w:rPr>
                <w:sz w:val="20"/>
                <w:szCs w:val="20"/>
                <w:lang w:eastAsia="en-US"/>
              </w:rPr>
              <w:t>Число лиц, занимающихся в секциях</w:t>
            </w:r>
          </w:p>
        </w:tc>
        <w:tc>
          <w:tcPr>
            <w:tcW w:w="1134" w:type="dxa"/>
            <w:tcBorders>
              <w:left w:val="single" w:sz="4" w:space="0" w:color="000000"/>
              <w:right w:val="single" w:sz="4" w:space="0" w:color="000000"/>
            </w:tcBorders>
          </w:tcPr>
          <w:p w:rsidR="00CF0324" w:rsidRDefault="00124A10">
            <w:pPr>
              <w:jc w:val="center"/>
              <w:rPr>
                <w:sz w:val="20"/>
                <w:szCs w:val="20"/>
                <w:lang w:eastAsia="en-US"/>
              </w:rPr>
            </w:pPr>
            <w:r>
              <w:rPr>
                <w:sz w:val="20"/>
                <w:szCs w:val="20"/>
                <w:lang w:eastAsia="en-US"/>
              </w:rPr>
              <w:t>человек</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2392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2302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2217</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2006</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1924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1783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1804</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101</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75</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5</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 xml:space="preserve">Количество спортивных мероприятий </w:t>
            </w:r>
          </w:p>
        </w:tc>
        <w:tc>
          <w:tcPr>
            <w:tcW w:w="1134" w:type="dxa"/>
            <w:tcBorders>
              <w:left w:val="single" w:sz="4" w:space="0" w:color="000000"/>
              <w:right w:val="single" w:sz="4" w:space="0" w:color="000000"/>
            </w:tcBorders>
          </w:tcPr>
          <w:p w:rsidR="00CF0324" w:rsidRDefault="00124A10">
            <w:pPr>
              <w:jc w:val="center"/>
              <w:rPr>
                <w:sz w:val="20"/>
                <w:szCs w:val="20"/>
              </w:rPr>
            </w:pPr>
            <w:r>
              <w:rPr>
                <w:sz w:val="20"/>
                <w:szCs w:val="20"/>
              </w:rPr>
              <w:t>единиц</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314</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323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339</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163</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229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317</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138</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101</w:t>
            </w:r>
          </w:p>
        </w:tc>
      </w:tr>
      <w:tr w:rsidR="00CF0324">
        <w:tc>
          <w:tcPr>
            <w:tcW w:w="426" w:type="dxa"/>
            <w:tcBorders>
              <w:top w:val="single" w:sz="4" w:space="0" w:color="000000"/>
              <w:left w:val="single" w:sz="4" w:space="0" w:color="000000"/>
              <w:bottom w:val="single" w:sz="4" w:space="0" w:color="000000"/>
              <w:right w:val="single" w:sz="4" w:space="0" w:color="000000"/>
            </w:tcBorders>
          </w:tcPr>
          <w:p w:rsidR="00CF0324" w:rsidRDefault="00124A10">
            <w:pPr>
              <w:widowControl w:val="0"/>
              <w:jc w:val="center"/>
              <w:rPr>
                <w:rFonts w:eastAsia="Calibri"/>
                <w:sz w:val="20"/>
                <w:szCs w:val="20"/>
                <w:lang w:eastAsia="en-US"/>
              </w:rPr>
            </w:pPr>
            <w:r>
              <w:rPr>
                <w:rFonts w:eastAsia="Calibri"/>
                <w:sz w:val="20"/>
                <w:szCs w:val="20"/>
                <w:lang w:eastAsia="en-US"/>
              </w:rPr>
              <w:t>6</w:t>
            </w:r>
          </w:p>
        </w:tc>
        <w:tc>
          <w:tcPr>
            <w:tcW w:w="1984" w:type="dxa"/>
            <w:tcBorders>
              <w:top w:val="single" w:sz="4" w:space="0" w:color="000000"/>
              <w:left w:val="single" w:sz="4" w:space="0" w:color="000000"/>
              <w:bottom w:val="single" w:sz="4" w:space="0" w:color="000000"/>
              <w:right w:val="single" w:sz="4" w:space="0" w:color="000000"/>
            </w:tcBorders>
          </w:tcPr>
          <w:p w:rsidR="00CF0324" w:rsidRDefault="00124A10">
            <w:pPr>
              <w:rPr>
                <w:sz w:val="20"/>
                <w:szCs w:val="20"/>
              </w:rPr>
            </w:pPr>
            <w:r>
              <w:rPr>
                <w:sz w:val="20"/>
                <w:szCs w:val="20"/>
              </w:rPr>
              <w:t>Доля населения систематически занимающегося физической культурой и спортом</w:t>
            </w:r>
          </w:p>
        </w:tc>
        <w:tc>
          <w:tcPr>
            <w:tcW w:w="1134" w:type="dxa"/>
            <w:tcBorders>
              <w:left w:val="single" w:sz="4" w:space="0" w:color="000000"/>
              <w:right w:val="single" w:sz="4" w:space="0" w:color="000000"/>
            </w:tcBorders>
          </w:tcPr>
          <w:p w:rsidR="00CF0324" w:rsidRDefault="00124A10">
            <w:pPr>
              <w:jc w:val="center"/>
              <w:rPr>
                <w:sz w:val="20"/>
                <w:szCs w:val="20"/>
              </w:rPr>
            </w:pPr>
            <w:r>
              <w:rPr>
                <w:sz w:val="20"/>
                <w:szCs w:val="20"/>
              </w:rPr>
              <w:t>процент</w:t>
            </w:r>
          </w:p>
        </w:tc>
        <w:tc>
          <w:tcPr>
            <w:tcW w:w="737"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34,5</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37,0</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39,2</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43,5</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44,9</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50,1</w:t>
            </w:r>
          </w:p>
        </w:tc>
        <w:tc>
          <w:tcPr>
            <w:tcW w:w="709"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59,1</w:t>
            </w:r>
          </w:p>
        </w:tc>
        <w:tc>
          <w:tcPr>
            <w:tcW w:w="680"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118</w:t>
            </w:r>
          </w:p>
        </w:tc>
        <w:tc>
          <w:tcPr>
            <w:tcW w:w="708" w:type="dxa"/>
            <w:tcBorders>
              <w:top w:val="single" w:sz="4" w:space="0" w:color="000000"/>
              <w:left w:val="single" w:sz="4" w:space="0" w:color="000000"/>
              <w:bottom w:val="single" w:sz="4" w:space="0" w:color="000000"/>
              <w:right w:val="single" w:sz="4" w:space="0" w:color="000000"/>
            </w:tcBorders>
            <w:vAlign w:val="center"/>
          </w:tcPr>
          <w:p w:rsidR="00CF0324" w:rsidRDefault="00124A10">
            <w:pPr>
              <w:jc w:val="center"/>
              <w:rPr>
                <w:sz w:val="20"/>
                <w:szCs w:val="20"/>
                <w:lang w:eastAsia="en-US"/>
              </w:rPr>
            </w:pPr>
            <w:r>
              <w:rPr>
                <w:sz w:val="20"/>
                <w:szCs w:val="20"/>
                <w:lang w:eastAsia="en-US"/>
              </w:rPr>
              <w:t>171</w:t>
            </w:r>
          </w:p>
        </w:tc>
      </w:tr>
    </w:tbl>
    <w:p w:rsidR="00CF0324" w:rsidRDefault="00124A10">
      <w:pPr>
        <w:spacing w:before="240" w:line="276" w:lineRule="auto"/>
        <w:ind w:firstLine="708"/>
        <w:jc w:val="both"/>
      </w:pPr>
      <w:r>
        <w:t xml:space="preserve">Организацией физкультурно-оздоровительной и спортивной работы в районе заняты 201,5 штатных единиц, из которых около половины - это работники физической культуры и спорта учреждений дополнительного образования детей. Среднемесячная заработная плата на одного работающего составляет 52,7 тыс. руб. </w:t>
      </w:r>
    </w:p>
    <w:p w:rsidR="00CF0324" w:rsidRDefault="00124A10">
      <w:pPr>
        <w:spacing w:line="276" w:lineRule="auto"/>
        <w:ind w:firstLine="709"/>
        <w:jc w:val="both"/>
      </w:pPr>
      <w:r>
        <w:t>Учреждениями физкультуры оказываются платные услуги населению по следующим направлениям: аренда зала с использованием оборудования для игры в настольный теннис, волейбол, футбол, бильярд; аренда зала бокса; занятия в секции шейпинг; занятия в тренажёрных залах; посещение детского и большого бассейнов, прокат лыжного инвентаря, прокат коньков.</w:t>
      </w:r>
    </w:p>
    <w:p w:rsidR="00CF0324" w:rsidRDefault="00124A10">
      <w:pPr>
        <w:spacing w:line="276" w:lineRule="auto"/>
        <w:ind w:firstLine="709"/>
        <w:jc w:val="both"/>
      </w:pPr>
      <w:r>
        <w:t>В 2022 году введены в эксплуатацию: площадка ГТО в с. Леуши с единовременной пропускной способностью (далее – ЕПС) – 26 чел; спортивный комплекс в пгт. Междуреченский в состав, которого входит игровой зал, зал бокса, зал тенниса (ЕПС - 100), плоскостное сооружение уличные тренажеры пгт. Междуреченский (ЕПС - 7), плоскостное сооружение игровая площадка (волейбольная, футбольная с воркаутом пгт. Междуреченский (ЕПС -27).</w:t>
      </w:r>
    </w:p>
    <w:p w:rsidR="00CF0324" w:rsidRDefault="00124A10">
      <w:pPr>
        <w:spacing w:line="276" w:lineRule="auto"/>
        <w:ind w:firstLine="708"/>
        <w:jc w:val="both"/>
      </w:pPr>
      <w:r>
        <w:t xml:space="preserve">Выведены из эксплуатации: площадка для физкультурно-оздоровительных занятий детей (пгт. Междуреченский, ул. Днепропетровская) ЕПС – 112, площадка для </w:t>
      </w:r>
      <w:r>
        <w:lastRenderedPageBreak/>
        <w:t xml:space="preserve">физкультурно-оздоровительных занятий детей (пгт. Междуреченский, ул. Первомайская) ЕПС – 120, </w:t>
      </w:r>
      <w:r>
        <w:rPr>
          <w:color w:val="000000"/>
        </w:rPr>
        <w:t>Физкультурный зал (МАУ РЦМИ «Ориентир») ЕПС – 10.</w:t>
      </w:r>
    </w:p>
    <w:p w:rsidR="00CF0324" w:rsidRDefault="00124A10">
      <w:pPr>
        <w:spacing w:line="276" w:lineRule="auto"/>
        <w:ind w:firstLine="709"/>
        <w:jc w:val="both"/>
        <w:rPr>
          <w:shd w:val="clear" w:color="auto" w:fill="FFFFFF"/>
        </w:rPr>
      </w:pPr>
      <w:r>
        <w:t>По состоянию на 31 декабря 2022 года количество граждан систематически занимающихся физической культурой и спортом составило 16,9 тыс. чел., что составляет 59% удельного веса населения в возрасте от 3 до 79 лет, систематически занимающегося физической культурой и спортом.</w:t>
      </w:r>
    </w:p>
    <w:p w:rsidR="00CF0324" w:rsidRPr="00BA49AD" w:rsidRDefault="00124A10">
      <w:pPr>
        <w:pStyle w:val="2"/>
        <w:spacing w:before="240" w:after="240"/>
        <w:jc w:val="left"/>
        <w:rPr>
          <w:b w:val="0"/>
          <w:i/>
          <w:sz w:val="24"/>
          <w:lang w:val="ru-RU"/>
        </w:rPr>
      </w:pPr>
      <w:bookmarkStart w:id="21" w:name="_Toc21"/>
      <w:r w:rsidRPr="00BA49AD">
        <w:rPr>
          <w:b w:val="0"/>
          <w:i/>
          <w:sz w:val="24"/>
          <w:lang w:val="ru-RU"/>
        </w:rPr>
        <w:t>1.14.Транспорт и связь</w:t>
      </w:r>
      <w:bookmarkEnd w:id="21"/>
    </w:p>
    <w:p w:rsidR="00CF0324" w:rsidRPr="00BA49AD" w:rsidRDefault="00124A10">
      <w:pPr>
        <w:pStyle w:val="2"/>
        <w:jc w:val="left"/>
        <w:rPr>
          <w:b w:val="0"/>
          <w:i/>
          <w:sz w:val="24"/>
          <w:lang w:val="ru-RU"/>
        </w:rPr>
      </w:pPr>
      <w:bookmarkStart w:id="22" w:name="_Toc22"/>
      <w:r w:rsidRPr="00BA49AD">
        <w:rPr>
          <w:b w:val="0"/>
          <w:i/>
          <w:sz w:val="24"/>
          <w:lang w:val="ru-RU"/>
        </w:rPr>
        <w:t>1.14.1. Транспортный комплекс</w:t>
      </w:r>
      <w:bookmarkEnd w:id="22"/>
    </w:p>
    <w:p w:rsidR="00CF0324" w:rsidRDefault="00124A10">
      <w:pPr>
        <w:spacing w:line="276" w:lineRule="auto"/>
        <w:ind w:firstLine="708"/>
        <w:jc w:val="both"/>
        <w:rPr>
          <w:shd w:val="clear" w:color="auto" w:fill="EFF4F9"/>
        </w:rPr>
      </w:pPr>
      <w:r>
        <w:t>Транспортный комплекс Кондинского района представлен автомобильным, воздушным и железнодорожным видами транспорта и включает в себя: сеть автомобильных дорог различного значения, железные дороги и водные пути, 3 железнодорожные станции, 1 аэропорт, 6 вертолетных площадок, пристани.</w:t>
      </w:r>
      <w:r>
        <w:rPr>
          <w:shd w:val="clear" w:color="auto" w:fill="EFF4F9"/>
        </w:rPr>
        <w:t xml:space="preserve"> </w:t>
      </w:r>
      <w:r>
        <w:t>Основные объемы регулярных грузовых и пассажирских перевозок осуществляются по Свердловской железной дороге, связывающей район с центром УрФО – г. Екатеринбург.</w:t>
      </w:r>
    </w:p>
    <w:p w:rsidR="00CF0324" w:rsidRDefault="00124A10">
      <w:pPr>
        <w:spacing w:line="276" w:lineRule="auto"/>
        <w:ind w:firstLine="708"/>
        <w:jc w:val="both"/>
      </w:pPr>
      <w:r>
        <w:t>Воздушный и речной транспорт используются в весенне-летний период и связывают труднодоступные населенные пункты с пгт. Междуреченский и г. Ханты-Мансийск. Их доля в общем объеме пассажирских перевозок составляет соответственно 2% (воздушный) и 9% (речной).</w:t>
      </w:r>
    </w:p>
    <w:p w:rsidR="00CF0324" w:rsidRDefault="00124A10">
      <w:pPr>
        <w:spacing w:line="276" w:lineRule="auto"/>
        <w:ind w:firstLine="708"/>
        <w:jc w:val="both"/>
      </w:pPr>
      <w:r>
        <w:t>На территории района 44% населенных пунктов не обеспечены постоянной круглогодичной связью по автомобильным дорогам с твердым покрытием (таблица 1.30).В 2017 году построена подъездная дорога к д. Сотник, в 2020 году построены: участок дороги «пгт. Мортка – пгт. Куминский» и подъездная дорога к с. Ямки до переправы. Завершается строительство подъездной дороги к с. Леуши. Для обеспечения транспортной доступности остальных населенных пунктов района (пгт. Луговой, пгт.Кондинское, д.Никулкина, д. Старый Катыш, д.Ильичевка, с.Алтай, д.Кама, с.Болчары, п.Шугур, с.Карым, п.Юмас, с.Ямки), ежегодно осуществляется устройство и содержание зимних автомобильных дорог и ледовых переправ общего пользования. Протяженность зимних автомобильных дорог составляет 529 км, в том числе около 2 км ледовых переправ.</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1.30. – Динамика выполнения целевых показателей развития транспортной доступности Стратегии социально-экономического развития Кондинского района Ханты-Мансийского автономного округа – Югры на период до 2030 года</w:t>
      </w:r>
    </w:p>
    <w:tbl>
      <w:tblPr>
        <w:tblW w:w="9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14"/>
        <w:gridCol w:w="755"/>
        <w:gridCol w:w="750"/>
        <w:gridCol w:w="750"/>
        <w:gridCol w:w="759"/>
        <w:gridCol w:w="666"/>
        <w:gridCol w:w="696"/>
        <w:gridCol w:w="721"/>
        <w:gridCol w:w="763"/>
      </w:tblGrid>
      <w:tr w:rsidR="00CF0324">
        <w:tc>
          <w:tcPr>
            <w:tcW w:w="3369"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090"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484"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3369"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6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721"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Количество населенных пунктов, обеспеченных транспортной доступностью по автомобильным дорогам, единица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lastRenderedPageBreak/>
              <w:t>целевые показатели (инновационный сценарий)</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13</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00B0F0"/>
                <w:sz w:val="20"/>
                <w:szCs w:val="20"/>
                <w:lang w:eastAsia="en-US"/>
              </w:rPr>
            </w:pPr>
            <w:r>
              <w:rPr>
                <w:rFonts w:ascii="Times New Roman" w:eastAsia="Times New Roman" w:hAnsi="Times New Roman" w:cs="Times New Roman"/>
                <w:b/>
                <w:color w:val="00B0F0"/>
                <w:sz w:val="20"/>
                <w:szCs w:val="20"/>
                <w:lang w:eastAsia="en-US"/>
              </w:rPr>
              <w:t>100</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14</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15</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color w:val="92D050"/>
                <w:sz w:val="20"/>
                <w:szCs w:val="20"/>
                <w:lang w:eastAsia="en-US"/>
              </w:rPr>
            </w:pPr>
            <w:r>
              <w:rPr>
                <w:rFonts w:ascii="Times New Roman" w:eastAsia="Times New Roman" w:hAnsi="Times New Roman" w:cs="Times New Roman"/>
                <w:b/>
                <w:color w:val="92D050"/>
                <w:sz w:val="20"/>
                <w:szCs w:val="20"/>
                <w:lang w:eastAsia="en-US"/>
              </w:rPr>
              <w:t>115</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t xml:space="preserve"> </w:t>
            </w:r>
            <w:r>
              <w:rPr>
                <w:rFonts w:ascii="Times New Roman" w:eastAsia="Times New Roman" w:hAnsi="Times New Roman" w:cs="Times New Roman"/>
                <w:sz w:val="20"/>
                <w:szCs w:val="20"/>
                <w:lang w:eastAsia="en-US"/>
              </w:rPr>
              <w:t>Доля населения, проживающего в населенных пунктах, не имеющих регулярного автобусного и (или) железнодорожного сообщения с административным центром района, в общей численности населения района,%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25,3</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25,4</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25,2</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24,9</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24,6</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99</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97</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4.Общая протяженность автомобильных дорог, км</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685,9</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700,2</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700,0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700,0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752,2</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752,2</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752,2</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110</w:t>
            </w:r>
          </w:p>
        </w:tc>
      </w:tr>
      <w:tr w:rsidR="00CF0324">
        <w:tc>
          <w:tcPr>
            <w:tcW w:w="3369"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5.Протяженность зимних дорог, км</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610,8</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601,5</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599,7</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599,7</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560,2</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510,7</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528,8</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104</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87</w:t>
            </w:r>
          </w:p>
        </w:tc>
      </w:tr>
    </w:tbl>
    <w:p w:rsidR="00CF0324" w:rsidRDefault="00CF0324">
      <w:pPr>
        <w:spacing w:line="276" w:lineRule="auto"/>
        <w:jc w:val="both"/>
      </w:pPr>
    </w:p>
    <w:p w:rsidR="00CF0324" w:rsidRDefault="00124A10">
      <w:pPr>
        <w:spacing w:line="276" w:lineRule="auto"/>
        <w:ind w:firstLine="708"/>
        <w:jc w:val="both"/>
      </w:pPr>
      <w:r>
        <w:t>Из-за недостаточного уровня развития автомобильных дорог слабо используется транзитный потенциал территории района, наблюдается рост транспортных расходов, снижение скорости движения. Протяженность автомобильных дорог изменилась не значительно, а доля населения, проживающего в населенных пунктах, которые не имеют регулярного сообщения с административным центром, снизилась.</w:t>
      </w:r>
      <w:r>
        <w:rPr>
          <w:color w:val="000000"/>
        </w:rPr>
        <w:t xml:space="preserve"> Часть граждан из этих населенных пунктов переехала в другие, более доступные в транспортном отношении, места.</w:t>
      </w:r>
    </w:p>
    <w:p w:rsidR="00CF0324" w:rsidRDefault="00124A10">
      <w:pPr>
        <w:spacing w:line="276" w:lineRule="auto"/>
        <w:ind w:firstLine="708"/>
        <w:jc w:val="both"/>
      </w:pPr>
      <w:r>
        <w:t>Для динамичного развития района необходимо завершение строительства участка автомобильной дороги «Мортка – Верхняя Тавда» региональной автомобильной дороги (Югра-Юг), которая сформирует южный транспортный коридор автономного округа и позволит активизировать экономические процессы в Кондинском районе.</w:t>
      </w:r>
    </w:p>
    <w:p w:rsidR="00CF0324" w:rsidRDefault="00CF0324">
      <w:pPr>
        <w:spacing w:line="276" w:lineRule="auto"/>
        <w:ind w:firstLine="708"/>
        <w:jc w:val="both"/>
      </w:pPr>
    </w:p>
    <w:p w:rsidR="00CF0324" w:rsidRPr="00BA49AD" w:rsidRDefault="00124A10">
      <w:pPr>
        <w:pStyle w:val="2"/>
        <w:jc w:val="left"/>
        <w:rPr>
          <w:b w:val="0"/>
          <w:i/>
          <w:sz w:val="24"/>
          <w:lang w:val="ru-RU"/>
        </w:rPr>
      </w:pPr>
      <w:bookmarkStart w:id="23" w:name="_Toc23"/>
      <w:r w:rsidRPr="00BA49AD">
        <w:rPr>
          <w:b w:val="0"/>
          <w:i/>
          <w:sz w:val="24"/>
          <w:lang w:val="ru-RU"/>
        </w:rPr>
        <w:t>1.14.2. Информационное общество</w:t>
      </w:r>
      <w:bookmarkEnd w:id="23"/>
    </w:p>
    <w:p w:rsidR="00CF0324" w:rsidRDefault="00124A10">
      <w:pPr>
        <w:spacing w:line="276" w:lineRule="auto"/>
        <w:ind w:firstLine="708"/>
        <w:jc w:val="both"/>
      </w:pPr>
      <w:r>
        <w:t xml:space="preserve">С использованием цифровых технологий изменяются повседневная жизнь человека, производственные отношения, структура экономики и образование, а также возникают новые требования к коммуникациям, вычислительным мощностям, информационным системам и сервисам. </w:t>
      </w:r>
    </w:p>
    <w:p w:rsidR="00CF0324" w:rsidRDefault="00124A10">
      <w:pPr>
        <w:spacing w:line="276" w:lineRule="auto"/>
        <w:ind w:firstLine="708"/>
        <w:jc w:val="both"/>
      </w:pPr>
      <w:r>
        <w:t>Услуги фиксированной телефонной связи на территории Кондинского района предоставляет ПАО «Ростелеком».</w:t>
      </w:r>
    </w:p>
    <w:p w:rsidR="00CF0324" w:rsidRDefault="00124A10">
      <w:pPr>
        <w:spacing w:line="276" w:lineRule="auto"/>
        <w:ind w:firstLine="708"/>
        <w:jc w:val="both"/>
      </w:pPr>
      <w:r>
        <w:t>Услуги мобильной связи - операторы подвижной радиотелефонной связи: ООО «Т2Мобайл» (2G/4G), ПАО «МегаФон» (2G/3G/4G), ПАО «ВымпелКом» (2G/3G/4G), ПАО «Мобильные телесистемы» (2G/3G/4G), ООО «Екатеринбург-2000» (GSM/4G), ООО «Скартел» (2G/3G/4G).</w:t>
      </w:r>
    </w:p>
    <w:p w:rsidR="00CF0324" w:rsidRDefault="00124A10">
      <w:pPr>
        <w:spacing w:line="276" w:lineRule="auto"/>
        <w:ind w:firstLine="708"/>
        <w:jc w:val="both"/>
      </w:pPr>
      <w:r>
        <w:t>Покрытие сигналом сотовой связи территории муниципального образования неравномерное. Наибольшую площадь охвата территории сигналом сотовой связи муниципального образования Кондинский район занимают операторы ООО «Т2 Мобайл» и ООО «Екатеринбург – 2000».</w:t>
      </w:r>
    </w:p>
    <w:p w:rsidR="00CF0324" w:rsidRDefault="00124A10">
      <w:pPr>
        <w:spacing w:line="276" w:lineRule="auto"/>
        <w:ind w:firstLine="708"/>
        <w:jc w:val="both"/>
      </w:pPr>
      <w:r>
        <w:t>ПАО  «Ростелеком» развивает волоконно-оптическую сеть связи на территории Кондинского района по наиболее перспективной технологии – GPON, обеспечивающей высокую пропускную способность передачи данных, гарантирующую высокое качество изображения при просмотре телевизора и позволяющую по одному тонкому кабелю провести в квартиру сразу несколько телеком-услуг: высокоскоростной интернет, уникальное интерактивное телевидение и цифровую телефонию.</w:t>
      </w:r>
    </w:p>
    <w:p w:rsidR="00CF0324" w:rsidRDefault="00124A10">
      <w:pPr>
        <w:spacing w:line="276" w:lineRule="auto"/>
        <w:ind w:firstLine="708"/>
        <w:jc w:val="both"/>
      </w:pPr>
      <w:r>
        <w:t>В рамках реализации федерального проекта «Информационная инфраструктура» по подключению социально-значимых объектов (СЗО) к информационно-</w:t>
      </w:r>
      <w:r>
        <w:lastRenderedPageBreak/>
        <w:t>телекоммуникационной сети Интернет в Ханты-Мансийском автономном округе – Югре,  ПАО «Ростелеком» построены оптико-волоконные линии связи в пгт. Кондинское, пгт.Куминский, пгт. Луговой, п. Мулымья, с. Леуши, с. Болчары, д. Шугур, п.Лиственичный, п. Ягодный, п. Дальний, с. Чантырья, п. Назарово, пгт. Мортка, д.Шугур, д. Юмас, п. Половинка. Каждому СЗО обеспечена соответствующая скорость. Школам — до 50 Мбит/с, библиотекам - 10 Мбит/с, фельдшерско-акушерским пунктам — 10 Мбит/с, органам государственной власти и местного самоуправления — 10 Мбит/с, библиотекам — 10 Мбит/с, пожарным частям — 10 Мбит/с, пожарным постам — 2 Мбит/с.</w:t>
      </w:r>
    </w:p>
    <w:p w:rsidR="00CF0324" w:rsidRDefault="00124A10">
      <w:pPr>
        <w:spacing w:line="276" w:lineRule="auto"/>
        <w:ind w:firstLine="708"/>
        <w:jc w:val="both"/>
      </w:pPr>
      <w:r>
        <w:t>Доступ к сети Интернет в рамках реализованного проекта получили 56 СЗО: в 2019 году – 12; в 2020 году – 24; в 2021 году – 20.</w:t>
      </w:r>
    </w:p>
    <w:p w:rsidR="00CF0324" w:rsidRDefault="00124A10">
      <w:pPr>
        <w:spacing w:line="276" w:lineRule="auto"/>
        <w:ind w:firstLine="708"/>
        <w:jc w:val="both"/>
      </w:pPr>
      <w:r>
        <w:t>Летом 2021 года мобильный оператор ООО «Т2 Мобайл» обеспечил жителей села Карым мобильным интернетом по технологии 4</w:t>
      </w:r>
      <w:r>
        <w:rPr>
          <w:lang w:val="en-US"/>
        </w:rPr>
        <w:t>G</w:t>
      </w:r>
      <w:r>
        <w:t>.</w:t>
      </w:r>
    </w:p>
    <w:p w:rsidR="00CF0324" w:rsidRDefault="00124A10">
      <w:pPr>
        <w:spacing w:line="276" w:lineRule="auto"/>
        <w:ind w:firstLine="708"/>
        <w:jc w:val="both"/>
      </w:pPr>
      <w:r>
        <w:t xml:space="preserve">Летом 2022 года мобильные операторы ООО «Т2 Мобайл», и ПАО «Мобильные телесистемы» обеспечили жителей д. Ильичевка и д. Никулкина соответственно точками доступа </w:t>
      </w:r>
      <w:r>
        <w:rPr>
          <w:lang w:val="en-US"/>
        </w:rPr>
        <w:t>wi</w:t>
      </w:r>
      <w:r>
        <w:t>-</w:t>
      </w:r>
      <w:r>
        <w:rPr>
          <w:lang w:val="en-US"/>
        </w:rPr>
        <w:t>fi</w:t>
      </w:r>
      <w:r>
        <w:t>.</w:t>
      </w:r>
    </w:p>
    <w:p w:rsidR="00CF0324" w:rsidRDefault="00124A10">
      <w:pPr>
        <w:spacing w:line="276" w:lineRule="auto"/>
        <w:ind w:firstLine="708"/>
        <w:jc w:val="both"/>
      </w:pPr>
      <w:r>
        <w:rPr>
          <w:i/>
        </w:rPr>
        <w:t>Услуги почтовой связи</w:t>
      </w:r>
      <w:r>
        <w:t xml:space="preserve"> на территории района оказывает Урайский почтамт на базе 18 почтовых отделений, обслуживающих все 27 населенных пунктов Кондинского района. </w:t>
      </w:r>
    </w:p>
    <w:p w:rsidR="00CF0324" w:rsidRDefault="00124A10">
      <w:pPr>
        <w:spacing w:line="276" w:lineRule="auto"/>
        <w:ind w:firstLine="708"/>
        <w:jc w:val="both"/>
      </w:pPr>
      <w:r>
        <w:rPr>
          <w:i/>
        </w:rPr>
        <w:t>Телевидение и радиовещание</w:t>
      </w:r>
      <w:r>
        <w:t>. 20 цифровых телеканалов, РТРС-1 (первый мультиплекс) и РТРС-2 (второй мультиплекс) транслируются в стандарте DVB-T2. Вся информация о цифровом телевидении доступна на сайте</w:t>
      </w:r>
      <w:hyperlink r:id="rId29" w:tooltip="https://hmao.rtrs.ru/" w:history="1">
        <w:r>
          <w:rPr>
            <w:u w:val="single"/>
          </w:rPr>
          <w:t> https://hmao.rtrs.ru/</w:t>
        </w:r>
      </w:hyperlink>
      <w:r>
        <w:rPr>
          <w:u w:val="single"/>
        </w:rPr>
        <w:t>.</w:t>
      </w:r>
    </w:p>
    <w:p w:rsidR="00CF0324" w:rsidRDefault="00124A10">
      <w:pPr>
        <w:spacing w:line="276" w:lineRule="auto"/>
        <w:ind w:firstLine="708"/>
        <w:jc w:val="both"/>
      </w:pPr>
      <w:r>
        <w:t>Региональное вещание. Региональные программы ГТРК «Югория» доступны на каналах первого мультиплекса «Россия 1», «Россия 24» и «Радио России». Программы телеканала «Югра» выходят в цифровом формате в эфире телеканала ОТР в первом мультиплексе на 9 кнопке.</w:t>
      </w:r>
    </w:p>
    <w:p w:rsidR="00CF0324" w:rsidRDefault="00124A10">
      <w:pPr>
        <w:spacing w:line="276" w:lineRule="auto"/>
        <w:ind w:firstLine="708"/>
        <w:jc w:val="both"/>
      </w:pPr>
      <w:r>
        <w:t>Вне зоны охвата цифрового эфирного телевещания расположены 3 населенных пункта: с.Карым, д.Старый Катыш и п.Супра. Операторы непосредственного спутникового телевидения предоставляют возможность просмотра 20 телеканалов без взимания абонентской платы.</w:t>
      </w:r>
    </w:p>
    <w:p w:rsidR="00CF0324" w:rsidRDefault="00124A10">
      <w:pPr>
        <w:spacing w:line="276" w:lineRule="auto"/>
        <w:ind w:firstLine="708"/>
        <w:jc w:val="both"/>
      </w:pPr>
      <w:r>
        <w:t>Местное телевидение.  Телерадиокомпания «Конда» ежедневно выпускает сюжеты на канале </w:t>
      </w:r>
      <w:r>
        <w:rPr>
          <w:lang w:val="en-US"/>
        </w:rPr>
        <w:t>RUTUBE</w:t>
      </w:r>
      <w:r>
        <w:t>. </w:t>
      </w:r>
    </w:p>
    <w:p w:rsidR="00CF0324" w:rsidRDefault="00124A10">
      <w:pPr>
        <w:spacing w:line="276" w:lineRule="auto"/>
        <w:ind w:firstLine="708"/>
        <w:jc w:val="both"/>
      </w:pPr>
      <w:r>
        <w:t>Радио «Югра» осуществляет вещание в ультракоротком волновом диапазоне на фиксированных радиочастотах в населенных пунктах пгт. Междуреченский (100,6 МГц), пгт.Кондинское (100МГц), пгт.Куминский (100,1 МГц), пгт. Мортка (101,9 МГц), п.Половинка (103,9МГц), с.Болчары (103,6 МГц), д.Шугур (100,4МГц), с. Алтай (100,3 МГц), д. Кама (100,9 МГц),  с. Чантырья (101,7 МГц), д. Юмас (101,8 МГц), п. Ягодный (100,4 МГц).</w:t>
      </w:r>
    </w:p>
    <w:p w:rsidR="00CF0324" w:rsidRDefault="00124A10">
      <w:pPr>
        <w:spacing w:line="276" w:lineRule="auto"/>
        <w:ind w:firstLine="708"/>
        <w:jc w:val="both"/>
      </w:pPr>
      <w:r>
        <w:t>Радио России осуществляет  вещание в ультракоротком волновом диапазоне на фиксированных радиочастотах в населенных пунктах пгт. Междуреченский (100,0 МГц), пгт.Кондинское (100,5МГц), пгт.Куминский (102,1 МГц).</w:t>
      </w:r>
    </w:p>
    <w:p w:rsidR="00CF0324" w:rsidRDefault="00124A10">
      <w:pPr>
        <w:spacing w:line="276" w:lineRule="auto"/>
        <w:ind w:firstLine="709"/>
        <w:jc w:val="both"/>
      </w:pPr>
      <w:r>
        <w:t xml:space="preserve">В Кондинском районе развернута инфраструктура электронного правительства. Развивается сеть многофункциональных центров предоставления государственных и муниципальных услуг по принципу «одного окна», позволяющая гражданам и организациям получать требуемые им услуги и конечные документы в установленные сроки без непосредственного взаимодействия с должностными лицами, принимающими решения по согласованию и выдаче данных документов. Более 90% муниципальных услуг </w:t>
      </w:r>
      <w:r>
        <w:lastRenderedPageBreak/>
        <w:t xml:space="preserve">оказывается в электронном виде посредством Единого портала государственных и муниципальных услуг </w:t>
      </w:r>
      <w:hyperlink r:id="rId30" w:history="1">
        <w:r>
          <w:rPr>
            <w:rStyle w:val="af"/>
          </w:rPr>
          <w:t>www.gosuslugi.ru</w:t>
        </w:r>
      </w:hyperlink>
      <w:r>
        <w:t xml:space="preserve"> и мобильных приложений.</w:t>
      </w:r>
    </w:p>
    <w:p w:rsidR="00CF0324" w:rsidRDefault="00CF0324">
      <w:pPr>
        <w:spacing w:line="276" w:lineRule="auto"/>
        <w:ind w:firstLine="709"/>
        <w:jc w:val="both"/>
      </w:pPr>
    </w:p>
    <w:p w:rsidR="00CF0324" w:rsidRPr="00124A10" w:rsidRDefault="00124A10">
      <w:pPr>
        <w:pStyle w:val="2"/>
        <w:jc w:val="left"/>
        <w:rPr>
          <w:b w:val="0"/>
          <w:i/>
          <w:sz w:val="24"/>
          <w:lang w:val="ru-RU"/>
        </w:rPr>
      </w:pPr>
      <w:bookmarkStart w:id="24" w:name="_Toc24"/>
      <w:r w:rsidRPr="00124A10">
        <w:rPr>
          <w:b w:val="0"/>
          <w:i/>
          <w:sz w:val="24"/>
          <w:lang w:val="ru-RU"/>
        </w:rPr>
        <w:t>1.1</w:t>
      </w:r>
      <w:r>
        <w:rPr>
          <w:b w:val="0"/>
          <w:i/>
          <w:sz w:val="24"/>
          <w:lang w:val="ru-RU"/>
        </w:rPr>
        <w:t>5</w:t>
      </w:r>
      <w:r w:rsidRPr="00124A10">
        <w:rPr>
          <w:b w:val="0"/>
          <w:i/>
          <w:sz w:val="24"/>
          <w:lang w:val="ru-RU"/>
        </w:rPr>
        <w:t>. Местное самоуправление</w:t>
      </w:r>
      <w:bookmarkEnd w:id="24"/>
    </w:p>
    <w:p w:rsidR="00CF0324" w:rsidRDefault="00124A10">
      <w:pPr>
        <w:spacing w:line="276" w:lineRule="auto"/>
        <w:ind w:firstLine="708"/>
        <w:jc w:val="both"/>
      </w:pPr>
      <w:r>
        <w:t xml:space="preserve">Действия органов местного самоуправления в Кондинском районе регулируются Федеральным законом № 131-ФЗ «Об общих принципах организации местного самоуправления в Российской Федерации». В 2023 году на территории района осуществляется реализация 24 муниципальных  программ. Администрация Кондинского района является учредителем одного муниципального унитарного предприятия, 4 автономных муниципальных учреждений. </w:t>
      </w:r>
      <w:r>
        <w:rPr>
          <w:bCs/>
        </w:rPr>
        <w:t>Общая стоимость муниципального имущества Кондинского района в 2022 году составила 12 997,8 млн. руб.</w:t>
      </w:r>
      <w:r>
        <w:t xml:space="preserve"> </w:t>
      </w:r>
    </w:p>
    <w:p w:rsidR="00CF0324" w:rsidRDefault="00124A10">
      <w:pPr>
        <w:spacing w:line="276" w:lineRule="auto"/>
        <w:ind w:firstLine="708"/>
        <w:jc w:val="both"/>
      </w:pPr>
      <w:r>
        <w:t xml:space="preserve">В 2016-2022 годах работа органов местного самоуправления была сосредоточена на следующих направлениях: принятие и исполнение бюджетов; достижение целевых показателей национальных проектов; повышение эффективности управления муниципальной собственностью; создание условий для развития сельского хозяйства; организация транспортного обслуживания населения (в </w:t>
      </w:r>
      <w:r>
        <w:rPr>
          <w:bCs/>
        </w:rPr>
        <w:t>рассматриваемом периоде регулярно выплачивались субсидии транспортным компаниям, в частности в 2022 году выплачено 111,6 млн. руб.);</w:t>
      </w:r>
      <w:r>
        <w:t xml:space="preserve"> подготовка и утверждение проектов планировки, проектов межевания территории населенных пунктов (в 2022 году отмежёвано и поставлено на государственный кадастровый учет 185 земельных участков, а также проведены работы по подготовке и внесению сведений о границах 18-ти территориальных зон (корректировка) городских и сельских поселений Кондинского района); создание условий для обеспечения населения качественными услугами связи, общественного питания, торговли и бытового обслуживания; содействие развитию малого и среднего предпринимательства; обеспечение условий для развития на территории муниципального района физической культуры и массового спорта; создание условий для обеспечения населения услугами по организации досуга и услугами организаций культуры; осуществление мер по противодействию коррупции; повышение информационной открытости органов муниципальной власти и управления.</w:t>
      </w:r>
    </w:p>
    <w:p w:rsidR="00CF0324" w:rsidRDefault="00124A10">
      <w:pPr>
        <w:spacing w:line="276" w:lineRule="auto"/>
        <w:ind w:firstLine="708"/>
        <w:jc w:val="both"/>
      </w:pPr>
      <w:r>
        <w:t>Качество работы в области предоставления услуг населению муниципальными учреждениями подтверждается показателями независимой оценки качества оказываемых муниципальных услуг в учреждениях культуры – 94%</w:t>
      </w:r>
      <w:r>
        <w:rPr>
          <w:b/>
        </w:rPr>
        <w:t xml:space="preserve">, </w:t>
      </w:r>
      <w:r>
        <w:t>в сфере образования – 84,1%.</w:t>
      </w:r>
    </w:p>
    <w:p w:rsidR="00CF0324" w:rsidRDefault="00124A10">
      <w:pPr>
        <w:pStyle w:val="1234511213141OaaeeiueOaaeeiue1Oaaeeiue2Oaaeeiue3Oaaeeiue4Oaaeeiue5Oaaeeiue11Oaaeeiue21Oaaeeiue31Oaaeeiue41"/>
        <w:spacing w:line="276" w:lineRule="auto"/>
        <w:ind w:firstLine="567"/>
        <w:rPr>
          <w:lang w:val="ru-RU"/>
        </w:rPr>
      </w:pPr>
      <w:r w:rsidRPr="00124A10">
        <w:rPr>
          <w:lang w:val="ru-RU"/>
        </w:rPr>
        <w:t>Удовлетворенность населения деятельностью органов местного самоуправления района</w:t>
      </w:r>
      <w:r>
        <w:rPr>
          <w:lang w:val="ru-RU"/>
        </w:rPr>
        <w:t xml:space="preserve"> по итогам работы</w:t>
      </w:r>
      <w:r w:rsidRPr="00124A10">
        <w:rPr>
          <w:lang w:val="ru-RU"/>
        </w:rPr>
        <w:t xml:space="preserve"> состав</w:t>
      </w:r>
      <w:r>
        <w:rPr>
          <w:lang w:val="ru-RU"/>
        </w:rPr>
        <w:t>ила</w:t>
      </w:r>
      <w:r w:rsidRPr="00124A10">
        <w:rPr>
          <w:lang w:val="ru-RU"/>
        </w:rPr>
        <w:t xml:space="preserve"> </w:t>
      </w:r>
      <w:r>
        <w:rPr>
          <w:lang w:val="ru-RU"/>
        </w:rPr>
        <w:t>56</w:t>
      </w:r>
      <w:r w:rsidRPr="00124A10">
        <w:rPr>
          <w:lang w:val="ru-RU"/>
        </w:rPr>
        <w:t xml:space="preserve">%, в сравнении с прошлым годом </w:t>
      </w:r>
      <w:r>
        <w:rPr>
          <w:lang w:val="ru-RU"/>
        </w:rPr>
        <w:t xml:space="preserve">увеличилась </w:t>
      </w:r>
      <w:r w:rsidRPr="00124A10">
        <w:rPr>
          <w:lang w:val="ru-RU"/>
        </w:rPr>
        <w:t xml:space="preserve">на </w:t>
      </w:r>
      <w:r>
        <w:rPr>
          <w:lang w:val="ru-RU"/>
        </w:rPr>
        <w:t>22% (таблица 1.31)</w:t>
      </w:r>
      <w:r w:rsidRPr="00124A10">
        <w:rPr>
          <w:lang w:val="ru-RU"/>
        </w:rPr>
        <w:t>.</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Таблица 1.31. – Динамика показателя удовлетворенности населения </w:t>
      </w:r>
      <w:r>
        <w:rPr>
          <w:rFonts w:ascii="Times New Roman" w:hAnsi="Times New Roman" w:cs="Times New Roman"/>
        </w:rPr>
        <w:t>деятельностью органов местного самоуправления района</w:t>
      </w: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714"/>
        <w:gridCol w:w="755"/>
        <w:gridCol w:w="750"/>
        <w:gridCol w:w="750"/>
        <w:gridCol w:w="759"/>
        <w:gridCol w:w="666"/>
        <w:gridCol w:w="696"/>
        <w:gridCol w:w="721"/>
        <w:gridCol w:w="763"/>
      </w:tblGrid>
      <w:tr w:rsidR="00CF0324">
        <w:tc>
          <w:tcPr>
            <w:tcW w:w="3085"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090"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484"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3085"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14"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5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50"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59"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6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69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721"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63"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xml:space="preserve">. </w:t>
            </w:r>
            <w:r>
              <w:rPr>
                <w:rFonts w:ascii="Times New Roman" w:hAnsi="Times New Roman" w:cs="Times New Roman"/>
              </w:rPr>
              <w:t>Удовлетворенность населения деятельностью органов местного самоуправления района,%</w:t>
            </w:r>
          </w:p>
        </w:tc>
        <w:tc>
          <w:tcPr>
            <w:tcW w:w="714"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71,0</w:t>
            </w:r>
          </w:p>
        </w:tc>
        <w:tc>
          <w:tcPr>
            <w:tcW w:w="755"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58,4</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68,0</w:t>
            </w:r>
          </w:p>
        </w:tc>
        <w:tc>
          <w:tcPr>
            <w:tcW w:w="750"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74,0</w:t>
            </w:r>
          </w:p>
        </w:tc>
        <w:tc>
          <w:tcPr>
            <w:tcW w:w="759"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57,5</w:t>
            </w:r>
          </w:p>
        </w:tc>
        <w:tc>
          <w:tcPr>
            <w:tcW w:w="6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45,6</w:t>
            </w:r>
          </w:p>
        </w:tc>
        <w:tc>
          <w:tcPr>
            <w:tcW w:w="69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56,0</w:t>
            </w:r>
          </w:p>
        </w:tc>
        <w:tc>
          <w:tcPr>
            <w:tcW w:w="721"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123</w:t>
            </w:r>
          </w:p>
        </w:tc>
        <w:tc>
          <w:tcPr>
            <w:tcW w:w="763"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79</w:t>
            </w:r>
          </w:p>
        </w:tc>
      </w:tr>
    </w:tbl>
    <w:p w:rsidR="00CF0324" w:rsidRDefault="00CF0324">
      <w:pPr>
        <w:pStyle w:val="1234511213141OaaeeiueOaaeeiue1Oaaeeiue2Oaaeeiue3Oaaeeiue4Oaaeeiue5Oaaeeiue11Oaaeeiue21Oaaeeiue31Oaaeeiue41"/>
        <w:spacing w:line="276" w:lineRule="auto"/>
        <w:rPr>
          <w:lang w:val="ru-RU"/>
        </w:rPr>
      </w:pPr>
    </w:p>
    <w:p w:rsidR="00CF0324" w:rsidRDefault="00124A10">
      <w:pPr>
        <w:spacing w:line="276" w:lineRule="auto"/>
        <w:ind w:firstLine="709"/>
        <w:jc w:val="both"/>
      </w:pPr>
      <w:r>
        <w:lastRenderedPageBreak/>
        <w:t xml:space="preserve">Администрация района особое внимание уделяет обращениям граждан. Количество </w:t>
      </w:r>
      <w:r>
        <w:rPr>
          <w:i/>
        </w:rPr>
        <w:t>традиционных</w:t>
      </w:r>
      <w:r>
        <w:t xml:space="preserve"> обращений граждан в органы местного самоуправления увеличилось на 14% по сравнению с 2021 годом, всего в 2022 году поступило 305 обращений граждан. В основном граждане района обращались по жилищным вопросам (26%), по коммунально-бытовому обслуживанию (19%), по вопросам промышленности и строительства (9%), по вопросам труда и зарплаты (6%), по вопросам транспорта и связи (5%), по вопросам экологии и природопользования (4%), социальной защиты (4%), Основную долю 72% обращений граждан составили в письменной форме.</w:t>
      </w:r>
    </w:p>
    <w:p w:rsidR="00CF0324" w:rsidRDefault="00124A10">
      <w:pPr>
        <w:spacing w:line="276" w:lineRule="auto"/>
        <w:ind w:firstLine="709"/>
        <w:jc w:val="both"/>
      </w:pPr>
      <w:r>
        <w:t>Через систему «Инцидент-Менеджмент» в социальных сетях поступило 316 сообщений граждан, самые актуальные темы: жилищно-коммунальное хозяйство -27%; дороги – 21%, благоустройство – 17%.</w:t>
      </w:r>
    </w:p>
    <w:p w:rsidR="00CF0324" w:rsidRDefault="00124A10">
      <w:pPr>
        <w:spacing w:line="276" w:lineRule="auto"/>
        <w:ind w:firstLine="708"/>
        <w:jc w:val="both"/>
        <w:rPr>
          <w:rFonts w:eastAsia="Calibri"/>
          <w:lang w:eastAsia="en-US"/>
        </w:rPr>
      </w:pPr>
      <w:r>
        <w:rPr>
          <w:rFonts w:eastAsia="Calibri"/>
          <w:lang w:eastAsia="en-US"/>
        </w:rPr>
        <w:t>В течение года в эфире телерадиокомпании «Конда» подготовлен 121 сюжет о деятельности главы Кондинского района или 45% к уровню прошлого года. Количество публикаций в средствах массовой информации о деятельности главы Кондинского района составило 162 публикации</w:t>
      </w:r>
      <w:r>
        <w:t xml:space="preserve"> и в сравнении с прошлым годом уменьшилось на 46%.</w:t>
      </w:r>
    </w:p>
    <w:p w:rsidR="00CF0324" w:rsidRDefault="00124A10">
      <w:pPr>
        <w:spacing w:after="240" w:line="276" w:lineRule="auto"/>
        <w:ind w:firstLine="708"/>
        <w:jc w:val="both"/>
        <w:rPr>
          <w:bCs/>
        </w:rPr>
      </w:pPr>
      <w:r>
        <w:rPr>
          <w:bCs/>
        </w:rPr>
        <w:t>Так же информация о деятельности главы и администрации Кондинского района размещается на официальных аккаунтах администрации района в социальных сетях «Вконтакте», «Одноклассники», Телеграмм «Конда официально».</w:t>
      </w:r>
    </w:p>
    <w:p w:rsidR="00CF0324" w:rsidRPr="00124A10" w:rsidRDefault="00124A10">
      <w:pPr>
        <w:pStyle w:val="2"/>
        <w:jc w:val="left"/>
        <w:rPr>
          <w:b w:val="0"/>
          <w:i/>
          <w:sz w:val="24"/>
          <w:lang w:val="ru-RU"/>
        </w:rPr>
      </w:pPr>
      <w:bookmarkStart w:id="25" w:name="_Toc25"/>
      <w:r w:rsidRPr="00124A10">
        <w:rPr>
          <w:b w:val="0"/>
          <w:i/>
          <w:sz w:val="24"/>
          <w:lang w:val="ru-RU"/>
        </w:rPr>
        <w:t>1.16. Исполнение бюджета</w:t>
      </w:r>
      <w:bookmarkEnd w:id="25"/>
    </w:p>
    <w:p w:rsidR="00CF0324" w:rsidRDefault="00124A10">
      <w:pPr>
        <w:spacing w:line="276" w:lineRule="auto"/>
        <w:ind w:firstLine="708"/>
        <w:jc w:val="both"/>
      </w:pPr>
      <w:r>
        <w:t xml:space="preserve">Доходы местного бюджета за 2022 год составили 5 100,7 млн. руб., увеличились на 5,7% по отношению к 2021 году. За последние 7 лет бюджетные доходы района выросли на 1% по сравнению с 2016 годом. </w:t>
      </w:r>
      <w:r>
        <w:rPr>
          <w:spacing w:val="-8"/>
        </w:rPr>
        <w:t xml:space="preserve">Доходная часть местного бюджета в 2022 году состояла на 74% из </w:t>
      </w:r>
      <w:r>
        <w:rPr>
          <w:spacing w:val="-1"/>
        </w:rPr>
        <w:t xml:space="preserve">безвозмездных поступлений - </w:t>
      </w:r>
      <w:r>
        <w:t>наименьший уровень зависимости от межбюджетных трансфертов за последние 7 лет</w:t>
      </w:r>
      <w:r>
        <w:rPr>
          <w:spacing w:val="-1"/>
        </w:rPr>
        <w:t xml:space="preserve">. Доля собственных доходов увеличилась в 2022 году на 23% </w:t>
      </w:r>
      <w:r>
        <w:t>по сравнению с 2021 годом и составила 26% (таблица 1.32.). Наибольшую долю в собственных доходах местного бюджета стабильно занимает НДФЛ – это 75% в 2022 году. На втором месте в структуре доходов за 2022 год составляют акцизы по подакцизным товарам (продукции), реализуемые на территории Российской Федерации (12%).</w:t>
      </w:r>
    </w:p>
    <w:p w:rsidR="00CF0324" w:rsidRDefault="00124A10">
      <w:pPr>
        <w:spacing w:line="276" w:lineRule="auto"/>
        <w:ind w:firstLine="708"/>
        <w:jc w:val="both"/>
      </w:pPr>
      <w:r>
        <w:t>Структура безвозмездных поступлений состоит из дотаций, субвенций, субсидий и иных межбюджетных трансфертов. Основную долю около 50% составляют субвенции.</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1.32. – Динамика выполнения целевых показателей развития бюджета Стратегии социально-экономического развития Кондинского района Ханты-Мансийского автономного округа – Югры на период до 2030 года</w:t>
      </w:r>
    </w:p>
    <w:tbl>
      <w:tblPr>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766"/>
        <w:gridCol w:w="766"/>
        <w:gridCol w:w="766"/>
        <w:gridCol w:w="766"/>
        <w:gridCol w:w="766"/>
        <w:gridCol w:w="766"/>
        <w:gridCol w:w="766"/>
        <w:gridCol w:w="712"/>
        <w:gridCol w:w="747"/>
      </w:tblGrid>
      <w:tr w:rsidR="00CF0324">
        <w:tc>
          <w:tcPr>
            <w:tcW w:w="3085"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362"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459"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3085"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712"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47"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xml:space="preserve">. </w:t>
            </w:r>
            <w:r>
              <w:rPr>
                <w:rFonts w:ascii="Times New Roman" w:hAnsi="Times New Roman" w:cs="Times New Roman"/>
              </w:rPr>
              <w:t>Доля собственных налоговых и неналоговых доходов местного бюджета в общей сумме доходов,%</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lastRenderedPageBreak/>
              <w:t>целевые показатели (инновационный сценарий)</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15,1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12,5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11,5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11,6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10,8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10,8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10,8</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100</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72</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13,2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16,2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15,6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16,2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19,2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21,3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26,2</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123</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198</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2.Бюджетная обеспеченность по доходам, тыс. руб./чел.</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121,29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130,15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143,03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154,52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167,97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167,97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167,97</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100</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138</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160,03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139,60</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149,18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162,46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166,56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157,56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168,15</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107</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105</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3.Отношение муниципального долга к доходам бюджета района (без учета безвозмездных поступлений), %</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spacing w:line="276" w:lineRule="auto"/>
              <w:jc w:val="center"/>
              <w:rPr>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CF0324">
            <w:pPr>
              <w:pStyle w:val="1b"/>
              <w:keepNext/>
              <w:spacing w:line="240" w:lineRule="auto"/>
              <w:jc w:val="center"/>
              <w:rPr>
                <w:rFonts w:ascii="Times New Roman" w:eastAsia="Times New Roman" w:hAnsi="Times New Roman" w:cs="Times New Roman"/>
                <w:sz w:val="20"/>
                <w:szCs w:val="20"/>
                <w:lang w:eastAsia="en-US"/>
              </w:rPr>
            </w:pP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целевые показатели (инновационный сценарий)</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00B0F0"/>
                <w:sz w:val="20"/>
                <w:szCs w:val="20"/>
              </w:rPr>
            </w:pPr>
            <w:r>
              <w:rPr>
                <w:b/>
                <w:i/>
                <w:color w:val="00B0F0"/>
                <w:sz w:val="20"/>
                <w:szCs w:val="20"/>
              </w:rPr>
              <w:t>14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14</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100</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00B0F0"/>
                <w:sz w:val="20"/>
                <w:szCs w:val="20"/>
                <w:lang w:eastAsia="en-US"/>
              </w:rPr>
            </w:pPr>
            <w:r>
              <w:rPr>
                <w:rFonts w:ascii="Times New Roman" w:eastAsia="Times New Roman" w:hAnsi="Times New Roman" w:cs="Times New Roman"/>
                <w:b/>
                <w:i/>
                <w:color w:val="00B0F0"/>
                <w:sz w:val="20"/>
                <w:szCs w:val="20"/>
                <w:lang w:eastAsia="en-US"/>
              </w:rPr>
              <w:t>78</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фактические данные</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31,6</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-7,5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21,4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-0,4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b/>
                <w:i/>
                <w:color w:val="92D050"/>
                <w:sz w:val="20"/>
                <w:szCs w:val="20"/>
              </w:rPr>
            </w:pPr>
            <w:r>
              <w:rPr>
                <w:b/>
                <w:i/>
                <w:color w:val="92D050"/>
                <w:sz w:val="20"/>
                <w:szCs w:val="20"/>
              </w:rPr>
              <w:t>-6,8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-21,9</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322</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b/>
                <w:i/>
                <w:color w:val="92D050"/>
                <w:sz w:val="20"/>
                <w:szCs w:val="20"/>
                <w:lang w:eastAsia="en-US"/>
              </w:rPr>
            </w:pPr>
            <w:r>
              <w:rPr>
                <w:rFonts w:ascii="Times New Roman" w:eastAsia="Times New Roman" w:hAnsi="Times New Roman" w:cs="Times New Roman"/>
                <w:b/>
                <w:i/>
                <w:color w:val="92D050"/>
                <w:sz w:val="20"/>
                <w:szCs w:val="20"/>
                <w:lang w:eastAsia="en-US"/>
              </w:rPr>
              <w:t>730</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6.Доходы бюджета, млн. руб.</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5062,1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4363,4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4621,8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5000,5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5123,3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4824,9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5100,7</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106</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101</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keepNext/>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7.Расходы бюджета, млн. руб.</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5041,9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4132,1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4696,2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4764,9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5128,1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4903,7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5383,6</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110</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107</w:t>
            </w:r>
          </w:p>
        </w:tc>
      </w:tr>
    </w:tbl>
    <w:p w:rsidR="00CF0324" w:rsidRDefault="00CF0324">
      <w:pPr>
        <w:spacing w:line="276" w:lineRule="auto"/>
        <w:jc w:val="both"/>
      </w:pPr>
    </w:p>
    <w:p w:rsidR="00CF0324" w:rsidRDefault="00124A10">
      <w:pPr>
        <w:spacing w:line="276" w:lineRule="auto"/>
        <w:ind w:firstLine="708"/>
        <w:jc w:val="both"/>
      </w:pPr>
      <w:r>
        <w:t>Социально-экономические изменения, курс на рост заработной платы в сфере образования и культуры, сказались и на структуре расходов местного бюджета, которая показывает его социальную ориентацию, нацеленность на повышение качества жизни населения. Стабильно наибольший удельный вес занимают расходы на образование (около 52,7% в 2022 году). На втором месте в структуре расходов «общегосударственные расходы» -12,5%. Расходы по разделу «жилищно-коммунальное хозяйство» занимают 11,7% - это третье место в структуре расходов бюджета. Таким образом, расходы направляются по важнейшим направлениям социально-экономического развития района. Положительная динамика расходов и доходов местного бюджета увеличивает бюджетную обеспеченность, расширяет возможности местной власти по достижению параметров социально-экономического развития.</w:t>
      </w:r>
    </w:p>
    <w:p w:rsidR="00CF0324" w:rsidRDefault="00CF0324">
      <w:pPr>
        <w:spacing w:line="276" w:lineRule="auto"/>
        <w:ind w:firstLine="708"/>
        <w:jc w:val="both"/>
      </w:pPr>
    </w:p>
    <w:p w:rsidR="00CF0324" w:rsidRPr="00124A10" w:rsidRDefault="00124A10">
      <w:pPr>
        <w:pStyle w:val="2"/>
        <w:jc w:val="left"/>
        <w:rPr>
          <w:b w:val="0"/>
          <w:i/>
          <w:sz w:val="24"/>
          <w:lang w:val="ru-RU"/>
        </w:rPr>
      </w:pPr>
      <w:bookmarkStart w:id="26" w:name="_Toc26"/>
      <w:r w:rsidRPr="00124A10">
        <w:rPr>
          <w:b w:val="0"/>
          <w:i/>
          <w:sz w:val="24"/>
          <w:lang w:val="ru-RU"/>
        </w:rPr>
        <w:t>1.17. Экология и охрана окружающей среды</w:t>
      </w:r>
      <w:bookmarkEnd w:id="26"/>
    </w:p>
    <w:p w:rsidR="00CF0324" w:rsidRDefault="00124A10">
      <w:pPr>
        <w:spacing w:line="276" w:lineRule="auto"/>
        <w:ind w:firstLine="708"/>
        <w:jc w:val="both"/>
      </w:pPr>
      <w:r>
        <w:t>Экологическая ситуация в Кондинском районе является достаточно сложной. Почвы и почвенный покров района характеризуются высокой обводненностью и чрезвычайно сильной заболоченностью. Слабая дренированность в сочетании с атмосферной пере увлажнённостью способствует застою почвенно-грунтовых вод и определяют невысокий потенциал самоочищения почв от техногенных загрязнителей. Захламление и загрязнение коммунальными и производственными отходами, сброс на рельеф неочищенных сточных вод, нефтедобыча приводят к нарушению земель. Многие свалки, особенно поселковые, организовывают жители, в том числе непосредственно возле площадок твердых коммунальных отходов (далее – ТКО), что свидетельствует о низкой экологической культуре.</w:t>
      </w:r>
    </w:p>
    <w:p w:rsidR="00CF0324" w:rsidRDefault="00124A10">
      <w:pPr>
        <w:spacing w:line="276" w:lineRule="auto"/>
        <w:ind w:firstLine="709"/>
        <w:jc w:val="both"/>
      </w:pPr>
      <w:r>
        <w:t>В 2022 году проведены мероприятия по ликвидации 19 мест несанкционированного размещения отходов, в том числе на землях лесного фонда 13 мест и 6 - на территориях населенных пунктов района:</w:t>
      </w:r>
    </w:p>
    <w:p w:rsidR="00CF0324" w:rsidRDefault="00124A10">
      <w:pPr>
        <w:spacing w:line="276" w:lineRule="auto"/>
        <w:ind w:firstLine="709"/>
        <w:jc w:val="both"/>
      </w:pPr>
      <w:r>
        <w:t>12 мест захламления, расположенных на землях лесного фонда, ликвидированы территориальными отделами – Кондинским и Урайским лесничествами Департамента недропользования и природных ресурсов Ханты-Мансийского автономного округа-Югры;</w:t>
      </w:r>
    </w:p>
    <w:p w:rsidR="00CF0324" w:rsidRDefault="00124A10">
      <w:pPr>
        <w:spacing w:line="276" w:lineRule="auto"/>
        <w:ind w:firstLine="709"/>
        <w:jc w:val="both"/>
      </w:pPr>
      <w:r>
        <w:lastRenderedPageBreak/>
        <w:t>1 несанкционированная свалка, расположенная на землях лесного фонда (гп. Луговой), ликвидирована органами местного самоуправления в рамках исполнения решения Кондинского районного суда;</w:t>
      </w:r>
    </w:p>
    <w:p w:rsidR="00CF0324" w:rsidRDefault="00124A10">
      <w:pPr>
        <w:spacing w:line="276" w:lineRule="auto"/>
        <w:ind w:firstLine="709"/>
        <w:jc w:val="both"/>
      </w:pPr>
      <w:r>
        <w:t>5 мест захламления, расположенных на землях населенных пунктов, ликвидированы органами местного самоуправления;</w:t>
      </w:r>
    </w:p>
    <w:p w:rsidR="00CF0324" w:rsidRDefault="00124A10">
      <w:pPr>
        <w:spacing w:line="276" w:lineRule="auto"/>
        <w:ind w:firstLine="709"/>
        <w:jc w:val="both"/>
      </w:pPr>
      <w:r>
        <w:t>1 несанкционированная свалка, расположенная на землях сельско-хозяйственного назначения (п. Лиственичный), ликвидирована органами местного самоуправления в рамках исполнения решения Кондинского районного суда.</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1.33. – Динамика показателей экологической обстановки в Кондинском районе</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766"/>
        <w:gridCol w:w="766"/>
        <w:gridCol w:w="766"/>
        <w:gridCol w:w="766"/>
        <w:gridCol w:w="766"/>
        <w:gridCol w:w="766"/>
        <w:gridCol w:w="766"/>
        <w:gridCol w:w="712"/>
        <w:gridCol w:w="747"/>
      </w:tblGrid>
      <w:tr w:rsidR="00CF0324">
        <w:tc>
          <w:tcPr>
            <w:tcW w:w="2943"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362"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Годы</w:t>
            </w:r>
          </w:p>
        </w:tc>
        <w:tc>
          <w:tcPr>
            <w:tcW w:w="1459"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2943"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2022</w:t>
            </w:r>
          </w:p>
        </w:tc>
        <w:tc>
          <w:tcPr>
            <w:tcW w:w="712"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47"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xml:space="preserve">. </w:t>
            </w:r>
            <w:r>
              <w:rPr>
                <w:rFonts w:ascii="Times New Roman" w:hAnsi="Times New Roman" w:cs="Times New Roman"/>
              </w:rPr>
              <w:t>Количество свалок, единиц</w:t>
            </w:r>
            <w:r>
              <w:rPr>
                <w:rStyle w:val="16"/>
              </w:rPr>
              <w:footnoteReference w:id="40"/>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Style w:val="16"/>
                <w:rFonts w:eastAsia="Times New Roman"/>
                <w:sz w:val="20"/>
                <w:szCs w:val="20"/>
                <w:lang w:eastAsia="en-US"/>
              </w:rPr>
              <w:footnoteReference w:id="41"/>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2.Площадь земель, находящихся под свалками, га</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54,74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48,45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46,45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33,87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33,87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13,87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11,87</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85</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3.Накоплено отходов на свалках, тыс. тонн</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724,7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699,9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701,2</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604,7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604,7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372,5</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348,0</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93</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48</w:t>
            </w:r>
          </w:p>
        </w:tc>
      </w:tr>
      <w:tr w:rsidR="00CF0324">
        <w:tc>
          <w:tcPr>
            <w:tcW w:w="2943"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4.Текущие затраты на охрану окружающей среды, включая оплату услуг природоохранного назначения, млн. руб.</w:t>
            </w:r>
            <w:r>
              <w:rPr>
                <w:rStyle w:val="16"/>
                <w:rFonts w:eastAsia="Times New Roman"/>
                <w:sz w:val="20"/>
                <w:szCs w:val="20"/>
                <w:lang w:eastAsia="en-US"/>
              </w:rPr>
              <w:footnoteReference w:id="42"/>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108,3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55,8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208,8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153,9</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771,3</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894,7</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222,7</w:t>
            </w:r>
          </w:p>
        </w:tc>
        <w:tc>
          <w:tcPr>
            <w:tcW w:w="712"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25</w:t>
            </w:r>
          </w:p>
        </w:tc>
        <w:tc>
          <w:tcPr>
            <w:tcW w:w="74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206</w:t>
            </w:r>
          </w:p>
        </w:tc>
      </w:tr>
    </w:tbl>
    <w:p w:rsidR="00CF0324" w:rsidRDefault="00CF0324">
      <w:pPr>
        <w:spacing w:line="276" w:lineRule="auto"/>
        <w:jc w:val="both"/>
      </w:pPr>
    </w:p>
    <w:p w:rsidR="00CF0324" w:rsidRDefault="00124A10">
      <w:pPr>
        <w:spacing w:line="276" w:lineRule="auto"/>
        <w:ind w:firstLine="708"/>
        <w:jc w:val="both"/>
      </w:pPr>
      <w:r>
        <w:t>На территории Кондинского района функционируют объекты размещения отходов:</w:t>
      </w:r>
    </w:p>
    <w:p w:rsidR="00CF0324" w:rsidRDefault="00124A10">
      <w:pPr>
        <w:numPr>
          <w:ilvl w:val="0"/>
          <w:numId w:val="15"/>
        </w:numPr>
        <w:spacing w:line="276" w:lineRule="auto"/>
        <w:jc w:val="both"/>
      </w:pPr>
      <w:r>
        <w:t>2 межпоселенческих полигона твердых коммунальных отходов:</w:t>
      </w:r>
    </w:p>
    <w:p w:rsidR="00CF0324" w:rsidRDefault="00124A10">
      <w:pPr>
        <w:spacing w:line="276" w:lineRule="auto"/>
        <w:ind w:firstLine="708"/>
        <w:jc w:val="both"/>
      </w:pPr>
      <w:r>
        <w:t>в пгт.Междуреченский с площадью складирования 10 га и сроком окончания эксплуатации в 2029 году;</w:t>
      </w:r>
    </w:p>
    <w:p w:rsidR="00CF0324" w:rsidRDefault="00124A10">
      <w:pPr>
        <w:spacing w:line="276" w:lineRule="auto"/>
        <w:ind w:firstLine="708"/>
        <w:jc w:val="both"/>
      </w:pPr>
      <w:r>
        <w:t>в пгт. Мортка с площадью складирования 4 га и сроком окончания эксплуатации в 2038 году;</w:t>
      </w:r>
    </w:p>
    <w:p w:rsidR="00CF0324" w:rsidRDefault="00124A10">
      <w:pPr>
        <w:numPr>
          <w:ilvl w:val="0"/>
          <w:numId w:val="15"/>
        </w:numPr>
        <w:spacing w:line="276" w:lineRule="auto"/>
        <w:ind w:left="0" w:firstLine="426"/>
        <w:jc w:val="both"/>
      </w:pPr>
      <w:r>
        <w:t>Полигон в границах Кондинского месторождения АО «НК Конданефть» с площадью складирования 8,6 га и сроком окончания эксплуатации в 2046 году;</w:t>
      </w:r>
    </w:p>
    <w:p w:rsidR="00CF0324" w:rsidRDefault="00124A10">
      <w:pPr>
        <w:numPr>
          <w:ilvl w:val="0"/>
          <w:numId w:val="15"/>
        </w:numPr>
        <w:spacing w:line="276" w:lineRule="auto"/>
        <w:ind w:left="0" w:firstLine="426"/>
        <w:jc w:val="both"/>
      </w:pPr>
      <w:r>
        <w:t>Полигон промышленных отходов Мортымья-Тетеревского лицензионного участка с площадью складирования 7,6 га и сроком окончания эксплуатации в 2043 году.</w:t>
      </w:r>
    </w:p>
    <w:p w:rsidR="00CF0324" w:rsidRDefault="00124A10">
      <w:pPr>
        <w:spacing w:line="276" w:lineRule="auto"/>
        <w:ind w:firstLine="708"/>
        <w:jc w:val="both"/>
        <w:rPr>
          <w:color w:val="000000"/>
          <w:shd w:val="clear" w:color="auto" w:fill="FFFFFF"/>
        </w:rPr>
      </w:pPr>
      <w:r>
        <w:t xml:space="preserve">На территории Кондинского района сбором и утилизацией ТКО занимается </w:t>
      </w:r>
      <w:r>
        <w:rPr>
          <w:color w:val="000000"/>
          <w:shd w:val="clear" w:color="auto" w:fill="FFFFFF"/>
        </w:rPr>
        <w:t>региональный оператор по обращению с твердыми коммунальными отходами на территории Ханты - Мансийского автономного округа – Югры акционерное общество «Югра-Экология». За 2022 год предоставлено услуг населению на 29,2 млн. руб. (106,1% к 2021 году) и собрано ТКО в объеме 38,6 тыс. кум. м., что составило 105,9% в сравнении с 2021 годом.</w:t>
      </w:r>
    </w:p>
    <w:p w:rsidR="00CF0324" w:rsidRDefault="00124A10">
      <w:pPr>
        <w:spacing w:line="276" w:lineRule="auto"/>
        <w:ind w:firstLine="708"/>
        <w:jc w:val="both"/>
      </w:pPr>
      <w:r>
        <w:t>В Кондинском районе 514 мест накопления твердых коммунальных отходов с использованием контейнерных площадок. По данным проведенной оценке, 244 контейнерные площадки или 41,7% соответствуют требованиям федерального законодательства и законодательства Ханты-Мансийского автономного округа – Югры.</w:t>
      </w:r>
    </w:p>
    <w:p w:rsidR="00CF0324" w:rsidRDefault="00124A10">
      <w:pPr>
        <w:spacing w:line="276" w:lineRule="auto"/>
        <w:ind w:firstLine="708"/>
        <w:jc w:val="both"/>
        <w:rPr>
          <w:color w:val="000000"/>
        </w:rPr>
      </w:pPr>
      <w:r>
        <w:rPr>
          <w:color w:val="000000"/>
          <w:shd w:val="clear" w:color="auto" w:fill="FFFFFF"/>
        </w:rPr>
        <w:lastRenderedPageBreak/>
        <w:t>За период 2010-2020 годы на 15 крупных водотоках Югры зафиксировано 229 случаев высокого (ВЗ) и экстремально высокого (ЭВЗ) загрязнения поверхностных вод </w:t>
      </w:r>
      <w:r>
        <w:rPr>
          <w:rStyle w:val="16"/>
          <w:color w:val="000000"/>
          <w:shd w:val="clear" w:color="auto" w:fill="FFFFFF"/>
        </w:rPr>
        <w:footnoteReference w:id="43"/>
      </w:r>
      <w:r>
        <w:rPr>
          <w:color w:val="000000"/>
          <w:shd w:val="clear" w:color="auto" w:fill="FFFFFF"/>
        </w:rPr>
        <w:t xml:space="preserve">, из них 17% зафиксировано на реке Конда: </w:t>
      </w:r>
      <w:r>
        <w:rPr>
          <w:color w:val="000000"/>
        </w:rPr>
        <w:t>Выкатное (3 случая), Урай (30 случаев), Болчары (4 случая), Выкатной (1 случай).</w:t>
      </w:r>
    </w:p>
    <w:p w:rsidR="00CF0324" w:rsidRDefault="00124A10">
      <w:pPr>
        <w:spacing w:line="276" w:lineRule="auto"/>
        <w:ind w:firstLine="708"/>
        <w:jc w:val="both"/>
        <w:rPr>
          <w:color w:val="212529"/>
          <w:shd w:val="clear" w:color="auto" w:fill="F6F6F6"/>
        </w:rPr>
      </w:pPr>
      <w:r>
        <w:rPr>
          <w:color w:val="000000"/>
        </w:rPr>
        <w:t xml:space="preserve">Согласно экологическому мониторингу </w:t>
      </w:r>
      <w:r>
        <w:rPr>
          <w:bCs/>
          <w:shd w:val="clear" w:color="auto" w:fill="F6F6F6"/>
        </w:rPr>
        <w:t>Ханты - Мансийского Центра по Гидрометеорологии и Мониторингу Окружающей Среды</w:t>
      </w:r>
      <w:r>
        <w:rPr>
          <w:rStyle w:val="16"/>
          <w:color w:val="000000"/>
        </w:rPr>
        <w:footnoteReference w:id="44"/>
      </w:r>
      <w:r>
        <w:rPr>
          <w:color w:val="000000"/>
        </w:rPr>
        <w:t xml:space="preserve"> степень загрязненности природных вод по водным объектам «река Конда – выше г. Урай» и «река Конда – ниже г. Урай» отнесена к 4А классу (грязная) за 2022 год. </w:t>
      </w:r>
      <w:r>
        <w:rPr>
          <w:color w:val="212529"/>
          <w:shd w:val="clear" w:color="auto" w:fill="F6F6F6"/>
        </w:rPr>
        <w:t>Характерными загрязняющими веществами на территории Ханты-Мансийского автономного округа – Югры являются тяжелые металлы (железо общее, медь, цинк, марганец), ХПК.</w:t>
      </w:r>
    </w:p>
    <w:p w:rsidR="00CF0324" w:rsidRDefault="00124A10">
      <w:pPr>
        <w:spacing w:line="276" w:lineRule="auto"/>
        <w:ind w:firstLine="708"/>
        <w:jc w:val="both"/>
      </w:pPr>
      <w:r>
        <w:t>За 2016-2022 годы выбросы загрязняющих веществ в атмосферу Кондинского района увеличились почти в 4 раза и составили 55,2 тыс. тонн (таблица 1.34).</w:t>
      </w:r>
    </w:p>
    <w:p w:rsidR="00CF0324" w:rsidRDefault="00124A10">
      <w:pPr>
        <w:pStyle w:val="2a"/>
        <w:shd w:val="clear" w:color="auto" w:fill="FEFEFE"/>
        <w:tabs>
          <w:tab w:val="right" w:pos="9344"/>
        </w:tabs>
        <w:spacing w:before="24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Таблица 1.34. – Динамика показателя – выбросы загрязняющих веществ в атмосферу в Кондинском районе</w:t>
      </w: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766"/>
        <w:gridCol w:w="766"/>
        <w:gridCol w:w="766"/>
        <w:gridCol w:w="782"/>
        <w:gridCol w:w="766"/>
        <w:gridCol w:w="766"/>
        <w:gridCol w:w="766"/>
        <w:gridCol w:w="687"/>
        <w:gridCol w:w="719"/>
      </w:tblGrid>
      <w:tr w:rsidR="00CF0324">
        <w:tc>
          <w:tcPr>
            <w:tcW w:w="3085" w:type="dxa"/>
            <w:vMerge w:val="restart"/>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Показатели</w:t>
            </w:r>
          </w:p>
        </w:tc>
        <w:tc>
          <w:tcPr>
            <w:tcW w:w="5378" w:type="dxa"/>
            <w:gridSpan w:val="7"/>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en-US"/>
              </w:rPr>
              <w:t>Годы</w:t>
            </w:r>
          </w:p>
        </w:tc>
        <w:tc>
          <w:tcPr>
            <w:tcW w:w="1406" w:type="dxa"/>
            <w:gridSpan w:val="2"/>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Темп роста, %</w:t>
            </w:r>
          </w:p>
        </w:tc>
      </w:tr>
      <w:tr w:rsidR="00CF0324">
        <w:tc>
          <w:tcPr>
            <w:tcW w:w="3085" w:type="dxa"/>
            <w:vMerge/>
            <w:tcBorders>
              <w:top w:val="single" w:sz="4" w:space="0" w:color="000000"/>
              <w:left w:val="single" w:sz="4" w:space="0" w:color="000000"/>
              <w:bottom w:val="single" w:sz="4" w:space="0" w:color="000000"/>
              <w:right w:val="single" w:sz="4" w:space="0" w:color="000000"/>
            </w:tcBorders>
            <w:vAlign w:val="center"/>
          </w:tcPr>
          <w:p w:rsidR="00CF0324" w:rsidRDefault="00CF0324">
            <w:pPr>
              <w:rPr>
                <w:sz w:val="20"/>
                <w:szCs w:val="20"/>
                <w:lang w:eastAsia="en-US"/>
              </w:rPr>
            </w:pP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2016</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2017</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2018</w:t>
            </w:r>
          </w:p>
        </w:tc>
        <w:tc>
          <w:tcPr>
            <w:tcW w:w="782"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2019</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pStyle w:val="1b"/>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2020</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sz w:val="20"/>
                <w:szCs w:val="20"/>
              </w:rPr>
              <w:t>2021</w:t>
            </w:r>
          </w:p>
        </w:tc>
        <w:tc>
          <w:tcPr>
            <w:tcW w:w="766"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sz w:val="20"/>
                <w:szCs w:val="20"/>
              </w:rPr>
              <w:t>2022</w:t>
            </w:r>
          </w:p>
        </w:tc>
        <w:tc>
          <w:tcPr>
            <w:tcW w:w="687"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lang w:val="en-US"/>
              </w:rPr>
            </w:pPr>
            <w:r>
              <w:rPr>
                <w:bCs/>
                <w:sz w:val="20"/>
                <w:szCs w:val="20"/>
              </w:rPr>
              <w:t>2022</w:t>
            </w:r>
            <w:r>
              <w:rPr>
                <w:bCs/>
                <w:sz w:val="20"/>
                <w:szCs w:val="20"/>
                <w:lang w:val="en-US"/>
              </w:rPr>
              <w:t>/</w:t>
            </w:r>
            <w:r>
              <w:rPr>
                <w:bCs/>
                <w:sz w:val="20"/>
                <w:szCs w:val="20"/>
              </w:rPr>
              <w:t xml:space="preserve"> 2021</w:t>
            </w:r>
          </w:p>
        </w:tc>
        <w:tc>
          <w:tcPr>
            <w:tcW w:w="719" w:type="dxa"/>
            <w:tcBorders>
              <w:top w:val="single" w:sz="4" w:space="0" w:color="000000"/>
              <w:left w:val="single" w:sz="4" w:space="0" w:color="000000"/>
              <w:bottom w:val="single" w:sz="4" w:space="0" w:color="000000"/>
              <w:right w:val="single" w:sz="4" w:space="0" w:color="000000"/>
            </w:tcBorders>
          </w:tcPr>
          <w:p w:rsidR="00CF0324" w:rsidRDefault="00124A10">
            <w:pPr>
              <w:spacing w:line="276" w:lineRule="auto"/>
              <w:jc w:val="center"/>
              <w:rPr>
                <w:sz w:val="20"/>
                <w:szCs w:val="20"/>
              </w:rPr>
            </w:pPr>
            <w:r>
              <w:rPr>
                <w:bCs/>
                <w:sz w:val="20"/>
                <w:szCs w:val="20"/>
              </w:rPr>
              <w:t>2022</w:t>
            </w:r>
            <w:r>
              <w:rPr>
                <w:bCs/>
                <w:sz w:val="20"/>
                <w:szCs w:val="20"/>
                <w:lang w:val="en-US"/>
              </w:rPr>
              <w:t>/</w:t>
            </w:r>
            <w:r>
              <w:rPr>
                <w:bCs/>
                <w:sz w:val="20"/>
                <w:szCs w:val="20"/>
              </w:rPr>
              <w:t xml:space="preserve"> 2016</w:t>
            </w:r>
          </w:p>
        </w:tc>
      </w:tr>
      <w:tr w:rsidR="00CF0324">
        <w:tc>
          <w:tcPr>
            <w:tcW w:w="3085" w:type="dxa"/>
            <w:tcBorders>
              <w:top w:val="single" w:sz="4" w:space="0" w:color="000000"/>
              <w:left w:val="single" w:sz="4" w:space="0" w:color="000000"/>
              <w:bottom w:val="single" w:sz="4" w:space="0" w:color="000000"/>
              <w:right w:val="single" w:sz="4" w:space="0" w:color="000000"/>
            </w:tcBorders>
          </w:tcPr>
          <w:p w:rsidR="00CF0324" w:rsidRDefault="00124A10">
            <w:pPr>
              <w:pStyle w:val="1b"/>
              <w:widowControl w:val="0"/>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Pr>
                <w:rFonts w:ascii="Times New Roman" w:hAnsi="Times New Roman" w:cs="Times New Roman"/>
                <w:iCs/>
                <w:sz w:val="20"/>
                <w:szCs w:val="20"/>
              </w:rPr>
              <w:t xml:space="preserve">. </w:t>
            </w:r>
            <w:r>
              <w:rPr>
                <w:rFonts w:ascii="Times New Roman" w:hAnsi="Times New Roman" w:cs="Times New Roman"/>
              </w:rPr>
              <w:t xml:space="preserve">Выбросы </w:t>
            </w:r>
            <w:r>
              <w:rPr>
                <w:rFonts w:ascii="Times New Roman" w:eastAsia="Times New Roman" w:hAnsi="Times New Roman" w:cs="Times New Roman"/>
                <w:sz w:val="24"/>
                <w:szCs w:val="24"/>
              </w:rPr>
              <w:t>загрязняющих веществ в атмосферу, тыс. тонн</w:t>
            </w:r>
            <w:r>
              <w:rPr>
                <w:rStyle w:val="16"/>
                <w:rFonts w:eastAsia="Times New Roman"/>
                <w:sz w:val="24"/>
                <w:szCs w:val="24"/>
              </w:rPr>
              <w:footnoteReference w:id="45"/>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14,124</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12,361</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30,941</w:t>
            </w:r>
          </w:p>
        </w:tc>
        <w:tc>
          <w:tcPr>
            <w:tcW w:w="782" w:type="dxa"/>
            <w:tcBorders>
              <w:top w:val="single" w:sz="4" w:space="0" w:color="000000"/>
              <w:left w:val="single" w:sz="4" w:space="0" w:color="000000"/>
              <w:bottom w:val="single" w:sz="4" w:space="0" w:color="000000"/>
              <w:right w:val="single" w:sz="4" w:space="0" w:color="000000"/>
            </w:tcBorders>
            <w:vAlign w:val="center"/>
          </w:tcPr>
          <w:p w:rsidR="00CF0324" w:rsidRDefault="00124A10">
            <w:pPr>
              <w:spacing w:line="276" w:lineRule="auto"/>
              <w:jc w:val="center"/>
              <w:rPr>
                <w:sz w:val="20"/>
                <w:szCs w:val="20"/>
              </w:rPr>
            </w:pPr>
            <w:r>
              <w:rPr>
                <w:sz w:val="20"/>
                <w:szCs w:val="20"/>
              </w:rPr>
              <w:t>11,130</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29,098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73,438</w:t>
            </w:r>
          </w:p>
        </w:tc>
        <w:tc>
          <w:tcPr>
            <w:tcW w:w="766"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55,280</w:t>
            </w:r>
          </w:p>
        </w:tc>
        <w:tc>
          <w:tcPr>
            <w:tcW w:w="687"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75</w:t>
            </w:r>
          </w:p>
        </w:tc>
        <w:tc>
          <w:tcPr>
            <w:tcW w:w="719" w:type="dxa"/>
            <w:tcBorders>
              <w:top w:val="single" w:sz="4" w:space="0" w:color="000000"/>
              <w:left w:val="single" w:sz="4" w:space="0" w:color="000000"/>
              <w:bottom w:val="single" w:sz="4" w:space="0" w:color="000000"/>
              <w:right w:val="single" w:sz="4" w:space="0" w:color="000000"/>
            </w:tcBorders>
            <w:vAlign w:val="center"/>
          </w:tcPr>
          <w:p w:rsidR="00CF0324" w:rsidRDefault="00124A10">
            <w:pPr>
              <w:pStyle w:val="1b"/>
              <w:keepNext/>
              <w:spacing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391</w:t>
            </w:r>
          </w:p>
        </w:tc>
      </w:tr>
    </w:tbl>
    <w:p w:rsidR="00CF0324" w:rsidRDefault="00124A10">
      <w:pPr>
        <w:spacing w:before="240" w:line="276" w:lineRule="auto"/>
        <w:ind w:firstLine="708"/>
        <w:jc w:val="both"/>
        <w:rPr>
          <w:rFonts w:eastAsia="TimesNewRomanPSMT"/>
          <w:iCs/>
        </w:rPr>
      </w:pPr>
      <w:r>
        <w:rPr>
          <w:rFonts w:eastAsia="TimesNewRomanPSMT"/>
          <w:iCs/>
        </w:rPr>
        <w:t xml:space="preserve">Проблемы Кондинского района в сфере обеспечения охраны окружающей среды и экологической безопасности: состояние воды в реке Конда характеризуется как неблагополучное (вода отнесена к категории «грязная», «очень загрязненная»), ее качество не удовлетворяет требованиям рыбохозяйственного, хозяйственно-питьевого и культурно-бытового водопользования; </w:t>
      </w:r>
      <w:r>
        <w:t>повышенное содержание нефтепродуктов в поверхностных водах на территории района;</w:t>
      </w:r>
    </w:p>
    <w:p w:rsidR="00CF0324" w:rsidRDefault="00124A10">
      <w:pPr>
        <w:spacing w:line="276" w:lineRule="auto"/>
        <w:ind w:firstLine="708"/>
        <w:jc w:val="both"/>
      </w:pPr>
      <w:r>
        <w:t xml:space="preserve">не соответствующее нормативным требованиям по загрязнению состояние почв, что обусловлено авариями на нефтепроводах, высоким уровнем захламления и загрязнения коммунальными и производственными отходами, сбросом на рельеф неочищенных сточных вод; значительны выбросы вредных веществ в атмосферный воздух с объектов ЖКХ (котельных, работающих на нефти и угле); </w:t>
      </w:r>
    </w:p>
    <w:p w:rsidR="00CF0324" w:rsidRDefault="00124A10">
      <w:pPr>
        <w:spacing w:line="276" w:lineRule="auto"/>
        <w:ind w:firstLine="708"/>
        <w:jc w:val="both"/>
      </w:pPr>
      <w:r>
        <w:rPr>
          <w:rFonts w:eastAsia="TimesNewRomanPSMT"/>
          <w:iCs/>
        </w:rPr>
        <w:t>несоответствие объемов работ по лесовосстановлению, охране и защите лесов экологическому состоянию лесных массивов;</w:t>
      </w:r>
    </w:p>
    <w:p w:rsidR="00CF0324" w:rsidRDefault="00124A10">
      <w:pPr>
        <w:spacing w:line="276" w:lineRule="auto"/>
        <w:ind w:firstLine="708"/>
        <w:jc w:val="both"/>
        <w:rPr>
          <w:rFonts w:eastAsia="TimesNewRomanPSMT"/>
          <w:iCs/>
        </w:rPr>
      </w:pPr>
      <w:r>
        <w:rPr>
          <w:rFonts w:eastAsia="TimesNewRomanPSMT"/>
          <w:iCs/>
        </w:rPr>
        <w:t xml:space="preserve">недоиспользование расчетной лесосеки, особенно по мягколиственным породам, что ухудшает санитарное состояние лесов, уменьшает их защитные свойства и снижает эффективность лесохозяйственного производства; </w:t>
      </w:r>
    </w:p>
    <w:p w:rsidR="00CF0324" w:rsidRDefault="00124A10">
      <w:pPr>
        <w:spacing w:line="276" w:lineRule="auto"/>
        <w:ind w:firstLine="708"/>
        <w:jc w:val="both"/>
        <w:rPr>
          <w:rFonts w:eastAsia="TimesNewRomanPSMT"/>
          <w:iCs/>
        </w:rPr>
      </w:pPr>
      <w:r>
        <w:t>рост показателей заболеваемости среди детей по группам инфекционных и паразитарных болезней, болезни эндокринной системы, что в первую очередь связанно с эколого-водохозяйственной ситуацией;</w:t>
      </w:r>
      <w:r>
        <w:rPr>
          <w:rFonts w:eastAsia="TimesNewRomanPSMT"/>
          <w:iCs/>
        </w:rPr>
        <w:t xml:space="preserve"> </w:t>
      </w:r>
    </w:p>
    <w:p w:rsidR="00CF0324" w:rsidRDefault="00124A10">
      <w:pPr>
        <w:spacing w:line="276" w:lineRule="auto"/>
        <w:ind w:firstLine="708"/>
        <w:jc w:val="both"/>
        <w:rPr>
          <w:rFonts w:eastAsia="TimesNewRomanPSMT"/>
          <w:iCs/>
        </w:rPr>
      </w:pPr>
      <w:r>
        <w:rPr>
          <w:rFonts w:eastAsia="TimesNewRomanPSMT"/>
          <w:iCs/>
        </w:rPr>
        <w:lastRenderedPageBreak/>
        <w:t>недостаточный уровень озеленения и благоустройства населенных пунктов района, отсутствие парков и скверов.</w:t>
      </w:r>
    </w:p>
    <w:p w:rsidR="00CF0324" w:rsidRDefault="00124A10">
      <w:pPr>
        <w:spacing w:line="276" w:lineRule="auto"/>
        <w:ind w:firstLine="708"/>
        <w:jc w:val="both"/>
      </w:pPr>
      <w:r>
        <w:t>Экологическое благополучие – это основной фактор здоровья населения, развития туристической сферы в районе, в связи с этим организация системной работы обращения с отходами, выбросами в атмосферу требует первоочередных приоритетных мероприятий на территории района.</w:t>
      </w:r>
    </w:p>
    <w:p w:rsidR="00CF0324" w:rsidRDefault="00124A10">
      <w:pPr>
        <w:spacing w:line="276" w:lineRule="auto"/>
        <w:ind w:firstLine="708"/>
        <w:jc w:val="both"/>
      </w:pPr>
      <w:r>
        <w:t>Реализация программ обеспечения экологической безопасности в предшествующие периоды кардинально не изменила состояние окружающей среды района. Остаются нерешенными вопросы качества питьевой воды, хранения и переработки отходов, санитарного состояния территорий, экологического воспитания населения.</w:t>
      </w:r>
    </w:p>
    <w:p w:rsidR="00CF0324" w:rsidRDefault="00CF0324">
      <w:pPr>
        <w:spacing w:line="276" w:lineRule="auto"/>
        <w:ind w:firstLine="708"/>
        <w:jc w:val="both"/>
      </w:pPr>
    </w:p>
    <w:p w:rsidR="00CF0324" w:rsidRDefault="00124A10">
      <w:pPr>
        <w:pStyle w:val="2"/>
        <w:jc w:val="left"/>
        <w:rPr>
          <w:b w:val="0"/>
          <w:i/>
          <w:sz w:val="24"/>
          <w:lang w:val="ru-RU"/>
        </w:rPr>
      </w:pPr>
      <w:bookmarkStart w:id="27" w:name="_Toc27"/>
      <w:r w:rsidRPr="00124A10">
        <w:rPr>
          <w:b w:val="0"/>
          <w:i/>
          <w:sz w:val="24"/>
          <w:lang w:val="ru-RU"/>
        </w:rPr>
        <w:t>1.1</w:t>
      </w:r>
      <w:r>
        <w:rPr>
          <w:b w:val="0"/>
          <w:i/>
          <w:sz w:val="24"/>
          <w:lang w:val="ru-RU"/>
        </w:rPr>
        <w:t>8</w:t>
      </w:r>
      <w:r w:rsidRPr="00124A10">
        <w:rPr>
          <w:b w:val="0"/>
          <w:i/>
          <w:sz w:val="24"/>
          <w:lang w:val="ru-RU"/>
        </w:rPr>
        <w:t xml:space="preserve">. </w:t>
      </w:r>
      <w:r>
        <w:rPr>
          <w:b w:val="0"/>
          <w:i/>
          <w:sz w:val="24"/>
          <w:lang w:val="ru-RU"/>
        </w:rPr>
        <w:t>Социальное самочувствие</w:t>
      </w:r>
      <w:bookmarkEnd w:id="27"/>
    </w:p>
    <w:p w:rsidR="00CF0324" w:rsidRDefault="00124A10">
      <w:pPr>
        <w:spacing w:line="276" w:lineRule="auto"/>
        <w:ind w:firstLine="540"/>
        <w:jc w:val="both"/>
      </w:pPr>
      <w:r>
        <w:t xml:space="preserve">Опрос общественного мнения граждан Кондинского района показал, что изменилось за последние 10 лет, по мнению большинства граждан, </w:t>
      </w:r>
      <w:r>
        <w:rPr>
          <w:u w:val="single"/>
        </w:rPr>
        <w:t>в лучшую сторону:</w:t>
      </w:r>
      <w:r>
        <w:t xml:space="preserve"> </w:t>
      </w:r>
    </w:p>
    <w:p w:rsidR="00CF0324" w:rsidRDefault="00124A10">
      <w:pPr>
        <w:spacing w:line="276" w:lineRule="auto"/>
        <w:ind w:firstLine="540"/>
        <w:jc w:val="both"/>
      </w:pPr>
      <w:r>
        <w:t>качество продуктов питания (47,6%), дороги (54,5%), благоустройство (76,8%), работа торговых объектов и сферы услуг (50,8%), связь и интернет (65,3%), доступность и качество культурно-досуговых мероприятий (52,3%), доступность и качество услуг физической культуры и спорта (52,4%).</w:t>
      </w:r>
    </w:p>
    <w:p w:rsidR="00CF0324" w:rsidRDefault="00124A10">
      <w:pPr>
        <w:spacing w:line="276" w:lineRule="auto"/>
        <w:ind w:firstLine="708"/>
        <w:jc w:val="both"/>
      </w:pPr>
      <w:r>
        <w:t>Граждане, также отметили, что не изменилось: качество питьевой воды (48,3%), возможность трудоустройства (56,7%), условия труда (58,1%), уровень заработной платы (43,5%), жилищные условия (56,0%), работа общественного транспорта (55,4%), доступность и качество медицинских услуг (45,0%), доступность и качество образовательных услуг (47,5%), доступность среды для людей с ограничением по здоровью (49,0%), молодежная политика (49,9%), экология (49,5%), безопасность и правопорядок (55,0%), качество человеческих взаимоотношений (57,3%).</w:t>
      </w:r>
    </w:p>
    <w:p w:rsidR="00CF0324" w:rsidRDefault="00124A10">
      <w:pPr>
        <w:spacing w:line="276" w:lineRule="auto"/>
        <w:ind w:firstLine="708"/>
        <w:jc w:val="both"/>
      </w:pPr>
      <w:r>
        <w:t>Несмотря на позитивные оценки условий жизни, граждане отмечают и проблемы в развитии района. Основными проблемами, которые требуют первоочередного решения на территории района, граждане обозначили: уровень заработной платы, уровень доходов – 12,3%; доступность и качество медицинских услуг – 12,0%; возможность трудоустройства – 10,0%; качество питьевой воды – 9,0%; дороги – 8,7%; жилищные условия – 6,52%; экология – 5,3%.</w:t>
      </w:r>
    </w:p>
    <w:p w:rsidR="00CF0324" w:rsidRDefault="00124A10">
      <w:pPr>
        <w:spacing w:line="276" w:lineRule="auto"/>
        <w:ind w:firstLine="708"/>
        <w:jc w:val="both"/>
      </w:pPr>
      <w:r>
        <w:t xml:space="preserve">Приоритеты дальнейшего развития района местные жители распределяют следующим образом. Стратегическую цель развития Кондинского района большинство граждан, поддержало в повышении качества жизни населения – 59,9%. Основными секторами экономики района, которые улучшат качество жизни, граждане, определили: здравоохранение – 16,9%; сельское хозяйство -12,5%; строительство-11,3%; промышленность – 10,6%; образование – 9,1%. </w:t>
      </w:r>
    </w:p>
    <w:p w:rsidR="00CF0324" w:rsidRDefault="00124A10">
      <w:pPr>
        <w:spacing w:line="276" w:lineRule="auto"/>
        <w:ind w:firstLine="708"/>
        <w:jc w:val="both"/>
      </w:pPr>
      <w:r>
        <w:t>Отдельно большинство граждан отметили, что не устраивает и хотелось бы улучшить: это качество дорог, услуги здравоохранения, качество образования, экологию, высокие тарифы ЖКХ и завершение строительства дороги на г. Тюмень.</w:t>
      </w:r>
    </w:p>
    <w:p w:rsidR="00CF0324" w:rsidRDefault="00124A10">
      <w:pPr>
        <w:spacing w:before="240" w:line="276" w:lineRule="auto"/>
        <w:ind w:firstLine="709"/>
        <w:jc w:val="both"/>
        <w:rPr>
          <w:b/>
          <w:i/>
        </w:rPr>
      </w:pPr>
      <w:r>
        <w:rPr>
          <w:b/>
          <w:i/>
        </w:rPr>
        <w:t>Основные выводы по разделу.</w:t>
      </w:r>
    </w:p>
    <w:p w:rsidR="00CF0324" w:rsidRDefault="00124A10">
      <w:pPr>
        <w:spacing w:line="276" w:lineRule="auto"/>
        <w:ind w:firstLine="708"/>
        <w:jc w:val="both"/>
      </w:pPr>
      <w:r>
        <w:t>Географическое расположение, природно-климатические особенности и историческая специфика развития Кондинского района обусловливают недостаточную конкурентоспособность его экономики.</w:t>
      </w:r>
    </w:p>
    <w:p w:rsidR="00CF0324" w:rsidRDefault="00124A10">
      <w:pPr>
        <w:spacing w:line="276" w:lineRule="auto"/>
        <w:ind w:firstLine="708"/>
        <w:jc w:val="both"/>
      </w:pPr>
      <w:r>
        <w:lastRenderedPageBreak/>
        <w:t>Достижение целевых показателей Стратегии-2030 составило 43%, из 21 показателя достигнуто 9 показателей.</w:t>
      </w:r>
    </w:p>
    <w:p w:rsidR="00CF0324" w:rsidRDefault="00124A10">
      <w:pPr>
        <w:spacing w:line="276" w:lineRule="auto"/>
        <w:ind w:firstLine="708"/>
        <w:jc w:val="both"/>
      </w:pPr>
      <w:r>
        <w:t>По показателям социально-экономического развития (средняя заработная плата, бюджетная обеспеченность, развитие потребительского рынка и др.) Кондинский район отстает от большинства муниципалитетов Ханты-Мансийского автономного округа - Югры. В районе с разной степенью остроты проявляются все основные проблемы, присущие дотационным территориям. Среди них – вопросы изношенности и недостаточности развития жилищной, коммунальной, дорожно-транспортной, социальной и производственной инфраструктуры, занятости, нехватки квалифицированных кадров, неразвитости сервисных направлений. Устойчивость социально-экономического развития района и уровень бюджетной обеспеченности в значительной степени зависят от межбюджетных трансфертов.</w:t>
      </w:r>
    </w:p>
    <w:p w:rsidR="00CF0324" w:rsidRDefault="00124A10">
      <w:pPr>
        <w:spacing w:line="276" w:lineRule="auto"/>
        <w:ind w:firstLine="708"/>
        <w:jc w:val="both"/>
      </w:pPr>
      <w:r>
        <w:t xml:space="preserve">Промышленный сектор района моноспециализирован. Ключевой сферой промышленной деятельности является добыча нефти и газа. С другой стороны, </w:t>
      </w:r>
      <w:r>
        <w:rPr>
          <w:bCs/>
        </w:rPr>
        <w:t>природный потенциал территории характеризуется наличием</w:t>
      </w:r>
      <w:r>
        <w:t xml:space="preserve"> хвойных и лиственных лесных ресурсов, богатых животным миром, высокопродуктивными рыбными ресурсами, оптимальными условиями для произрастания дикоросов.</w:t>
      </w:r>
    </w:p>
    <w:p w:rsidR="00CF0324" w:rsidRDefault="00124A10">
      <w:pPr>
        <w:spacing w:line="276" w:lineRule="auto"/>
        <w:ind w:firstLine="708"/>
        <w:jc w:val="both"/>
      </w:pPr>
      <w:r>
        <w:t>В районе, помимо прочего, наблюдается дисбаланс между потребностями рынка труда и сложившейся структурой кадровых ресурсов, неблагоприятной остается демографическая ситуация. Данные факты свидетельствуют о наличии диспропорций развития, которые снижают эффективность районной экономики, ведут к неполному или недостаточно рациональному использованию производственных, финансовых, трудовых, природных и материальных ресурсов. В то же время следует отметить положительную тенденцию, связанную со структурными изменениями в численности трудоспособного населения в сторону увеличения доли занятых индивидуальным трудом и по найму у отдельных граждан, в том числе занятых в домашнем хозяйстве производством товаров и услуг для реализации (включая личное подсобное хозяйство).</w:t>
      </w:r>
    </w:p>
    <w:p w:rsidR="00CF0324" w:rsidRDefault="00124A10">
      <w:pPr>
        <w:spacing w:line="276" w:lineRule="auto"/>
        <w:ind w:firstLine="708"/>
        <w:jc w:val="both"/>
      </w:pPr>
      <w:r>
        <w:t>С другой стороны, в последние несколько лет общее положение в сфере сельскохозяйственного производства, в секторе малого и среднего предпринимательства является стабильным. Продолжается реализация проектов и программ в социальной сфере, растет бюджетная обеспеченность территории, стабилизируются показатели безработицы, развивается инфраструктура. В рамках реализации положений Указа Президента Российской Федерации (национальных проектов) получает дополнительное развитие социальная сфера – образование, здравоохранение, спорт, культура, молодежная политика, строительство жилья. Недавно сданные в эксплуатацию современные учреждения образования, здравоохранения и культуры не только позволяют существенно повысить качество социальных услуг, но также способствуют привлечению в район квалифицированных кадров. Таким образом, объекты социальной сферы становятся «точками роста», концентрируя одновременно активную часть населения и распространение инновационных знаний.</w:t>
      </w:r>
    </w:p>
    <w:p w:rsidR="00CF0324" w:rsidRDefault="00124A10">
      <w:pPr>
        <w:pStyle w:val="afff1"/>
      </w:pPr>
      <w:bookmarkStart w:id="28" w:name="_Toc28"/>
      <w:r>
        <w:br w:type="page" w:clear="all"/>
      </w:r>
      <w:r>
        <w:lastRenderedPageBreak/>
        <w:t xml:space="preserve">РАЗДЕЛ 2. АНАЛИЗ И ОЦЕНКА ВНЕШНИХ И ВНУТРЕННИХ ОГРАНИЧЕНИЙ РАЗВИТИЯ, </w:t>
      </w:r>
      <w:r>
        <w:rPr>
          <w:lang w:val="en-US"/>
        </w:rPr>
        <w:t>SWOT</w:t>
      </w:r>
      <w:r>
        <w:t xml:space="preserve">-АНАЛИЗ, </w:t>
      </w:r>
      <w:r>
        <w:rPr>
          <w:lang w:val="en-US"/>
        </w:rPr>
        <w:t>PEST</w:t>
      </w:r>
      <w:r>
        <w:t xml:space="preserve">-АНАЛИЗ, КОНКУРЕНТНЫЕ ПРЕИМУЩЕСТВА КОНДИНСКОГО РАЙОНА </w:t>
      </w:r>
      <w:bookmarkEnd w:id="28"/>
    </w:p>
    <w:p w:rsidR="00CF0324" w:rsidRPr="00124A10" w:rsidRDefault="00124A10">
      <w:pPr>
        <w:pStyle w:val="1"/>
        <w:rPr>
          <w:lang w:val="ru-RU"/>
        </w:rPr>
      </w:pPr>
      <w:bookmarkStart w:id="29" w:name="_Toc29"/>
      <w:r>
        <w:rPr>
          <w:lang w:val="ru-RU"/>
        </w:rPr>
        <w:t>2</w:t>
      </w:r>
      <w:r w:rsidRPr="00124A10">
        <w:rPr>
          <w:lang w:val="ru-RU"/>
        </w:rPr>
        <w:t xml:space="preserve">.1. </w:t>
      </w:r>
      <w:r>
        <w:t>SWOT</w:t>
      </w:r>
      <w:r w:rsidRPr="00124A10">
        <w:rPr>
          <w:lang w:val="ru-RU"/>
        </w:rPr>
        <w:t>-анализ</w:t>
      </w:r>
      <w:bookmarkEnd w:id="29"/>
    </w:p>
    <w:p w:rsidR="00CF0324" w:rsidRDefault="00124A10">
      <w:pPr>
        <w:widowControl w:val="0"/>
        <w:spacing w:line="276" w:lineRule="auto"/>
        <w:ind w:firstLine="709"/>
        <w:jc w:val="both"/>
      </w:pPr>
      <w:r>
        <w:t>Определяющие факторы, оказывающих наибольшее влияние на развитие Кондинского района выделены в сильные и слабые стороны, определены возможности и угрозы (таблица 2.1.).</w:t>
      </w:r>
    </w:p>
    <w:p w:rsidR="00CF0324" w:rsidRDefault="00124A10">
      <w:pPr>
        <w:widowControl w:val="0"/>
        <w:spacing w:line="276" w:lineRule="auto"/>
        <w:ind w:firstLine="709"/>
        <w:jc w:val="both"/>
        <w:rPr>
          <w:b/>
        </w:rPr>
      </w:pPr>
      <w:r>
        <w:rPr>
          <w:b/>
        </w:rPr>
        <w:t>Сильные стороны:</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богатейший природно-ресурсный потенциал, включающий крупнейшие в мире месторождения углеводородов, наличие значительных лесных массивов и водных ресурсов;</w:t>
      </w:r>
    </w:p>
    <w:p w:rsidR="00CF0324" w:rsidRDefault="00124A10">
      <w:pPr>
        <w:spacing w:line="276" w:lineRule="auto"/>
        <w:ind w:firstLine="708"/>
        <w:jc w:val="both"/>
      </w:pPr>
      <w:r>
        <w:t>«мягкий климат» в сочетании с уникальным ландшафтом озерно-речной системы и богатым животным миром;</w:t>
      </w:r>
    </w:p>
    <w:p w:rsidR="00CF0324" w:rsidRDefault="00124A10">
      <w:pPr>
        <w:spacing w:line="276" w:lineRule="auto"/>
        <w:ind w:firstLine="708"/>
        <w:jc w:val="both"/>
      </w:pPr>
      <w:r>
        <w:t>оптимальные условия для произрастания дикоросов;</w:t>
      </w:r>
    </w:p>
    <w:p w:rsidR="00CF0324" w:rsidRDefault="00124A10">
      <w:pPr>
        <w:pStyle w:val="BulletListFooterTextnumbered112-1"/>
        <w:widowControl w:val="0"/>
        <w:spacing w:after="0"/>
        <w:ind w:left="708" w:firstLine="1"/>
        <w:jc w:val="both"/>
        <w:rPr>
          <w:rFonts w:ascii="Times New Roman" w:hAnsi="Times New Roman" w:cs="Times New Roman"/>
          <w:iCs/>
          <w:sz w:val="24"/>
          <w:szCs w:val="24"/>
        </w:rPr>
      </w:pPr>
      <w:r>
        <w:rPr>
          <w:rFonts w:ascii="Times New Roman" w:hAnsi="Times New Roman" w:cs="Times New Roman"/>
          <w:iCs/>
          <w:sz w:val="24"/>
          <w:szCs w:val="24"/>
        </w:rPr>
        <w:t xml:space="preserve">наличие в районе пахотных земель и площадей хозяйственно не разработанных земель; </w:t>
      </w:r>
    </w:p>
    <w:p w:rsidR="00CF0324" w:rsidRDefault="00124A10">
      <w:pPr>
        <w:pStyle w:val="BulletListFooterTextnumbered112-1"/>
        <w:widowControl w:val="0"/>
        <w:spacing w:after="0"/>
        <w:ind w:left="708" w:firstLine="1"/>
        <w:jc w:val="both"/>
        <w:rPr>
          <w:rFonts w:ascii="Times New Roman" w:hAnsi="Times New Roman" w:cs="Times New Roman"/>
          <w:iCs/>
          <w:sz w:val="24"/>
          <w:szCs w:val="24"/>
        </w:rPr>
      </w:pPr>
      <w:r>
        <w:rPr>
          <w:rFonts w:ascii="Times New Roman" w:hAnsi="Times New Roman" w:cs="Times New Roman"/>
          <w:iCs/>
          <w:sz w:val="24"/>
          <w:szCs w:val="24"/>
        </w:rPr>
        <w:t>высокая доля сельского населения в сравнении со среднеокружным значением;</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высокая доля субъектов малого и среднего предпринимательства;</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наличие всех видов транспорта, близость к г. Екатеринбург и г. Тюмень;</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наличие развитой социальной инфраструктуры;</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богатое культурное наследие района;</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наличие активных граждан, популярность волонтерства.</w:t>
      </w:r>
    </w:p>
    <w:p w:rsidR="00CF0324" w:rsidRDefault="00124A10">
      <w:pPr>
        <w:pStyle w:val="BulletListFooterTextnumbered112-1"/>
        <w:widowControl w:val="0"/>
        <w:spacing w:before="240"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Слабые стороны:</w:t>
      </w:r>
    </w:p>
    <w:p w:rsidR="00CF0324" w:rsidRDefault="00124A10">
      <w:pPr>
        <w:spacing w:line="276" w:lineRule="auto"/>
        <w:ind w:firstLine="708"/>
        <w:jc w:val="both"/>
      </w:pPr>
      <w:r>
        <w:t>низкая продуктивность лесных ресурсов и сортность древесины;</w:t>
      </w:r>
    </w:p>
    <w:p w:rsidR="00CF0324" w:rsidRDefault="00124A10">
      <w:pPr>
        <w:pStyle w:val="BulletListFooterTextnumbered112-1"/>
        <w:widowControl w:val="0"/>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недостаточная степень изученности топливно-энергетических ресурсов и биоресурсов;</w:t>
      </w:r>
    </w:p>
    <w:p w:rsidR="00CF0324" w:rsidRDefault="00124A10">
      <w:pPr>
        <w:ind w:firstLine="708"/>
        <w:jc w:val="both"/>
      </w:pPr>
      <w:r>
        <w:t>кризисная демографическая ситуация: естественная убыль населения, отток молодежи, отсутствие миграционного притока, неравномерность расселения населения по территории района;</w:t>
      </w:r>
    </w:p>
    <w:p w:rsidR="00CF0324" w:rsidRDefault="00124A10">
      <w:pPr>
        <w:spacing w:line="276" w:lineRule="auto"/>
        <w:ind w:firstLine="708"/>
        <w:jc w:val="both"/>
      </w:pPr>
      <w:r>
        <w:t>большое количество несанкционированных свалок;</w:t>
      </w:r>
    </w:p>
    <w:p w:rsidR="00CF0324" w:rsidRDefault="00124A10">
      <w:pPr>
        <w:spacing w:line="276" w:lineRule="auto"/>
        <w:ind w:firstLine="708"/>
        <w:jc w:val="both"/>
      </w:pPr>
      <w:r>
        <w:t>недостаточная степень очистки бытовых сточных вод, отсутствие очистных сооружений;</w:t>
      </w:r>
    </w:p>
    <w:p w:rsidR="00CF0324" w:rsidRDefault="00124A10">
      <w:pPr>
        <w:pStyle w:val="BulletListFooterTextnumbered112-1"/>
        <w:widowControl w:val="0"/>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неудовлетворительное качество питьевой воды в отдельных населенных пунктах района;</w:t>
      </w:r>
    </w:p>
    <w:p w:rsidR="00CF0324" w:rsidRDefault="00124A10">
      <w:pPr>
        <w:pStyle w:val="BulletListFooterTextnumbered112-1"/>
        <w:widowControl w:val="0"/>
        <w:spacing w:after="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дотационности местного бюджета;</w:t>
      </w:r>
    </w:p>
    <w:p w:rsidR="00CF0324" w:rsidRDefault="00124A10">
      <w:pPr>
        <w:spacing w:line="276" w:lineRule="auto"/>
        <w:ind w:firstLine="708"/>
        <w:jc w:val="both"/>
      </w:pPr>
      <w:r>
        <w:t>сложная транспортно-логистическая схема, отсутствие автомобильной дороги круглогодичного действия на г. Тюмень;</w:t>
      </w:r>
    </w:p>
    <w:p w:rsidR="00CF0324" w:rsidRDefault="00124A10">
      <w:pPr>
        <w:spacing w:line="276" w:lineRule="auto"/>
        <w:ind w:firstLine="708"/>
        <w:jc w:val="both"/>
      </w:pPr>
      <w:r>
        <w:t>ограниченность емкости рынка, устаревшие технологии и оборудование;</w:t>
      </w:r>
    </w:p>
    <w:p w:rsidR="00CF0324" w:rsidRDefault="00124A10">
      <w:pPr>
        <w:spacing w:line="276" w:lineRule="auto"/>
        <w:ind w:firstLine="708"/>
        <w:jc w:val="both"/>
      </w:pPr>
      <w:r>
        <w:t xml:space="preserve">трудности в привлечении финансовых средств, </w:t>
      </w:r>
      <w:r>
        <w:rPr>
          <w:iCs/>
        </w:rPr>
        <w:t>низкая инвестиционная привлекательность несырьевых секторов экономики;</w:t>
      </w:r>
    </w:p>
    <w:p w:rsidR="00CF0324" w:rsidRDefault="00124A10">
      <w:pPr>
        <w:pStyle w:val="BulletListFooterTextnumbered112-1"/>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высокая изношенность основных фондов во многих отраслях экономики и социальной сферы;</w:t>
      </w:r>
    </w:p>
    <w:p w:rsidR="00CF0324" w:rsidRDefault="00124A10">
      <w:pPr>
        <w:pStyle w:val="BulletListFooterTextnumbered112-1"/>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концентрация экономической активности преимущественно в административном центре района, резкие диспропорции в социально-экономическом развитии городских и сельских поселений;</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высокий уровень негативного техногенного воздействия на природные комплексы; </w:t>
      </w:r>
    </w:p>
    <w:p w:rsidR="00CF0324" w:rsidRDefault="00124A10">
      <w:pPr>
        <w:pStyle w:val="BulletListFooterTextnumbered112-1"/>
        <w:widowControl w:val="0"/>
        <w:spacing w:after="0"/>
        <w:ind w:left="0" w:firstLine="709"/>
        <w:jc w:val="both"/>
        <w:rPr>
          <w:rFonts w:ascii="Times New Roman" w:hAnsi="Times New Roman" w:cs="Times New Roman"/>
          <w:iCs/>
          <w:sz w:val="24"/>
          <w:szCs w:val="24"/>
        </w:rPr>
      </w:pPr>
      <w:r>
        <w:rPr>
          <w:rFonts w:ascii="Times New Roman" w:hAnsi="Times New Roman" w:cs="Times New Roman"/>
          <w:iCs/>
          <w:sz w:val="24"/>
          <w:szCs w:val="24"/>
        </w:rPr>
        <w:t>значительное загрязнение окружающей природной среды в районах эксплуатации месторождений углеводородов.</w:t>
      </w:r>
    </w:p>
    <w:p w:rsidR="00CF0324" w:rsidRDefault="00124A10">
      <w:pPr>
        <w:widowControl w:val="0"/>
        <w:spacing w:before="240" w:line="276" w:lineRule="auto"/>
        <w:ind w:firstLine="709"/>
        <w:jc w:val="both"/>
        <w:rPr>
          <w:b/>
        </w:rPr>
      </w:pPr>
      <w:r>
        <w:rPr>
          <w:b/>
        </w:rPr>
        <w:t>Возможности:</w:t>
      </w:r>
    </w:p>
    <w:p w:rsidR="00CF0324" w:rsidRDefault="00124A10">
      <w:pPr>
        <w:widowControl w:val="0"/>
        <w:spacing w:line="276" w:lineRule="auto"/>
        <w:ind w:firstLine="709"/>
        <w:jc w:val="both"/>
        <w:rPr>
          <w:iCs/>
        </w:rPr>
      </w:pPr>
      <w:r>
        <w:rPr>
          <w:iCs/>
        </w:rPr>
        <w:t>развитие фермерства с участием государственной поддержки, самообеспечение района местными продуктами питания;</w:t>
      </w:r>
    </w:p>
    <w:p w:rsidR="00CF0324" w:rsidRDefault="00124A10">
      <w:pPr>
        <w:widowControl w:val="0"/>
        <w:spacing w:line="276" w:lineRule="auto"/>
        <w:ind w:firstLine="709"/>
        <w:jc w:val="both"/>
        <w:rPr>
          <w:iCs/>
        </w:rPr>
      </w:pPr>
      <w:r>
        <w:rPr>
          <w:iCs/>
        </w:rPr>
        <w:t>развитие туризма;</w:t>
      </w:r>
    </w:p>
    <w:p w:rsidR="00CF0324" w:rsidRDefault="00124A10">
      <w:pPr>
        <w:widowControl w:val="0"/>
        <w:spacing w:line="276" w:lineRule="auto"/>
        <w:ind w:firstLine="709"/>
        <w:jc w:val="both"/>
        <w:rPr>
          <w:iCs/>
        </w:rPr>
      </w:pPr>
      <w:r>
        <w:rPr>
          <w:iCs/>
        </w:rPr>
        <w:t>наличие свободных участков земли, пригодных для промышленной застройки и реализации комплекса инвестиционных проектов в отраслях перерабатывающей промышленности, сфере услуг, лесопромышленном комплексе (далее также – ЛПК), АПК;</w:t>
      </w:r>
    </w:p>
    <w:p w:rsidR="00CF0324" w:rsidRDefault="00124A10">
      <w:pPr>
        <w:widowControl w:val="0"/>
        <w:spacing w:line="276" w:lineRule="auto"/>
        <w:ind w:firstLine="709"/>
        <w:jc w:val="both"/>
        <w:rPr>
          <w:iCs/>
        </w:rPr>
      </w:pPr>
      <w:r>
        <w:rPr>
          <w:iCs/>
        </w:rPr>
        <w:t>усиление экономических и социальных связей в связи с завершением строительства автомобильного участка «Куминский – Верхняя Тавда» региональной автодороги «Юг»;</w:t>
      </w:r>
    </w:p>
    <w:p w:rsidR="00CF0324" w:rsidRDefault="00124A10">
      <w:pPr>
        <w:widowControl w:val="0"/>
        <w:spacing w:line="276" w:lineRule="auto"/>
        <w:ind w:firstLine="709"/>
        <w:jc w:val="both"/>
        <w:rPr>
          <w:iCs/>
        </w:rPr>
      </w:pPr>
      <w:r>
        <w:rPr>
          <w:iCs/>
        </w:rPr>
        <w:t xml:space="preserve">повышение привлекательности всей территории района за счет инфраструктурного обустройства на основе: развития жилищного строительства и объектов инфраструктуры в рамках «Югорского стандарта», развития территориального бренда района; </w:t>
      </w:r>
    </w:p>
    <w:p w:rsidR="00CF0324" w:rsidRDefault="00124A10">
      <w:pPr>
        <w:widowControl w:val="0"/>
        <w:spacing w:line="276" w:lineRule="auto"/>
        <w:ind w:firstLine="709"/>
        <w:jc w:val="both"/>
        <w:rPr>
          <w:iCs/>
        </w:rPr>
      </w:pPr>
      <w:r>
        <w:rPr>
          <w:iCs/>
        </w:rPr>
        <w:t>создания благоприятных условий для развития малого предпринимательства в различных сферах, в том числе создание малых предприятий.</w:t>
      </w:r>
    </w:p>
    <w:p w:rsidR="00CF0324" w:rsidRDefault="00124A10">
      <w:pPr>
        <w:widowControl w:val="0"/>
        <w:spacing w:line="276" w:lineRule="auto"/>
        <w:ind w:firstLine="709"/>
        <w:jc w:val="both"/>
        <w:rPr>
          <w:iCs/>
        </w:rPr>
      </w:pPr>
      <w:r>
        <w:rPr>
          <w:iCs/>
        </w:rPr>
        <w:t>Последовательное улучшение предпринимательского и инвестиционного климата за счет совершенствования регуляторной среды, развития институтов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rsidR="00CF0324" w:rsidRDefault="00124A10">
      <w:pPr>
        <w:widowControl w:val="0"/>
        <w:spacing w:line="276" w:lineRule="auto"/>
        <w:ind w:firstLine="709"/>
        <w:jc w:val="both"/>
        <w:rPr>
          <w:iCs/>
        </w:rPr>
      </w:pPr>
      <w:r>
        <w:rPr>
          <w:iCs/>
        </w:rPr>
        <w:t>Повышение привлекательности района за счет снижения экологических рисков, обеспечения экологической безопасности производства, рационального использования природных ресурсов на основе трансформации экономики, а также создания условий для развития регионального туристско-рекреационного комплекса.</w:t>
      </w:r>
    </w:p>
    <w:p w:rsidR="00CF0324" w:rsidRDefault="00124A10">
      <w:pPr>
        <w:widowControl w:val="0"/>
        <w:spacing w:before="240" w:line="276" w:lineRule="auto"/>
        <w:ind w:firstLine="709"/>
        <w:jc w:val="both"/>
        <w:rPr>
          <w:b/>
        </w:rPr>
      </w:pPr>
      <w:r>
        <w:rPr>
          <w:b/>
        </w:rPr>
        <w:t>Угрозы:</w:t>
      </w:r>
    </w:p>
    <w:p w:rsidR="00CF0324" w:rsidRDefault="00124A10">
      <w:pPr>
        <w:pStyle w:val="BulletListFooterTextnumbered112-1"/>
        <w:widowControl w:val="0"/>
        <w:tabs>
          <w:tab w:val="left" w:pos="1134"/>
        </w:tabs>
        <w:spacing w:after="0"/>
        <w:ind w:left="709"/>
        <w:contextualSpacing/>
        <w:jc w:val="both"/>
        <w:rPr>
          <w:rFonts w:ascii="Times New Roman" w:hAnsi="Times New Roman" w:cs="Times New Roman"/>
          <w:iCs/>
          <w:sz w:val="24"/>
          <w:szCs w:val="24"/>
        </w:rPr>
      </w:pPr>
      <w:r>
        <w:rPr>
          <w:rFonts w:ascii="Times New Roman" w:hAnsi="Times New Roman" w:cs="Times New Roman"/>
          <w:iCs/>
          <w:sz w:val="24"/>
          <w:szCs w:val="24"/>
        </w:rPr>
        <w:t>макроэкономическая нестабильность, экономические санкции в отношении Российской Федерации;</w:t>
      </w:r>
    </w:p>
    <w:p w:rsidR="00CF0324" w:rsidRDefault="00124A10">
      <w:pPr>
        <w:pStyle w:val="BulletListFooterTextnumbered112-1"/>
        <w:widowControl w:val="0"/>
        <w:tabs>
          <w:tab w:val="left" w:pos="1134"/>
        </w:tabs>
        <w:spacing w:after="0"/>
        <w:ind w:left="709"/>
        <w:contextualSpacing/>
        <w:jc w:val="both"/>
        <w:rPr>
          <w:rFonts w:ascii="Times New Roman" w:hAnsi="Times New Roman" w:cs="Times New Roman"/>
          <w:iCs/>
          <w:sz w:val="24"/>
          <w:szCs w:val="24"/>
        </w:rPr>
      </w:pPr>
      <w:r>
        <w:rPr>
          <w:rFonts w:ascii="Times New Roman" w:hAnsi="Times New Roman" w:cs="Times New Roman"/>
          <w:iCs/>
          <w:sz w:val="24"/>
          <w:szCs w:val="24"/>
        </w:rPr>
        <w:t>отток населения в другие территории, в том числе экономически активного населения;</w:t>
      </w:r>
    </w:p>
    <w:p w:rsidR="00CF0324" w:rsidRDefault="00124A10">
      <w:pPr>
        <w:pStyle w:val="BulletListFooterTextnumbered112-1"/>
        <w:widowControl w:val="0"/>
        <w:tabs>
          <w:tab w:val="left" w:pos="1134"/>
        </w:tabs>
        <w:spacing w:after="0"/>
        <w:ind w:left="709"/>
        <w:contextualSpacing/>
        <w:jc w:val="both"/>
        <w:rPr>
          <w:rFonts w:ascii="Times New Roman" w:hAnsi="Times New Roman" w:cs="Times New Roman"/>
          <w:iCs/>
          <w:sz w:val="24"/>
          <w:szCs w:val="24"/>
        </w:rPr>
      </w:pPr>
      <w:r>
        <w:rPr>
          <w:rFonts w:ascii="Times New Roman" w:hAnsi="Times New Roman" w:cs="Times New Roman"/>
          <w:iCs/>
          <w:sz w:val="24"/>
          <w:szCs w:val="24"/>
        </w:rPr>
        <w:t>возможное сокращение финансирования в рамках государственных и муниципальных программ;</w:t>
      </w:r>
    </w:p>
    <w:p w:rsidR="00CF0324" w:rsidRDefault="00124A10">
      <w:pPr>
        <w:widowControl w:val="0"/>
        <w:spacing w:line="276" w:lineRule="auto"/>
        <w:ind w:firstLine="709"/>
        <w:jc w:val="both"/>
        <w:rPr>
          <w:iCs/>
          <w:sz w:val="28"/>
          <w:szCs w:val="28"/>
        </w:rPr>
      </w:pPr>
      <w:r>
        <w:rPr>
          <w:iCs/>
        </w:rPr>
        <w:t>возможное ужесточение денежно-кредитной политики Центрального Банка</w:t>
      </w:r>
      <w:r>
        <w:rPr>
          <w:iCs/>
          <w:sz w:val="28"/>
          <w:szCs w:val="28"/>
        </w:rPr>
        <w:t xml:space="preserve"> </w:t>
      </w:r>
      <w:r>
        <w:rPr>
          <w:iCs/>
        </w:rPr>
        <w:t>Российской Федерации, увеличение налоговой нагрузки на бизнес;</w:t>
      </w:r>
    </w:p>
    <w:p w:rsidR="00CF0324" w:rsidRDefault="00124A10">
      <w:pPr>
        <w:widowControl w:val="0"/>
        <w:spacing w:line="276" w:lineRule="auto"/>
        <w:ind w:firstLine="709"/>
        <w:jc w:val="both"/>
        <w:rPr>
          <w:iCs/>
        </w:rPr>
      </w:pPr>
      <w:r>
        <w:rPr>
          <w:iCs/>
        </w:rPr>
        <w:t>сохранение (усиление) неблагоприятной эпидемиологической обстановки;</w:t>
      </w:r>
    </w:p>
    <w:p w:rsidR="00CF0324" w:rsidRDefault="00124A10">
      <w:pPr>
        <w:widowControl w:val="0"/>
        <w:ind w:firstLine="709"/>
        <w:jc w:val="both"/>
        <w:rPr>
          <w:iCs/>
        </w:rPr>
      </w:pPr>
      <w:r>
        <w:rPr>
          <w:iCs/>
        </w:rPr>
        <w:t>старение населения, сокращение кадрового потенциала, обострение проблем занятости;</w:t>
      </w:r>
    </w:p>
    <w:p w:rsidR="00CF0324" w:rsidRDefault="00124A10">
      <w:pPr>
        <w:widowControl w:val="0"/>
        <w:spacing w:line="276" w:lineRule="auto"/>
        <w:ind w:firstLine="709"/>
        <w:jc w:val="both"/>
        <w:rPr>
          <w:iCs/>
        </w:rPr>
      </w:pPr>
      <w:r>
        <w:rPr>
          <w:iCs/>
        </w:rPr>
        <w:t>снижение доходов населения.</w:t>
      </w:r>
    </w:p>
    <w:p w:rsidR="00CF0324" w:rsidRDefault="00124A10">
      <w:pPr>
        <w:widowControl w:val="0"/>
        <w:spacing w:line="276" w:lineRule="auto"/>
        <w:ind w:firstLine="709"/>
        <w:jc w:val="both"/>
        <w:rPr>
          <w:iCs/>
        </w:rPr>
      </w:pPr>
      <w:r>
        <w:rPr>
          <w:iCs/>
        </w:rPr>
        <w:t xml:space="preserve">Риск повышения экологических рисков и, как следствие, снижение </w:t>
      </w:r>
      <w:r>
        <w:rPr>
          <w:iCs/>
        </w:rPr>
        <w:lastRenderedPageBreak/>
        <w:t>привлекательности района ввиду политики экстенсивного использования природных ресурсов, недостаточного обеспечения экологической безопасности производства и жизнедеятельности.</w:t>
      </w:r>
    </w:p>
    <w:p w:rsidR="00CF0324" w:rsidRDefault="00124A10">
      <w:pPr>
        <w:spacing w:line="276" w:lineRule="auto"/>
        <w:ind w:firstLine="708"/>
        <w:jc w:val="both"/>
        <w:rPr>
          <w:rFonts w:eastAsia="TimesNewRomanPSMT"/>
        </w:rPr>
      </w:pPr>
      <w:r>
        <w:rPr>
          <w:rFonts w:eastAsia="TimesNewRomanPSMT"/>
        </w:rPr>
        <w:t xml:space="preserve">Возможные отрицательные последствия решений, принимаемых на федеральном и региональном уровнях, требуют мониторинга решений вышестоящих органов власти, разработки различных сценариев социально-экономического развития района (таблица 2.2.). </w:t>
      </w:r>
    </w:p>
    <w:p w:rsidR="00CF0324" w:rsidRDefault="00124A10">
      <w:pPr>
        <w:spacing w:line="276" w:lineRule="auto"/>
        <w:ind w:firstLine="708"/>
        <w:jc w:val="both"/>
        <w:rPr>
          <w:rFonts w:eastAsia="TimesNewRomanPSMT"/>
        </w:rPr>
      </w:pPr>
      <w:r>
        <w:rPr>
          <w:rFonts w:eastAsia="TimesNewRomanPSMT"/>
        </w:rPr>
        <w:t>Ответом на угрозу оттока населения должно стать повышение качества жизни, расширение доступности социальных услуг, улучшение экологической ситуации.</w:t>
      </w:r>
    </w:p>
    <w:p w:rsidR="00CF0324" w:rsidRDefault="00124A10">
      <w:pPr>
        <w:spacing w:line="276" w:lineRule="auto"/>
        <w:ind w:firstLine="708"/>
        <w:jc w:val="both"/>
        <w:rPr>
          <w:rFonts w:eastAsia="TimesNewRomanPSMT"/>
        </w:rPr>
      </w:pPr>
      <w:r>
        <w:rPr>
          <w:rFonts w:eastAsia="TimesNewRomanPSMT"/>
        </w:rPr>
        <w:t>Диспропорции рынка труда предполагает преодоление сложившихся негативных демографических тенденций, принятие мер по повышению качества и доступности социальных услуг в сферах здравоохранения и образования, обеспечения сбалансированности между потребностями рынка труда и предложением рабочей силы по количественному и качественному составу, развитие системы непрерывного образования, подготовки и переподготовки специалистов востребованных специальностей.</w:t>
      </w:r>
    </w:p>
    <w:p w:rsidR="00CF0324" w:rsidRDefault="00124A10">
      <w:pPr>
        <w:spacing w:line="276" w:lineRule="auto"/>
        <w:ind w:firstLine="708"/>
        <w:jc w:val="both"/>
        <w:rPr>
          <w:rFonts w:eastAsia="TimesNewRomanPSMT"/>
        </w:rPr>
      </w:pPr>
      <w:r>
        <w:rPr>
          <w:rFonts w:eastAsia="TimesNewRomanPSMT"/>
        </w:rPr>
        <w:t xml:space="preserve">Обострение конкуренции между муниципальными образованиями округа требует повышения конкурентоспособности местной экономики, способности к инновационному обновлению и привлечению инвестиций. </w:t>
      </w:r>
    </w:p>
    <w:p w:rsidR="00CF0324" w:rsidRDefault="00124A10">
      <w:pPr>
        <w:spacing w:line="276" w:lineRule="auto"/>
        <w:ind w:firstLine="708"/>
        <w:jc w:val="both"/>
        <w:rPr>
          <w:rFonts w:eastAsia="TimesNewRomanPSMT"/>
        </w:rPr>
      </w:pPr>
      <w:r>
        <w:rPr>
          <w:rFonts w:eastAsia="TimesNewRomanPSMT"/>
        </w:rPr>
        <w:t>Ответом на угрозу макроэкономической нестабильности должна стать диверсификация структуры экономики.</w:t>
      </w:r>
    </w:p>
    <w:p w:rsidR="00CF0324" w:rsidRDefault="00124A10">
      <w:pPr>
        <w:spacing w:line="276" w:lineRule="auto"/>
        <w:ind w:firstLine="708"/>
        <w:jc w:val="both"/>
        <w:rPr>
          <w:rFonts w:eastAsia="TimesNewRomanPSMT"/>
        </w:rPr>
      </w:pPr>
      <w:r>
        <w:rPr>
          <w:rFonts w:eastAsia="TimesNewRomanPSMT"/>
        </w:rPr>
        <w:t>Экономические санкции в отношении Российской Федерации требуют развития импортозамещения и повышения эффективности действующих предприятий и производств.</w:t>
      </w:r>
    </w:p>
    <w:p w:rsidR="00CF0324" w:rsidRDefault="00CF0324">
      <w:pPr>
        <w:spacing w:line="360" w:lineRule="auto"/>
        <w:jc w:val="both"/>
        <w:rPr>
          <w:bCs/>
          <w:iCs/>
        </w:rPr>
      </w:pPr>
    </w:p>
    <w:p w:rsidR="00CF0324" w:rsidRDefault="00CF0324">
      <w:pPr>
        <w:spacing w:line="360" w:lineRule="auto"/>
        <w:jc w:val="both"/>
        <w:rPr>
          <w:bCs/>
          <w:iCs/>
        </w:rPr>
        <w:sectPr w:rsidR="00CF0324">
          <w:footerReference w:type="even" r:id="rId31"/>
          <w:footerReference w:type="default" r:id="rId32"/>
          <w:pgSz w:w="11906" w:h="16838"/>
          <w:pgMar w:top="567" w:right="851" w:bottom="426" w:left="1701" w:header="709" w:footer="709" w:gutter="0"/>
          <w:cols w:space="708"/>
          <w:docGrid w:linePitch="360"/>
        </w:sectPr>
      </w:pPr>
    </w:p>
    <w:p w:rsidR="00CF0324" w:rsidRDefault="00CF0324">
      <w:pPr>
        <w:spacing w:line="360" w:lineRule="auto"/>
        <w:jc w:val="right"/>
      </w:pPr>
    </w:p>
    <w:p w:rsidR="00CF0324" w:rsidRDefault="00124A10">
      <w:pPr>
        <w:jc w:val="right"/>
      </w:pPr>
      <w:r>
        <w:t>Таблица 2.1.</w:t>
      </w:r>
    </w:p>
    <w:p w:rsidR="00CF0324" w:rsidRDefault="00124A10">
      <w:pPr>
        <w:jc w:val="center"/>
      </w:pPr>
      <w:r>
        <w:t>Матрица SWOT- анализа, сформированная по определяющим факторам развития</w:t>
      </w:r>
    </w:p>
    <w:tbl>
      <w:tblPr>
        <w:tblW w:w="14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521"/>
        <w:gridCol w:w="6238"/>
      </w:tblGrid>
      <w:tr w:rsidR="00CF0324">
        <w:trPr>
          <w:trHeight w:val="70"/>
        </w:trPr>
        <w:tc>
          <w:tcPr>
            <w:tcW w:w="1984" w:type="dxa"/>
            <w:vAlign w:val="center"/>
          </w:tcPr>
          <w:p w:rsidR="00CF0324" w:rsidRDefault="00124A10">
            <w:pPr>
              <w:jc w:val="center"/>
              <w:rPr>
                <w:b/>
              </w:rPr>
            </w:pPr>
            <w:r>
              <w:rPr>
                <w:b/>
              </w:rPr>
              <w:t>Факторы</w:t>
            </w:r>
          </w:p>
        </w:tc>
        <w:tc>
          <w:tcPr>
            <w:tcW w:w="6521" w:type="dxa"/>
            <w:vAlign w:val="center"/>
          </w:tcPr>
          <w:p w:rsidR="00CF0324" w:rsidRDefault="00124A10">
            <w:pPr>
              <w:jc w:val="center"/>
              <w:rPr>
                <w:b/>
              </w:rPr>
            </w:pPr>
            <w:r>
              <w:rPr>
                <w:b/>
              </w:rPr>
              <w:t>Сильные стороны</w:t>
            </w:r>
          </w:p>
          <w:p w:rsidR="00CF0324" w:rsidRDefault="00124A10">
            <w:pPr>
              <w:jc w:val="center"/>
              <w:rPr>
                <w:b/>
              </w:rPr>
            </w:pPr>
            <w:r>
              <w:rPr>
                <w:b/>
              </w:rPr>
              <w:t>(конкурентные преимущества)</w:t>
            </w:r>
          </w:p>
        </w:tc>
        <w:tc>
          <w:tcPr>
            <w:tcW w:w="6238" w:type="dxa"/>
            <w:vAlign w:val="center"/>
          </w:tcPr>
          <w:p w:rsidR="00CF0324" w:rsidRDefault="00124A10">
            <w:pPr>
              <w:jc w:val="center"/>
              <w:rPr>
                <w:b/>
              </w:rPr>
            </w:pPr>
            <w:r>
              <w:rPr>
                <w:b/>
              </w:rPr>
              <w:t>Слабые стороны</w:t>
            </w:r>
          </w:p>
          <w:p w:rsidR="00CF0324" w:rsidRDefault="00124A10">
            <w:pPr>
              <w:jc w:val="center"/>
              <w:rPr>
                <w:b/>
              </w:rPr>
            </w:pPr>
            <w:r>
              <w:rPr>
                <w:b/>
              </w:rPr>
              <w:t>(конкурентные недостатки)</w:t>
            </w:r>
          </w:p>
        </w:tc>
      </w:tr>
      <w:tr w:rsidR="00CF0324">
        <w:trPr>
          <w:trHeight w:val="70"/>
        </w:trPr>
        <w:tc>
          <w:tcPr>
            <w:tcW w:w="1984" w:type="dxa"/>
            <w:vAlign w:val="center"/>
          </w:tcPr>
          <w:p w:rsidR="00CF0324" w:rsidRDefault="00124A10">
            <w:pPr>
              <w:jc w:val="both"/>
            </w:pPr>
            <w:r>
              <w:t>Географическое</w:t>
            </w:r>
          </w:p>
          <w:p w:rsidR="00CF0324" w:rsidRDefault="00124A10">
            <w:pPr>
              <w:jc w:val="both"/>
            </w:pPr>
            <w:r>
              <w:t>положение, климат и природные ресурсы</w:t>
            </w:r>
          </w:p>
        </w:tc>
        <w:tc>
          <w:tcPr>
            <w:tcW w:w="6521" w:type="dxa"/>
            <w:vAlign w:val="center"/>
          </w:tcPr>
          <w:p w:rsidR="00CF0324" w:rsidRDefault="00124A10">
            <w:pPr>
              <w:jc w:val="both"/>
            </w:pPr>
            <w:r>
              <w:rPr>
                <w:bCs/>
              </w:rPr>
              <w:t>-наличие</w:t>
            </w:r>
            <w:r>
              <w:t xml:space="preserve"> хвойных и лиственных лесных ресурсов;</w:t>
            </w:r>
          </w:p>
          <w:p w:rsidR="00CF0324" w:rsidRDefault="00124A10">
            <w:pPr>
              <w:jc w:val="both"/>
            </w:pPr>
            <w:r>
              <w:t>-наличие углеводородных ресурсов;</w:t>
            </w:r>
          </w:p>
          <w:p w:rsidR="00CF0324" w:rsidRDefault="00124A10">
            <w:pPr>
              <w:jc w:val="both"/>
            </w:pPr>
            <w:r>
              <w:t xml:space="preserve">-на территории района находится 60% пахотных земель </w:t>
            </w:r>
            <w:r>
              <w:rPr>
                <w:lang w:eastAsia="en-US"/>
              </w:rPr>
              <w:t>Ханты - Мансийского автономного округа – Югры;</w:t>
            </w:r>
          </w:p>
          <w:p w:rsidR="00CF0324" w:rsidRDefault="00124A10">
            <w:pPr>
              <w:jc w:val="both"/>
            </w:pPr>
            <w:r>
              <w:t>-«мягкий климат» в сочетании с уникальным ландшафтом озерно-речной системы и богатым животным миром;</w:t>
            </w:r>
          </w:p>
          <w:p w:rsidR="00CF0324" w:rsidRDefault="00124A10">
            <w:pPr>
              <w:jc w:val="both"/>
            </w:pPr>
            <w:r>
              <w:t>-высокопродуктивные рыбные ресурсы;</w:t>
            </w:r>
          </w:p>
          <w:p w:rsidR="00CF0324" w:rsidRDefault="00124A10">
            <w:pPr>
              <w:jc w:val="both"/>
            </w:pPr>
            <w:r>
              <w:t>-оптимальные условия для произрастания дикоросов;</w:t>
            </w:r>
          </w:p>
          <w:p w:rsidR="00CF0324" w:rsidRDefault="00124A10">
            <w:pPr>
              <w:jc w:val="both"/>
            </w:pPr>
            <w:r>
              <w:t>-близость г. Екатеринбург и г. Тюмень.</w:t>
            </w:r>
          </w:p>
        </w:tc>
        <w:tc>
          <w:tcPr>
            <w:tcW w:w="6238" w:type="dxa"/>
          </w:tcPr>
          <w:p w:rsidR="00CF0324" w:rsidRDefault="00124A10">
            <w:pPr>
              <w:jc w:val="both"/>
            </w:pPr>
            <w:r>
              <w:t>-низкая продуктивность лесных ресурсов и сортность древесины;</w:t>
            </w:r>
          </w:p>
          <w:p w:rsidR="00CF0324" w:rsidRDefault="00124A10">
            <w:pPr>
              <w:jc w:val="both"/>
            </w:pPr>
            <w:r>
              <w:t>-недостаточная степень изученности топливно-энергетических  ресурсов и биоресурсов.</w:t>
            </w:r>
          </w:p>
        </w:tc>
      </w:tr>
      <w:tr w:rsidR="00CF0324">
        <w:trPr>
          <w:trHeight w:val="70"/>
        </w:trPr>
        <w:tc>
          <w:tcPr>
            <w:tcW w:w="1984" w:type="dxa"/>
            <w:vAlign w:val="center"/>
          </w:tcPr>
          <w:p w:rsidR="00CF0324" w:rsidRDefault="00124A10">
            <w:pPr>
              <w:jc w:val="both"/>
            </w:pPr>
            <w:r>
              <w:t>Экология</w:t>
            </w:r>
          </w:p>
        </w:tc>
        <w:tc>
          <w:tcPr>
            <w:tcW w:w="6521" w:type="dxa"/>
          </w:tcPr>
          <w:p w:rsidR="00CF0324" w:rsidRDefault="00124A10">
            <w:pPr>
              <w:jc w:val="both"/>
            </w:pPr>
            <w:r>
              <w:t>-ресурс первозданной природы (девственного пространства);</w:t>
            </w:r>
          </w:p>
          <w:p w:rsidR="00CF0324" w:rsidRDefault="00124A10">
            <w:pPr>
              <w:jc w:val="both"/>
            </w:pPr>
            <w:r>
              <w:t>-наличие масштабных площадей хозяйственно                                   не разработанных земель.</w:t>
            </w:r>
          </w:p>
          <w:p w:rsidR="00CF0324" w:rsidRDefault="00CF0324">
            <w:pPr>
              <w:jc w:val="both"/>
            </w:pPr>
          </w:p>
        </w:tc>
        <w:tc>
          <w:tcPr>
            <w:tcW w:w="6238" w:type="dxa"/>
          </w:tcPr>
          <w:p w:rsidR="00CF0324" w:rsidRDefault="00124A10">
            <w:pPr>
              <w:jc w:val="both"/>
            </w:pPr>
            <w:r>
              <w:t>-большое количество несанкционированных свалок;</w:t>
            </w:r>
          </w:p>
          <w:p w:rsidR="00CF0324" w:rsidRDefault="00124A10">
            <w:pPr>
              <w:jc w:val="both"/>
            </w:pPr>
            <w:r>
              <w:t>-недостаточная степень очистки бытовых сточных вод, отсутствие очистных сооружений;</w:t>
            </w:r>
          </w:p>
          <w:p w:rsidR="00CF0324" w:rsidRDefault="00124A10">
            <w:pPr>
              <w:jc w:val="both"/>
            </w:pPr>
            <w:r>
              <w:t>-неудовлетворительное качество питьевой воды                                  в отдельных населенных пунктах района.</w:t>
            </w:r>
          </w:p>
        </w:tc>
      </w:tr>
      <w:tr w:rsidR="00CF0324">
        <w:trPr>
          <w:trHeight w:val="70"/>
        </w:trPr>
        <w:tc>
          <w:tcPr>
            <w:tcW w:w="1984" w:type="dxa"/>
            <w:vAlign w:val="center"/>
          </w:tcPr>
          <w:p w:rsidR="00CF0324" w:rsidRDefault="00124A10">
            <w:pPr>
              <w:jc w:val="both"/>
            </w:pPr>
            <w:r>
              <w:t>Население</w:t>
            </w:r>
          </w:p>
        </w:tc>
        <w:tc>
          <w:tcPr>
            <w:tcW w:w="6521" w:type="dxa"/>
          </w:tcPr>
          <w:p w:rsidR="00CF0324" w:rsidRDefault="00124A10">
            <w:pPr>
              <w:jc w:val="both"/>
            </w:pPr>
            <w:r>
              <w:t>-высокий удельный вес сельского населения;</w:t>
            </w:r>
          </w:p>
          <w:p w:rsidR="00CF0324" w:rsidRDefault="00124A10">
            <w:pPr>
              <w:jc w:val="both"/>
            </w:pPr>
            <w:r>
              <w:t>-снижение уровня безработицы</w:t>
            </w:r>
          </w:p>
        </w:tc>
        <w:tc>
          <w:tcPr>
            <w:tcW w:w="6238" w:type="dxa"/>
            <w:vAlign w:val="center"/>
          </w:tcPr>
          <w:p w:rsidR="00CF0324" w:rsidRDefault="00124A10">
            <w:pPr>
              <w:jc w:val="both"/>
            </w:pPr>
            <w:r>
              <w:t>-наименее заселенный район в округе;</w:t>
            </w:r>
          </w:p>
          <w:p w:rsidR="00CF0324" w:rsidRDefault="00124A10">
            <w:pPr>
              <w:jc w:val="both"/>
            </w:pPr>
            <w:r>
              <w:t>-кризисная демографическая ситуация: естественная убыль населения, отток молодежи;</w:t>
            </w:r>
          </w:p>
          <w:p w:rsidR="00CF0324" w:rsidRDefault="00124A10">
            <w:pPr>
              <w:jc w:val="both"/>
            </w:pPr>
            <w:r>
              <w:t>-отсутствие миграционного притока;</w:t>
            </w:r>
          </w:p>
          <w:p w:rsidR="00CF0324" w:rsidRDefault="00124A10">
            <w:pPr>
              <w:jc w:val="both"/>
            </w:pPr>
            <w:r>
              <w:t>-неравномерность расселения населения по территории района;</w:t>
            </w:r>
          </w:p>
          <w:p w:rsidR="00CF0324" w:rsidRDefault="00124A10">
            <w:pPr>
              <w:jc w:val="both"/>
            </w:pPr>
            <w:r>
              <w:t>-формирование неблагоприятной возрастной структуры: уменьшение численности населения моложе трудоспособного возраста, снижение численности трудоспособного населения, увеличение численности населения старше трудоспособного возраста;</w:t>
            </w:r>
          </w:p>
          <w:p w:rsidR="00CF0324" w:rsidRDefault="00124A10">
            <w:pPr>
              <w:jc w:val="both"/>
            </w:pPr>
            <w:r>
              <w:t>-высокий уровень смертности (по сравнению                                  с показателями округа);</w:t>
            </w:r>
          </w:p>
          <w:p w:rsidR="00CF0324" w:rsidRDefault="00124A10">
            <w:pPr>
              <w:jc w:val="both"/>
            </w:pPr>
            <w:r>
              <w:lastRenderedPageBreak/>
              <w:t>-специфичное сочетание трех различных социальных групп: коренные малочисленные народы (занимающиеся традиционными промыслами), потомки ссыльных (период 30-х-40-х годов прошлого века), население, приехавшее в Сибирь на заработки в 1960-е-70-е годы прошлого века.</w:t>
            </w:r>
          </w:p>
        </w:tc>
      </w:tr>
      <w:tr w:rsidR="00CF0324">
        <w:trPr>
          <w:trHeight w:val="70"/>
        </w:trPr>
        <w:tc>
          <w:tcPr>
            <w:tcW w:w="1984" w:type="dxa"/>
            <w:vAlign w:val="center"/>
          </w:tcPr>
          <w:p w:rsidR="00CF0324" w:rsidRDefault="00124A10">
            <w:pPr>
              <w:jc w:val="both"/>
            </w:pPr>
            <w:r>
              <w:lastRenderedPageBreak/>
              <w:t>Экономический</w:t>
            </w:r>
          </w:p>
          <w:p w:rsidR="00CF0324" w:rsidRDefault="00124A10">
            <w:pPr>
              <w:jc w:val="both"/>
            </w:pPr>
            <w:r>
              <w:t>потенциал</w:t>
            </w:r>
          </w:p>
        </w:tc>
        <w:tc>
          <w:tcPr>
            <w:tcW w:w="6521" w:type="dxa"/>
          </w:tcPr>
          <w:p w:rsidR="00CF0324" w:rsidRDefault="00124A10">
            <w:pPr>
              <w:jc w:val="both"/>
            </w:pPr>
            <w:r>
              <w:t>-наличие свободных участков земли, пригодных                                  для промышленной застройки;</w:t>
            </w:r>
          </w:p>
          <w:p w:rsidR="00CF0324" w:rsidRDefault="00124A10">
            <w:pPr>
              <w:jc w:val="both"/>
            </w:pPr>
            <w:r>
              <w:t>-наличие индустриального парка;</w:t>
            </w:r>
          </w:p>
          <w:p w:rsidR="00CF0324" w:rsidRDefault="00124A10">
            <w:pPr>
              <w:jc w:val="both"/>
            </w:pPr>
            <w:r>
              <w:t>-наличие лесного фонда;</w:t>
            </w:r>
          </w:p>
          <w:p w:rsidR="00CF0324" w:rsidRDefault="00124A10">
            <w:pPr>
              <w:jc w:val="both"/>
            </w:pPr>
            <w:r>
              <w:t>-наличие биологических ресурсов;</w:t>
            </w:r>
          </w:p>
          <w:p w:rsidR="00CF0324" w:rsidRDefault="00124A10">
            <w:pPr>
              <w:jc w:val="both"/>
            </w:pPr>
            <w:r>
              <w:t>-высокая доля субъектов малого и среднего предпринимательства.</w:t>
            </w:r>
          </w:p>
          <w:p w:rsidR="00CF0324" w:rsidRDefault="00CF0324">
            <w:pPr>
              <w:jc w:val="both"/>
            </w:pPr>
          </w:p>
        </w:tc>
        <w:tc>
          <w:tcPr>
            <w:tcW w:w="6238" w:type="dxa"/>
            <w:vAlign w:val="center"/>
          </w:tcPr>
          <w:p w:rsidR="00CF0324" w:rsidRDefault="00124A10">
            <w:pPr>
              <w:jc w:val="both"/>
            </w:pPr>
            <w:r>
              <w:t>-высокий уровень дотационности местного бюджета;</w:t>
            </w:r>
          </w:p>
          <w:p w:rsidR="00CF0324" w:rsidRDefault="00124A10">
            <w:pPr>
              <w:jc w:val="both"/>
            </w:pPr>
            <w:r>
              <w:t>-высокий износ основных фондов района;</w:t>
            </w:r>
          </w:p>
          <w:p w:rsidR="00CF0324" w:rsidRDefault="00124A10">
            <w:pPr>
              <w:jc w:val="both"/>
            </w:pPr>
            <w:r>
              <w:rPr>
                <w:bCs/>
              </w:rPr>
              <w:t>-снижение роли традиционно значимых секторов экономики: лесной промышленности, агропромышленного сектора;</w:t>
            </w:r>
          </w:p>
          <w:p w:rsidR="00CF0324" w:rsidRDefault="00124A10">
            <w:pPr>
              <w:jc w:val="both"/>
            </w:pPr>
            <w:r>
              <w:t>-низкий уровень средней зарплаты;</w:t>
            </w:r>
          </w:p>
          <w:p w:rsidR="00CF0324" w:rsidRDefault="00124A10">
            <w:pPr>
              <w:jc w:val="both"/>
            </w:pPr>
            <w:r>
              <w:t>-высокая дифференциация заработной платы по видам экономической деятельности;</w:t>
            </w:r>
          </w:p>
          <w:p w:rsidR="00CF0324" w:rsidRDefault="00124A10">
            <w:pPr>
              <w:jc w:val="both"/>
            </w:pPr>
            <w:r>
              <w:t>-дисбаланс между потребностями рынка труда                                 и сложившейся структурой кадровых ресурсов;</w:t>
            </w:r>
          </w:p>
          <w:p w:rsidR="00CF0324" w:rsidRDefault="00124A10">
            <w:pPr>
              <w:jc w:val="both"/>
            </w:pPr>
            <w:r>
              <w:t>-отток квалифицированных кадров;</w:t>
            </w:r>
          </w:p>
          <w:p w:rsidR="00CF0324" w:rsidRDefault="00124A10">
            <w:pPr>
              <w:jc w:val="both"/>
            </w:pPr>
            <w:r>
              <w:t>-молодежная безработица;</w:t>
            </w:r>
          </w:p>
          <w:p w:rsidR="00CF0324" w:rsidRDefault="00124A10">
            <w:pPr>
              <w:jc w:val="both"/>
            </w:pPr>
            <w:r>
              <w:t>-сокращение трудовых ресурсов;</w:t>
            </w:r>
          </w:p>
          <w:p w:rsidR="00CF0324" w:rsidRDefault="00124A10">
            <w:pPr>
              <w:jc w:val="both"/>
            </w:pPr>
            <w:r>
              <w:t>-дефицит партнерства;</w:t>
            </w:r>
          </w:p>
          <w:p w:rsidR="00CF0324" w:rsidRDefault="00124A10">
            <w:pPr>
              <w:jc w:val="both"/>
            </w:pPr>
            <w:r>
              <w:t>-сложная транспортно-логистическая схема;</w:t>
            </w:r>
          </w:p>
          <w:p w:rsidR="00CF0324" w:rsidRDefault="00124A10">
            <w:pPr>
              <w:jc w:val="both"/>
            </w:pPr>
            <w:r>
              <w:t>-высокие цены на топливно-энергетические ресурсы, сырье;</w:t>
            </w:r>
          </w:p>
          <w:p w:rsidR="00CF0324" w:rsidRDefault="00124A10">
            <w:pPr>
              <w:jc w:val="both"/>
            </w:pPr>
            <w:r>
              <w:t>-отсутствие инвесторов, вкладывающих средства                                в развитие территории;</w:t>
            </w:r>
          </w:p>
          <w:p w:rsidR="00CF0324" w:rsidRDefault="00124A10">
            <w:pPr>
              <w:jc w:val="both"/>
            </w:pPr>
            <w:r>
              <w:t>-ограниченность емкости рынка.</w:t>
            </w:r>
          </w:p>
          <w:p w:rsidR="00CF0324" w:rsidRDefault="00124A10">
            <w:pPr>
              <w:jc w:val="both"/>
            </w:pPr>
            <w:r>
              <w:t>-трудности в привлечении финансовых средств</w:t>
            </w:r>
          </w:p>
        </w:tc>
      </w:tr>
      <w:tr w:rsidR="00CF0324">
        <w:trPr>
          <w:trHeight w:val="70"/>
        </w:trPr>
        <w:tc>
          <w:tcPr>
            <w:tcW w:w="1984" w:type="dxa"/>
            <w:vAlign w:val="center"/>
          </w:tcPr>
          <w:p w:rsidR="00CF0324" w:rsidRDefault="00124A10">
            <w:pPr>
              <w:jc w:val="both"/>
            </w:pPr>
            <w:r>
              <w:t>Сельское хозяйство</w:t>
            </w:r>
          </w:p>
        </w:tc>
        <w:tc>
          <w:tcPr>
            <w:tcW w:w="6521" w:type="dxa"/>
          </w:tcPr>
          <w:p w:rsidR="00CF0324" w:rsidRDefault="00124A10">
            <w:pPr>
              <w:jc w:val="both"/>
            </w:pPr>
            <w:r>
              <w:t>-самообеспечение района местными продуктами питания;</w:t>
            </w:r>
          </w:p>
          <w:p w:rsidR="00CF0324" w:rsidRDefault="00124A10">
            <w:pPr>
              <w:jc w:val="both"/>
            </w:pPr>
            <w:r>
              <w:t>-развитие фермерства с участием государственной поддержки;</w:t>
            </w:r>
          </w:p>
          <w:p w:rsidR="00CF0324" w:rsidRDefault="00124A10">
            <w:pPr>
              <w:jc w:val="both"/>
            </w:pPr>
            <w:r>
              <w:t>-наличие сельскохозяйственных площадей под овощные                      и кормовые культуры;</w:t>
            </w:r>
          </w:p>
          <w:p w:rsidR="00CF0324" w:rsidRDefault="00124A10">
            <w:pPr>
              <w:jc w:val="both"/>
            </w:pPr>
            <w:r>
              <w:t>-высокая доля населения, проживающего в</w:t>
            </w:r>
          </w:p>
          <w:p w:rsidR="00CF0324" w:rsidRDefault="00124A10">
            <w:pPr>
              <w:jc w:val="both"/>
            </w:pPr>
            <w:r>
              <w:lastRenderedPageBreak/>
              <w:t>сельской местности в сравнении с автономным округом                      и Российской Федерации.</w:t>
            </w:r>
          </w:p>
          <w:p w:rsidR="00CF0324" w:rsidRDefault="00CF0324">
            <w:pPr>
              <w:jc w:val="both"/>
            </w:pPr>
          </w:p>
        </w:tc>
        <w:tc>
          <w:tcPr>
            <w:tcW w:w="6238" w:type="dxa"/>
          </w:tcPr>
          <w:p w:rsidR="00CF0324" w:rsidRDefault="00124A10">
            <w:pPr>
              <w:jc w:val="both"/>
            </w:pPr>
            <w:r>
              <w:lastRenderedPageBreak/>
              <w:t>-дисбаланс между ростом цен на сельхозтехнику, топливно-энергетические ресурсы в сравнении с ценами на сельскохозяйственную продукцию;</w:t>
            </w:r>
          </w:p>
          <w:p w:rsidR="00CF0324" w:rsidRDefault="00124A10">
            <w:pPr>
              <w:jc w:val="both"/>
            </w:pPr>
            <w:r>
              <w:t>-дефицит квалифицированных кадров, вызванный социальной непривлекательностью сельских поселений;</w:t>
            </w:r>
          </w:p>
          <w:p w:rsidR="00CF0324" w:rsidRDefault="00124A10">
            <w:pPr>
              <w:jc w:val="both"/>
            </w:pPr>
            <w:r>
              <w:t>-использование неэффективных технологий;</w:t>
            </w:r>
          </w:p>
          <w:p w:rsidR="00CF0324" w:rsidRDefault="00124A10">
            <w:pPr>
              <w:jc w:val="both"/>
            </w:pPr>
            <w:r>
              <w:lastRenderedPageBreak/>
              <w:t>-отсутствие регулярной и круглогодичной транспортной связи многих сельхозпроизводителей с основными центрами потребления.</w:t>
            </w:r>
          </w:p>
        </w:tc>
      </w:tr>
      <w:tr w:rsidR="00CF0324">
        <w:trPr>
          <w:trHeight w:val="70"/>
        </w:trPr>
        <w:tc>
          <w:tcPr>
            <w:tcW w:w="1984" w:type="dxa"/>
            <w:vAlign w:val="center"/>
          </w:tcPr>
          <w:p w:rsidR="00CF0324" w:rsidRDefault="00124A10">
            <w:pPr>
              <w:jc w:val="both"/>
            </w:pPr>
            <w:r>
              <w:lastRenderedPageBreak/>
              <w:t>Потребительский рынок</w:t>
            </w:r>
          </w:p>
        </w:tc>
        <w:tc>
          <w:tcPr>
            <w:tcW w:w="6521" w:type="dxa"/>
          </w:tcPr>
          <w:p w:rsidR="00CF0324" w:rsidRDefault="00124A10">
            <w:pPr>
              <w:jc w:val="both"/>
            </w:pPr>
            <w:r>
              <w:t>-обеспечение основных потребностей населения в товарах первой необходимости;</w:t>
            </w:r>
          </w:p>
          <w:p w:rsidR="00CF0324" w:rsidRDefault="00124A10">
            <w:pPr>
              <w:jc w:val="both"/>
            </w:pPr>
            <w:r>
              <w:t>- высокая обеспеченность торговыми площадями.</w:t>
            </w:r>
          </w:p>
        </w:tc>
        <w:tc>
          <w:tcPr>
            <w:tcW w:w="6238" w:type="dxa"/>
          </w:tcPr>
          <w:p w:rsidR="00CF0324" w:rsidRDefault="00124A10">
            <w:pPr>
              <w:jc w:val="both"/>
            </w:pPr>
            <w:r>
              <w:t>-малая емкость рынка;</w:t>
            </w:r>
          </w:p>
          <w:p w:rsidR="00CF0324" w:rsidRDefault="00124A10">
            <w:pPr>
              <w:jc w:val="both"/>
            </w:pPr>
            <w:r>
              <w:t>-низкий уровень обеспеченности населения услугами потребительского рынка;</w:t>
            </w:r>
          </w:p>
          <w:p w:rsidR="00CF0324" w:rsidRDefault="00124A10">
            <w:pPr>
              <w:jc w:val="both"/>
            </w:pPr>
            <w:r>
              <w:t>-снижение среднедушевых потребительских расходов.</w:t>
            </w:r>
          </w:p>
        </w:tc>
      </w:tr>
      <w:tr w:rsidR="00CF0324">
        <w:trPr>
          <w:trHeight w:val="70"/>
        </w:trPr>
        <w:tc>
          <w:tcPr>
            <w:tcW w:w="1984" w:type="dxa"/>
            <w:vAlign w:val="center"/>
          </w:tcPr>
          <w:p w:rsidR="00CF0324" w:rsidRDefault="00124A10">
            <w:pPr>
              <w:jc w:val="both"/>
            </w:pPr>
            <w:r>
              <w:t>ЖКХ и строительство</w:t>
            </w:r>
          </w:p>
        </w:tc>
        <w:tc>
          <w:tcPr>
            <w:tcW w:w="6521" w:type="dxa"/>
          </w:tcPr>
          <w:p w:rsidR="00CF0324" w:rsidRDefault="00124A10">
            <w:pPr>
              <w:jc w:val="both"/>
            </w:pPr>
            <w:r>
              <w:t>-обеспеченность населения жилыми помещениями выше среднеокружного показателя;</w:t>
            </w:r>
          </w:p>
          <w:p w:rsidR="00CF0324" w:rsidRDefault="00124A10">
            <w:pPr>
              <w:jc w:val="both"/>
            </w:pPr>
            <w:r>
              <w:t>-близость к производителям строительных материалов юга Тюменской области и Урала;</w:t>
            </w:r>
          </w:p>
          <w:p w:rsidR="00CF0324" w:rsidRDefault="00124A10">
            <w:pPr>
              <w:jc w:val="both"/>
            </w:pPr>
            <w:r>
              <w:t>-возможность использования местных строительных ресурсов и технологий для деревянного домостроения;</w:t>
            </w:r>
          </w:p>
          <w:p w:rsidR="00CF0324" w:rsidRDefault="00124A10">
            <w:pPr>
              <w:jc w:val="both"/>
            </w:pPr>
            <w:r>
              <w:t>-наличие программ льготного ипотечного кредитования;</w:t>
            </w:r>
          </w:p>
          <w:p w:rsidR="00CF0324" w:rsidRDefault="00124A10">
            <w:pPr>
              <w:jc w:val="both"/>
            </w:pPr>
            <w:r>
              <w:t>-наличие устойчивого спроса населения на одноэтажное домостроение и земельные участки под жилищное строительство.</w:t>
            </w:r>
          </w:p>
        </w:tc>
        <w:tc>
          <w:tcPr>
            <w:tcW w:w="6238" w:type="dxa"/>
          </w:tcPr>
          <w:p w:rsidR="00CF0324" w:rsidRDefault="00124A10">
            <w:pPr>
              <w:jc w:val="both"/>
            </w:pPr>
            <w:r>
              <w:t>-высокая доля ветхого и аварийного жилья;</w:t>
            </w:r>
          </w:p>
          <w:p w:rsidR="00CF0324" w:rsidRDefault="00124A10">
            <w:pPr>
              <w:jc w:val="both"/>
            </w:pPr>
            <w:r>
              <w:t>-высокая потребность в улучшении жилищных условий                    у населения;</w:t>
            </w:r>
          </w:p>
          <w:p w:rsidR="00CF0324" w:rsidRDefault="00124A10">
            <w:pPr>
              <w:jc w:val="both"/>
            </w:pPr>
            <w:r>
              <w:t>-низкий уровень комплексно благоустроенного жилищного фонда в округе;</w:t>
            </w:r>
          </w:p>
          <w:p w:rsidR="00CF0324" w:rsidRDefault="00124A10">
            <w:pPr>
              <w:jc w:val="both"/>
            </w:pPr>
            <w:r>
              <w:t>-неэффективная работа предприятий сферы ЖКХ;</w:t>
            </w:r>
          </w:p>
          <w:p w:rsidR="00CF0324" w:rsidRDefault="00124A10">
            <w:pPr>
              <w:jc w:val="both"/>
            </w:pPr>
            <w:r>
              <w:t>-высокий уровень износа основных фондов ЖКХ;</w:t>
            </w:r>
          </w:p>
          <w:p w:rsidR="00CF0324" w:rsidRDefault="00124A10">
            <w:pPr>
              <w:jc w:val="both"/>
            </w:pPr>
            <w:r>
              <w:t>-высокие тарифы на услуги в сфере жилищно-коммунального хозяйства.</w:t>
            </w:r>
          </w:p>
        </w:tc>
      </w:tr>
      <w:tr w:rsidR="00CF0324">
        <w:trPr>
          <w:trHeight w:val="70"/>
        </w:trPr>
        <w:tc>
          <w:tcPr>
            <w:tcW w:w="1984" w:type="dxa"/>
            <w:vAlign w:val="center"/>
          </w:tcPr>
          <w:p w:rsidR="00CF0324" w:rsidRDefault="00124A10">
            <w:pPr>
              <w:jc w:val="both"/>
            </w:pPr>
            <w:r>
              <w:t>Инженерная</w:t>
            </w:r>
          </w:p>
          <w:p w:rsidR="00CF0324" w:rsidRDefault="00124A10">
            <w:pPr>
              <w:jc w:val="both"/>
            </w:pPr>
            <w:r>
              <w:t>инфраструктура, транспорт, связь</w:t>
            </w:r>
          </w:p>
        </w:tc>
        <w:tc>
          <w:tcPr>
            <w:tcW w:w="6521" w:type="dxa"/>
          </w:tcPr>
          <w:p w:rsidR="00CF0324" w:rsidRDefault="00124A10">
            <w:pPr>
              <w:jc w:val="both"/>
            </w:pPr>
            <w:r>
              <w:t>-наличие всех видов транспорта;</w:t>
            </w:r>
          </w:p>
          <w:p w:rsidR="00CF0324" w:rsidRDefault="00124A10">
            <w:pPr>
              <w:jc w:val="both"/>
            </w:pPr>
            <w:r>
              <w:t>-наличие автодорог регионального значения «Междуреченский – Урай» и «Куминский-Мортка-Междуреченский»;</w:t>
            </w:r>
          </w:p>
          <w:p w:rsidR="00CF0324" w:rsidRDefault="00124A10">
            <w:pPr>
              <w:jc w:val="both"/>
            </w:pPr>
            <w:r>
              <w:t>-строительство дороги «Куминский</w:t>
            </w:r>
            <w:r>
              <w:rPr>
                <w:color w:val="FF0000"/>
              </w:rPr>
              <w:t xml:space="preserve"> </w:t>
            </w:r>
            <w:r>
              <w:t>– Верхняя Тавда»;</w:t>
            </w:r>
          </w:p>
          <w:p w:rsidR="00CF0324" w:rsidRDefault="00124A10">
            <w:pPr>
              <w:jc w:val="both"/>
            </w:pPr>
            <w:r>
              <w:t>-наличие операторов мобильной связи «Мотив», «МТС», «Билайн», «Мегафон», «Теле2»;</w:t>
            </w:r>
          </w:p>
          <w:p w:rsidR="00CF0324" w:rsidRDefault="00124A10">
            <w:pPr>
              <w:jc w:val="both"/>
            </w:pPr>
            <w:r>
              <w:t xml:space="preserve">-наличие </w:t>
            </w:r>
            <w:r>
              <w:rPr>
                <w:lang w:val="en-US"/>
              </w:rPr>
              <w:t>4G</w:t>
            </w:r>
            <w:r>
              <w:t>.</w:t>
            </w:r>
          </w:p>
        </w:tc>
        <w:tc>
          <w:tcPr>
            <w:tcW w:w="6238" w:type="dxa"/>
          </w:tcPr>
          <w:p w:rsidR="00CF0324" w:rsidRDefault="00124A10">
            <w:pPr>
              <w:jc w:val="both"/>
            </w:pPr>
            <w:r>
              <w:t>-высокий износ инженерных сетей и оборудования;</w:t>
            </w:r>
          </w:p>
          <w:p w:rsidR="00CF0324" w:rsidRDefault="00124A10">
            <w:pPr>
              <w:jc w:val="both"/>
            </w:pPr>
            <w:r>
              <w:t>-низкое качество работы сети Интернет у отдельных операторов;</w:t>
            </w:r>
          </w:p>
          <w:p w:rsidR="00CF0324" w:rsidRDefault="00124A10">
            <w:pPr>
              <w:jc w:val="both"/>
            </w:pPr>
            <w:r>
              <w:t xml:space="preserve">-отсутствие постоянной (круглогодичной) транспортной связи в отдельных населенных пунктах района; </w:t>
            </w:r>
          </w:p>
          <w:p w:rsidR="00CF0324" w:rsidRDefault="00124A10">
            <w:pPr>
              <w:jc w:val="both"/>
            </w:pPr>
            <w:r>
              <w:t>-недостаточный уровень газификации территории района;</w:t>
            </w:r>
          </w:p>
          <w:p w:rsidR="00CF0324" w:rsidRDefault="00124A10">
            <w:pPr>
              <w:jc w:val="both"/>
            </w:pPr>
            <w:r>
              <w:t>-отсутствие лесных дорог.</w:t>
            </w:r>
          </w:p>
        </w:tc>
      </w:tr>
      <w:tr w:rsidR="00CF0324">
        <w:trPr>
          <w:trHeight w:val="70"/>
        </w:trPr>
        <w:tc>
          <w:tcPr>
            <w:tcW w:w="1984" w:type="dxa"/>
            <w:vAlign w:val="center"/>
          </w:tcPr>
          <w:p w:rsidR="00CF0324" w:rsidRDefault="00124A10">
            <w:pPr>
              <w:jc w:val="both"/>
            </w:pPr>
            <w:r>
              <w:t>Здравоохранение</w:t>
            </w:r>
          </w:p>
        </w:tc>
        <w:tc>
          <w:tcPr>
            <w:tcW w:w="6521" w:type="dxa"/>
          </w:tcPr>
          <w:p w:rsidR="00CF0324" w:rsidRDefault="00124A10">
            <w:pPr>
              <w:jc w:val="both"/>
            </w:pPr>
            <w:r>
              <w:t>-наличие сети здравоохранения обеспечивает основные потребности населения;</w:t>
            </w:r>
          </w:p>
          <w:p w:rsidR="00CF0324" w:rsidRDefault="00124A10">
            <w:pPr>
              <w:jc w:val="both"/>
            </w:pPr>
            <w:r>
              <w:t>-доступность широкого спектра медицинских услуг;</w:t>
            </w:r>
          </w:p>
          <w:p w:rsidR="00CF0324" w:rsidRDefault="00124A10">
            <w:pPr>
              <w:jc w:val="both"/>
            </w:pPr>
            <w:r>
              <w:t>-развитие общеврачебной практики;</w:t>
            </w:r>
          </w:p>
          <w:p w:rsidR="00CF0324" w:rsidRDefault="00124A10">
            <w:pPr>
              <w:jc w:val="both"/>
            </w:pPr>
            <w:r>
              <w:t>-обновление материально-технической базы учреждений здравоохранения;</w:t>
            </w:r>
          </w:p>
          <w:p w:rsidR="00CF0324" w:rsidRDefault="00124A10">
            <w:pPr>
              <w:jc w:val="both"/>
            </w:pPr>
            <w:r>
              <w:t xml:space="preserve">- высокий уровень заработной платы медицинского </w:t>
            </w:r>
            <w:r>
              <w:lastRenderedPageBreak/>
              <w:t>персонала</w:t>
            </w:r>
          </w:p>
        </w:tc>
        <w:tc>
          <w:tcPr>
            <w:tcW w:w="6238" w:type="dxa"/>
          </w:tcPr>
          <w:p w:rsidR="00CF0324" w:rsidRDefault="00124A10">
            <w:pPr>
              <w:jc w:val="both"/>
            </w:pPr>
            <w:r>
              <w:lastRenderedPageBreak/>
              <w:t>-качество услуг здравоохранения не соответствует требованиям граждан;</w:t>
            </w:r>
          </w:p>
          <w:p w:rsidR="00CF0324" w:rsidRDefault="00124A10">
            <w:pPr>
              <w:jc w:val="both"/>
            </w:pPr>
            <w:r>
              <w:t>-дефицит специалистов узкого профиля;</w:t>
            </w:r>
          </w:p>
          <w:p w:rsidR="00CF0324" w:rsidRDefault="00124A10">
            <w:pPr>
              <w:jc w:val="both"/>
            </w:pPr>
            <w:r>
              <w:t>- отсутствие конкуренции в виде частных медицинских учреждений</w:t>
            </w:r>
          </w:p>
        </w:tc>
      </w:tr>
      <w:tr w:rsidR="00CF0324">
        <w:trPr>
          <w:trHeight w:val="70"/>
        </w:trPr>
        <w:tc>
          <w:tcPr>
            <w:tcW w:w="1984" w:type="dxa"/>
            <w:vAlign w:val="center"/>
          </w:tcPr>
          <w:p w:rsidR="00CF0324" w:rsidRDefault="00124A10">
            <w:pPr>
              <w:jc w:val="both"/>
            </w:pPr>
            <w:r>
              <w:lastRenderedPageBreak/>
              <w:t>Образование</w:t>
            </w:r>
          </w:p>
        </w:tc>
        <w:tc>
          <w:tcPr>
            <w:tcW w:w="6521" w:type="dxa"/>
          </w:tcPr>
          <w:p w:rsidR="00CF0324" w:rsidRDefault="00124A10">
            <w:pPr>
              <w:jc w:val="both"/>
            </w:pPr>
            <w:r>
              <w:t>-наличие сети образовательных учреждений общего                                    и среднего звена;</w:t>
            </w:r>
          </w:p>
          <w:p w:rsidR="00CF0324" w:rsidRDefault="00124A10">
            <w:pPr>
              <w:jc w:val="both"/>
            </w:pPr>
            <w:r>
              <w:t>-наличие качественного образования, в том числе реализация пилотных проектов в автономном округе;</w:t>
            </w:r>
          </w:p>
          <w:p w:rsidR="00CF0324" w:rsidRDefault="00124A10">
            <w:pPr>
              <w:jc w:val="both"/>
            </w:pPr>
            <w:r>
              <w:t>-высокий уровень обеспеченности общеобразовательных учреждений необходимой компьютерной и мультимедийной техникой;</w:t>
            </w:r>
          </w:p>
          <w:p w:rsidR="00CF0324" w:rsidRDefault="00124A10">
            <w:pPr>
              <w:jc w:val="both"/>
            </w:pPr>
            <w:r>
              <w:t>-взаимодействие с общественностью района;</w:t>
            </w:r>
          </w:p>
          <w:p w:rsidR="00CF0324" w:rsidRDefault="00124A10">
            <w:pPr>
              <w:jc w:val="both"/>
            </w:pPr>
            <w:r>
              <w:t>-увеличение заработной платы работников сферы образования;</w:t>
            </w:r>
          </w:p>
          <w:p w:rsidR="00CF0324" w:rsidRDefault="00124A10">
            <w:pPr>
              <w:jc w:val="both"/>
            </w:pPr>
            <w:r>
              <w:t>-100% уровень обеспеченности местами в детских садах;</w:t>
            </w:r>
          </w:p>
          <w:p w:rsidR="00CF0324" w:rsidRDefault="00124A10">
            <w:pPr>
              <w:jc w:val="both"/>
            </w:pPr>
            <w:r>
              <w:t>- развитая система дополнительного образования детей</w:t>
            </w:r>
          </w:p>
        </w:tc>
        <w:tc>
          <w:tcPr>
            <w:tcW w:w="6238" w:type="dxa"/>
          </w:tcPr>
          <w:p w:rsidR="00CF0324" w:rsidRDefault="00124A10">
            <w:pPr>
              <w:jc w:val="both"/>
            </w:pPr>
            <w:r>
              <w:t xml:space="preserve">-наличие образовательных учреждений, требующих капитального ремонта; </w:t>
            </w:r>
          </w:p>
          <w:p w:rsidR="00CF0324" w:rsidRDefault="00124A10">
            <w:pPr>
              <w:jc w:val="both"/>
            </w:pPr>
            <w:r>
              <w:t>-неблагоприятный возрастной состав кадров (старение);</w:t>
            </w:r>
          </w:p>
          <w:p w:rsidR="00CF0324" w:rsidRDefault="00124A10">
            <w:pPr>
              <w:jc w:val="both"/>
            </w:pPr>
            <w:r>
              <w:t>-снижение количества обучающихся;</w:t>
            </w:r>
          </w:p>
          <w:p w:rsidR="00CF0324" w:rsidRDefault="00124A10">
            <w:pPr>
              <w:jc w:val="both"/>
            </w:pPr>
            <w:r>
              <w:t>- отсутствие конкуренции со стороны частных организаций.</w:t>
            </w:r>
          </w:p>
          <w:p w:rsidR="00CF0324" w:rsidRDefault="00CF0324">
            <w:pPr>
              <w:jc w:val="both"/>
            </w:pPr>
          </w:p>
        </w:tc>
      </w:tr>
      <w:tr w:rsidR="00CF0324">
        <w:trPr>
          <w:trHeight w:val="70"/>
        </w:trPr>
        <w:tc>
          <w:tcPr>
            <w:tcW w:w="1984" w:type="dxa"/>
            <w:vAlign w:val="center"/>
          </w:tcPr>
          <w:p w:rsidR="00CF0324" w:rsidRDefault="00124A10">
            <w:pPr>
              <w:jc w:val="both"/>
            </w:pPr>
            <w:r>
              <w:t>Культура</w:t>
            </w:r>
          </w:p>
        </w:tc>
        <w:tc>
          <w:tcPr>
            <w:tcW w:w="6521" w:type="dxa"/>
          </w:tcPr>
          <w:p w:rsidR="00CF0324" w:rsidRDefault="00124A10">
            <w:pPr>
              <w:jc w:val="both"/>
            </w:pPr>
            <w:r>
              <w:t>-наличие сети учреждений культуры;</w:t>
            </w:r>
          </w:p>
          <w:p w:rsidR="00CF0324" w:rsidRDefault="00124A10">
            <w:pPr>
              <w:jc w:val="both"/>
            </w:pPr>
            <w:r>
              <w:t>-рост количества культурно-массовых мероприятий;</w:t>
            </w:r>
          </w:p>
          <w:p w:rsidR="00CF0324" w:rsidRDefault="00124A10">
            <w:pPr>
              <w:jc w:val="both"/>
            </w:pPr>
            <w:r>
              <w:t>-мощный пласт культуры района;</w:t>
            </w:r>
          </w:p>
          <w:p w:rsidR="00CF0324" w:rsidRDefault="00124A10">
            <w:pPr>
              <w:jc w:val="both"/>
            </w:pPr>
            <w:r>
              <w:t>-рост заработной платы работников учреждений культуры.</w:t>
            </w:r>
          </w:p>
        </w:tc>
        <w:tc>
          <w:tcPr>
            <w:tcW w:w="6238" w:type="dxa"/>
          </w:tcPr>
          <w:p w:rsidR="00CF0324" w:rsidRDefault="00124A10">
            <w:pPr>
              <w:jc w:val="both"/>
            </w:pPr>
            <w:r>
              <w:t>-высокий износ зданий учреждений культуры                           в отдельных поселениях района;</w:t>
            </w:r>
          </w:p>
          <w:p w:rsidR="00CF0324" w:rsidRDefault="00124A10">
            <w:pPr>
              <w:jc w:val="both"/>
            </w:pPr>
            <w:r>
              <w:t>-износ материально-технической базы;</w:t>
            </w:r>
          </w:p>
          <w:p w:rsidR="00CF0324" w:rsidRDefault="00124A10">
            <w:pPr>
              <w:jc w:val="both"/>
            </w:pPr>
            <w:r>
              <w:t>-дефицит квалифицированных кадров;</w:t>
            </w:r>
          </w:p>
          <w:p w:rsidR="00CF0324" w:rsidRDefault="00124A10">
            <w:pPr>
              <w:jc w:val="both"/>
            </w:pPr>
            <w:r>
              <w:t>-отсутствие конкуренции на рынке культуры в виде частных организаций;</w:t>
            </w:r>
          </w:p>
          <w:p w:rsidR="00CF0324" w:rsidRDefault="00124A10">
            <w:pPr>
              <w:jc w:val="both"/>
            </w:pPr>
            <w:r>
              <w:t>-отсутствие центра народного творчества, объединяющего народных мастеров, специалистов в сфере креативных индустрий</w:t>
            </w:r>
          </w:p>
        </w:tc>
      </w:tr>
      <w:tr w:rsidR="00CF0324">
        <w:trPr>
          <w:trHeight w:val="1120"/>
        </w:trPr>
        <w:tc>
          <w:tcPr>
            <w:tcW w:w="1984" w:type="dxa"/>
            <w:vAlign w:val="center"/>
          </w:tcPr>
          <w:p w:rsidR="00CF0324" w:rsidRDefault="00124A10">
            <w:pPr>
              <w:jc w:val="both"/>
            </w:pPr>
            <w:r>
              <w:t>Физическая культура и спорт</w:t>
            </w:r>
          </w:p>
        </w:tc>
        <w:tc>
          <w:tcPr>
            <w:tcW w:w="6521" w:type="dxa"/>
          </w:tcPr>
          <w:p w:rsidR="00CF0324" w:rsidRDefault="00124A10">
            <w:pPr>
              <w:jc w:val="both"/>
            </w:pPr>
            <w:r>
              <w:t>-наличие развитой спортивной инфраструктуры;</w:t>
            </w:r>
          </w:p>
          <w:p w:rsidR="00CF0324" w:rsidRDefault="00124A10">
            <w:pPr>
              <w:jc w:val="both"/>
            </w:pPr>
            <w:r>
              <w:t>-рост количества спортивных мероприятий;</w:t>
            </w:r>
          </w:p>
          <w:p w:rsidR="00CF0324" w:rsidRDefault="00124A10">
            <w:pPr>
              <w:jc w:val="both"/>
            </w:pPr>
            <w:r>
              <w:t>-рост доли населения систематически занимающихся физической культурой и спортом.</w:t>
            </w:r>
          </w:p>
        </w:tc>
        <w:tc>
          <w:tcPr>
            <w:tcW w:w="6238" w:type="dxa"/>
          </w:tcPr>
          <w:p w:rsidR="00CF0324" w:rsidRDefault="00124A10">
            <w:pPr>
              <w:jc w:val="both"/>
            </w:pPr>
            <w:r>
              <w:t>-неэффективное использование потенциала спортивных сооружений района;</w:t>
            </w:r>
          </w:p>
          <w:p w:rsidR="00CF0324" w:rsidRDefault="00124A10">
            <w:pPr>
              <w:jc w:val="both"/>
            </w:pPr>
            <w:r>
              <w:t>-отсутствие конкуренции со стороны частных организаций.</w:t>
            </w:r>
          </w:p>
        </w:tc>
      </w:tr>
      <w:tr w:rsidR="00CF0324">
        <w:trPr>
          <w:trHeight w:val="70"/>
        </w:trPr>
        <w:tc>
          <w:tcPr>
            <w:tcW w:w="1984" w:type="dxa"/>
            <w:vAlign w:val="center"/>
          </w:tcPr>
          <w:p w:rsidR="00CF0324" w:rsidRDefault="00124A10">
            <w:pPr>
              <w:jc w:val="both"/>
            </w:pPr>
            <w:r>
              <w:t>Молодежная политика</w:t>
            </w:r>
          </w:p>
        </w:tc>
        <w:tc>
          <w:tcPr>
            <w:tcW w:w="6521" w:type="dxa"/>
          </w:tcPr>
          <w:p w:rsidR="00CF0324" w:rsidRDefault="00124A10">
            <w:pPr>
              <w:jc w:val="both"/>
            </w:pPr>
            <w:r>
              <w:t>-активное воспитание гражданственности и патриотизма;</w:t>
            </w:r>
          </w:p>
          <w:p w:rsidR="00CF0324" w:rsidRDefault="00124A10">
            <w:pPr>
              <w:jc w:val="both"/>
            </w:pPr>
            <w:r>
              <w:t>-наличие молодежных общественных организаций;</w:t>
            </w:r>
          </w:p>
          <w:p w:rsidR="00CF0324" w:rsidRDefault="00124A10">
            <w:pPr>
              <w:jc w:val="both"/>
            </w:pPr>
            <w:r>
              <w:t>-наличие волонтерства.</w:t>
            </w:r>
          </w:p>
          <w:p w:rsidR="00CF0324" w:rsidRDefault="00CF0324">
            <w:pPr>
              <w:jc w:val="both"/>
            </w:pPr>
          </w:p>
        </w:tc>
        <w:tc>
          <w:tcPr>
            <w:tcW w:w="6238" w:type="dxa"/>
          </w:tcPr>
          <w:p w:rsidR="00CF0324" w:rsidRDefault="00124A10">
            <w:pPr>
              <w:jc w:val="both"/>
            </w:pPr>
            <w:r>
              <w:t>-отток молодежи в крупные города;</w:t>
            </w:r>
          </w:p>
          <w:p w:rsidR="00CF0324" w:rsidRDefault="00124A10">
            <w:pPr>
              <w:jc w:val="both"/>
            </w:pPr>
            <w:r>
              <w:t>-молодежь не связывает свои личные перспективы                          с перспективами района;</w:t>
            </w:r>
          </w:p>
          <w:p w:rsidR="00CF0324" w:rsidRDefault="00124A10">
            <w:pPr>
              <w:jc w:val="both"/>
            </w:pPr>
            <w:r>
              <w:t>-молодежная безработица, отсутствие привлекательных рабочих мест для молодежи;</w:t>
            </w:r>
          </w:p>
          <w:p w:rsidR="00CF0324" w:rsidRDefault="00124A10">
            <w:pPr>
              <w:jc w:val="both"/>
            </w:pPr>
            <w:r>
              <w:t>-жилищные проблемы.</w:t>
            </w:r>
          </w:p>
        </w:tc>
      </w:tr>
    </w:tbl>
    <w:p w:rsidR="00CF0324" w:rsidRDefault="00124A10">
      <w:pPr>
        <w:spacing w:line="360" w:lineRule="auto"/>
        <w:jc w:val="right"/>
      </w:pPr>
      <w:r>
        <w:br w:type="page" w:clear="all"/>
      </w:r>
      <w:r>
        <w:lastRenderedPageBreak/>
        <w:t>Таблица 2.2</w:t>
      </w:r>
    </w:p>
    <w:p w:rsidR="00CF0324" w:rsidRDefault="00124A10">
      <w:pPr>
        <w:jc w:val="center"/>
        <w:rPr>
          <w:b/>
        </w:rPr>
      </w:pPr>
      <w:r>
        <w:rPr>
          <w:b/>
        </w:rPr>
        <w:t>Возможные риски реализации Стратегии социально-экономического развития</w:t>
      </w:r>
    </w:p>
    <w:p w:rsidR="00CF0324" w:rsidRDefault="00124A10">
      <w:pPr>
        <w:jc w:val="center"/>
        <w:rPr>
          <w:b/>
        </w:rPr>
      </w:pPr>
      <w:r>
        <w:rPr>
          <w:b/>
        </w:rPr>
        <w:t>Кондинского района на период до 2030 года</w:t>
      </w:r>
    </w:p>
    <w:tbl>
      <w:tblPr>
        <w:tblW w:w="1417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8"/>
        <w:gridCol w:w="7797"/>
      </w:tblGrid>
      <w:tr w:rsidR="00CF0324">
        <w:tc>
          <w:tcPr>
            <w:tcW w:w="6378" w:type="dxa"/>
          </w:tcPr>
          <w:p w:rsidR="00CF0324" w:rsidRDefault="00124A10">
            <w:pPr>
              <w:jc w:val="center"/>
            </w:pPr>
            <w:r>
              <w:t>Возможные риски</w:t>
            </w:r>
          </w:p>
          <w:p w:rsidR="00CF0324" w:rsidRDefault="00CF0324">
            <w:pPr>
              <w:jc w:val="center"/>
            </w:pPr>
          </w:p>
        </w:tc>
        <w:tc>
          <w:tcPr>
            <w:tcW w:w="7797" w:type="dxa"/>
          </w:tcPr>
          <w:p w:rsidR="00CF0324" w:rsidRDefault="00124A10">
            <w:pPr>
              <w:jc w:val="center"/>
            </w:pPr>
            <w:r>
              <w:t>Способы минимизации</w:t>
            </w:r>
          </w:p>
        </w:tc>
      </w:tr>
      <w:tr w:rsidR="00CF0324">
        <w:tc>
          <w:tcPr>
            <w:tcW w:w="6378" w:type="dxa"/>
          </w:tcPr>
          <w:p w:rsidR="00CF0324" w:rsidRDefault="00124A10">
            <w:pPr>
              <w:jc w:val="both"/>
            </w:pPr>
            <w:r>
              <w:t>1.Макроэкономические риски, связанные с ухудшением рыночной конъюнктуры, введением экономических санкций, снижением спроса, объемов производства и, соответственно, бюджетной обеспеченности территории, снижением темпов роста экономики, уровня инвестиционной активности.</w:t>
            </w:r>
          </w:p>
        </w:tc>
        <w:tc>
          <w:tcPr>
            <w:tcW w:w="7797" w:type="dxa"/>
          </w:tcPr>
          <w:p w:rsidR="00CF0324" w:rsidRDefault="00124A10">
            <w:pPr>
              <w:jc w:val="both"/>
            </w:pPr>
            <w:r>
              <w:t>Организация аналитических исследований и мониторинга развития макроэкономической ситуации и разработка на этой основе превентивных корректирующих мероприятий, связанных                                         с эффективностью развития реального сектора экономики района.</w:t>
            </w:r>
          </w:p>
          <w:p w:rsidR="00CF0324" w:rsidRDefault="00124A10">
            <w:pPr>
              <w:jc w:val="both"/>
            </w:pPr>
            <w:r>
              <w:t>Модернизация и технологическое обновление основных фондов                                 с применением ресурсо- и энергосберегающего оборудования                               и материалов.</w:t>
            </w:r>
          </w:p>
        </w:tc>
      </w:tr>
      <w:tr w:rsidR="00CF0324">
        <w:tc>
          <w:tcPr>
            <w:tcW w:w="6378" w:type="dxa"/>
          </w:tcPr>
          <w:p w:rsidR="00CF0324" w:rsidRDefault="00124A10">
            <w:pPr>
              <w:jc w:val="both"/>
            </w:pPr>
            <w:r>
              <w:t xml:space="preserve">2.Демографические риски, связанные с возможным ухудшением структуры баланса трудовых ресурсов, и, соответственно, возникновением дефицита квалифицированных трудовых ресурсов, необходимых для эффективной реализации в запланированные сроки инвестиционных проектов, включенных в Стратегию. </w:t>
            </w:r>
          </w:p>
        </w:tc>
        <w:tc>
          <w:tcPr>
            <w:tcW w:w="7797" w:type="dxa"/>
            <w:vAlign w:val="center"/>
          </w:tcPr>
          <w:p w:rsidR="00CF0324" w:rsidRDefault="00124A10">
            <w:pPr>
              <w:jc w:val="both"/>
            </w:pPr>
            <w:r>
              <w:t>Отслеживание тенденций изменения баланса трудовых ресурсов территории, осуществление постоянного мониторинга рынка труда и разработка на этой основе мероприятий по обеспечению инвестиционных проектов, необходимыми для их реализации трудовыми ресурсами требуемой квалификации.</w:t>
            </w:r>
          </w:p>
        </w:tc>
      </w:tr>
      <w:tr w:rsidR="00CF0324">
        <w:tc>
          <w:tcPr>
            <w:tcW w:w="6378" w:type="dxa"/>
          </w:tcPr>
          <w:p w:rsidR="00CF0324" w:rsidRDefault="00124A10">
            <w:pPr>
              <w:jc w:val="both"/>
            </w:pPr>
            <w:r>
              <w:t>3.Изменения федерального и регионального законодательства в части вопросов, связанных с:</w:t>
            </w:r>
          </w:p>
          <w:p w:rsidR="00CF0324" w:rsidRDefault="00124A10">
            <w:pPr>
              <w:jc w:val="both"/>
            </w:pPr>
            <w:r>
              <w:t>- реализацией долгосрочной экономической политики;</w:t>
            </w:r>
          </w:p>
          <w:p w:rsidR="00CF0324" w:rsidRDefault="00124A10">
            <w:pPr>
              <w:jc w:val="both"/>
            </w:pPr>
            <w:r>
              <w:t>- регулированием трудовых отношений;</w:t>
            </w:r>
          </w:p>
          <w:p w:rsidR="00CF0324" w:rsidRDefault="00124A10">
            <w:pPr>
              <w:jc w:val="both"/>
            </w:pPr>
            <w:r>
              <w:t>- регулированием отношений собственности;</w:t>
            </w:r>
          </w:p>
          <w:p w:rsidR="00CF0324" w:rsidRDefault="00124A10">
            <w:pPr>
              <w:jc w:val="both"/>
            </w:pPr>
            <w:r>
              <w:t>- осуществлением бюджетной и фискальной политики;</w:t>
            </w:r>
          </w:p>
          <w:p w:rsidR="00CF0324" w:rsidRDefault="00124A10">
            <w:pPr>
              <w:jc w:val="both"/>
            </w:pPr>
            <w:r>
              <w:t>- государственной поддержкой и развитием малого и среднего предпринимательства;</w:t>
            </w:r>
          </w:p>
          <w:p w:rsidR="00CF0324" w:rsidRDefault="00124A10">
            <w:pPr>
              <w:jc w:val="both"/>
            </w:pPr>
            <w:r>
              <w:t>- осуществлением промышленной, инвестиционной, научно-технической и инновационной политики;</w:t>
            </w:r>
          </w:p>
          <w:p w:rsidR="00CF0324" w:rsidRDefault="00124A10">
            <w:pPr>
              <w:jc w:val="both"/>
            </w:pPr>
            <w:r>
              <w:t>- регулированием имущественных и земельных отношений;</w:t>
            </w:r>
          </w:p>
          <w:p w:rsidR="00CF0324" w:rsidRDefault="00124A10">
            <w:pPr>
              <w:jc w:val="both"/>
            </w:pPr>
            <w:r>
              <w:t>- предметами ведения органов государственной власти Российской федерации, Ханты-Мансийского автономного округа-Югры и органов местного самоуправления.</w:t>
            </w:r>
          </w:p>
        </w:tc>
        <w:tc>
          <w:tcPr>
            <w:tcW w:w="7797" w:type="dxa"/>
            <w:vAlign w:val="center"/>
          </w:tcPr>
          <w:p w:rsidR="00CF0324" w:rsidRDefault="00124A10">
            <w:pPr>
              <w:jc w:val="both"/>
            </w:pPr>
            <w:r>
              <w:t>Организация мониторинга законодательства и планируемых изменений                      и разработка на этой основе корректирующих мероприятий.</w:t>
            </w:r>
          </w:p>
        </w:tc>
      </w:tr>
    </w:tbl>
    <w:p w:rsidR="00CF0324" w:rsidRDefault="00124A10">
      <w:pPr>
        <w:jc w:val="right"/>
      </w:pPr>
      <w:r>
        <w:lastRenderedPageBreak/>
        <w:t>Продолжение табл. 2.2.</w:t>
      </w:r>
    </w:p>
    <w:p w:rsidR="00CF0324" w:rsidRDefault="00CF0324">
      <w:pPr>
        <w:jc w:val="right"/>
      </w:pPr>
    </w:p>
    <w:tbl>
      <w:tblPr>
        <w:tblW w:w="1417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8"/>
        <w:gridCol w:w="7797"/>
      </w:tblGrid>
      <w:tr w:rsidR="00CF0324">
        <w:tc>
          <w:tcPr>
            <w:tcW w:w="6378" w:type="dxa"/>
            <w:vAlign w:val="center"/>
          </w:tcPr>
          <w:p w:rsidR="00CF0324" w:rsidRDefault="00124A10">
            <w:pPr>
              <w:jc w:val="both"/>
            </w:pPr>
            <w:r>
              <w:t>4.Недостаточная эффективность мероприятий Стратегии</w:t>
            </w:r>
          </w:p>
        </w:tc>
        <w:tc>
          <w:tcPr>
            <w:tcW w:w="7797" w:type="dxa"/>
          </w:tcPr>
          <w:p w:rsidR="00CF0324" w:rsidRDefault="00124A10">
            <w:pPr>
              <w:jc w:val="both"/>
            </w:pPr>
            <w:r>
              <w:t>Разработка методик повышения эффективности, изучение опыта других территорий, в том числе зарубежного, по реализации муниципальных программ социально-экономического развития, развитию малого предпринимательства, механизмов государственно-частного партнерства, созданию новых высокопроизводительных рабочих мест. Разработка корректирующих мероприятий. Формирование среды эффективного информационного взаимодействия участников.</w:t>
            </w:r>
          </w:p>
        </w:tc>
      </w:tr>
      <w:tr w:rsidR="00CF0324">
        <w:tc>
          <w:tcPr>
            <w:tcW w:w="6378" w:type="dxa"/>
            <w:vAlign w:val="center"/>
          </w:tcPr>
          <w:p w:rsidR="00CF0324" w:rsidRDefault="00124A10">
            <w:pPr>
              <w:jc w:val="both"/>
            </w:pPr>
            <w:r>
              <w:t xml:space="preserve">5.Утеря актуальности мероприятий Стратегии </w:t>
            </w:r>
          </w:p>
        </w:tc>
        <w:tc>
          <w:tcPr>
            <w:tcW w:w="7797" w:type="dxa"/>
          </w:tcPr>
          <w:p w:rsidR="00CF0324" w:rsidRDefault="00124A10">
            <w:pPr>
              <w:jc w:val="both"/>
            </w:pPr>
            <w:r>
              <w:t>Осуществление ежегодного анализа эффективности проводимых мероприятий, в том числе путем организации мониторинга и проведения выборочных исследований. Возможно перераспределение средств внутри направлений и отдельных мероприятий Стратегии. Проведение регулярных консультаций с участниками и исполнителями мероприятий Стратегии, а также с субъектами хозяйственной деятельности                                     и организациями, образующими инфраструктуру поддержки развития предпринимательства. Осуществление корректировок инвестиционных программ и проектов участников.</w:t>
            </w:r>
          </w:p>
        </w:tc>
      </w:tr>
      <w:tr w:rsidR="00CF0324">
        <w:tc>
          <w:tcPr>
            <w:tcW w:w="6378" w:type="dxa"/>
            <w:vAlign w:val="center"/>
          </w:tcPr>
          <w:p w:rsidR="00CF0324" w:rsidRDefault="00124A10">
            <w:pPr>
              <w:jc w:val="both"/>
            </w:pPr>
            <w:r>
              <w:t>6.Ресурсная недостаточность для обеспечения реализации мероприятий Стратегии и инвестиционных проектов предприятий – участников Стратегии</w:t>
            </w:r>
          </w:p>
        </w:tc>
        <w:tc>
          <w:tcPr>
            <w:tcW w:w="7797" w:type="dxa"/>
          </w:tcPr>
          <w:p w:rsidR="00CF0324" w:rsidRDefault="00124A10">
            <w:pPr>
              <w:jc w:val="both"/>
            </w:pPr>
            <w:r>
              <w:t>Определение приоритетов для первоначального инвестирования, оценка эффективности вложений. Активизация организационно-методической работы администрации Кондинского района по интеграции проектов участников Стратегии в реализуемые государственные программы Ханты - Мансийского автономного округа – Югры.</w:t>
            </w:r>
          </w:p>
        </w:tc>
      </w:tr>
    </w:tbl>
    <w:p w:rsidR="00CF0324" w:rsidRDefault="00CF0324">
      <w:pPr>
        <w:spacing w:line="360" w:lineRule="auto"/>
        <w:jc w:val="both"/>
        <w:rPr>
          <w:i/>
        </w:rPr>
        <w:sectPr w:rsidR="00CF0324">
          <w:pgSz w:w="16838" w:h="11906" w:orient="landscape"/>
          <w:pgMar w:top="1701" w:right="1134" w:bottom="851" w:left="1134" w:header="709" w:footer="709" w:gutter="0"/>
          <w:cols w:space="708"/>
          <w:docGrid w:linePitch="360"/>
        </w:sectPr>
      </w:pPr>
    </w:p>
    <w:p w:rsidR="00CF0324" w:rsidRDefault="00124A10">
      <w:pPr>
        <w:pStyle w:val="1"/>
        <w:rPr>
          <w:sz w:val="24"/>
          <w:lang w:val="ru-RU"/>
        </w:rPr>
      </w:pPr>
      <w:bookmarkStart w:id="30" w:name="_Toc30"/>
      <w:r>
        <w:rPr>
          <w:sz w:val="24"/>
          <w:lang w:val="ru-RU"/>
        </w:rPr>
        <w:lastRenderedPageBreak/>
        <w:t>2</w:t>
      </w:r>
      <w:r w:rsidRPr="00124A10">
        <w:rPr>
          <w:sz w:val="24"/>
          <w:lang w:val="ru-RU"/>
        </w:rPr>
        <w:t xml:space="preserve">.2. </w:t>
      </w:r>
      <w:r>
        <w:rPr>
          <w:sz w:val="24"/>
        </w:rPr>
        <w:t>PEST</w:t>
      </w:r>
      <w:r w:rsidRPr="00124A10">
        <w:rPr>
          <w:sz w:val="24"/>
          <w:lang w:val="ru-RU"/>
        </w:rPr>
        <w:t>-анализ</w:t>
      </w:r>
      <w:bookmarkEnd w:id="30"/>
    </w:p>
    <w:p w:rsidR="00CF0324" w:rsidRDefault="00124A10">
      <w:pPr>
        <w:tabs>
          <w:tab w:val="left" w:pos="993"/>
        </w:tabs>
        <w:spacing w:before="240" w:line="276" w:lineRule="auto"/>
        <w:ind w:firstLine="709"/>
        <w:jc w:val="both"/>
      </w:pPr>
      <w:r>
        <w:t>Определение влияния всех факторов на социально-экономическую ситуацию в муниципальном образовании – политических, экономических, социальных, технологических ставит вопросы стратегического характера, связанные с необходимостью разработки плана возможных ответных действий администрации района по предотвращению отрицательного воздействия фактора на развитие муниципального образования и использованию открывающихся благоприятных возможностей для его развития.</w:t>
      </w:r>
    </w:p>
    <w:p w:rsidR="00CF0324" w:rsidRDefault="00124A10">
      <w:pPr>
        <w:widowControl w:val="0"/>
        <w:jc w:val="center"/>
        <w:rPr>
          <w:b/>
          <w:color w:val="000000"/>
        </w:rPr>
      </w:pPr>
      <w:r>
        <w:rPr>
          <w:b/>
          <w:color w:val="000000"/>
        </w:rPr>
        <w:t>Политические факторы</w:t>
      </w:r>
    </w:p>
    <w:p w:rsidR="00CF0324" w:rsidRDefault="00CF0324">
      <w:pPr>
        <w:widowControl w:val="0"/>
        <w:ind w:firstLine="709"/>
        <w:jc w:val="both"/>
        <w:rPr>
          <w:color w:val="000000"/>
        </w:rPr>
      </w:pPr>
    </w:p>
    <w:p w:rsidR="00CF0324" w:rsidRDefault="00124A10">
      <w:pPr>
        <w:widowControl w:val="0"/>
        <w:ind w:firstLine="709"/>
        <w:jc w:val="both"/>
        <w:rPr>
          <w:color w:val="000000"/>
        </w:rPr>
      </w:pPr>
      <w:r>
        <w:rPr>
          <w:color w:val="000000"/>
        </w:rPr>
        <w:t>Внешние факторы:</w:t>
      </w:r>
    </w:p>
    <w:p w:rsidR="00CF0324" w:rsidRDefault="00124A10">
      <w:pPr>
        <w:widowControl w:val="0"/>
        <w:spacing w:line="276" w:lineRule="auto"/>
        <w:ind w:firstLine="709"/>
        <w:jc w:val="both"/>
        <w:rPr>
          <w:iCs/>
          <w:color w:val="000000"/>
        </w:rPr>
      </w:pPr>
      <w:r>
        <w:rPr>
          <w:iCs/>
          <w:color w:val="000000"/>
        </w:rPr>
        <w:t>изменение законодательства Российской Федерации (налогового, административного, экологического, социального, трудового, в сфере инвестиционной деятельности, строительства и жилищно-коммунального комплекса и т.д.);</w:t>
      </w:r>
    </w:p>
    <w:p w:rsidR="00CF0324" w:rsidRDefault="00124A10">
      <w:pPr>
        <w:widowControl w:val="0"/>
        <w:spacing w:line="276" w:lineRule="auto"/>
        <w:ind w:firstLine="709"/>
        <w:jc w:val="both"/>
        <w:rPr>
          <w:color w:val="000000"/>
        </w:rPr>
      </w:pPr>
      <w:r>
        <w:rPr>
          <w:color w:val="000000"/>
        </w:rPr>
        <w:t>напряженная геополитическая ситуация, сохранение действия экономических</w:t>
      </w:r>
      <w:r>
        <w:rPr>
          <w:iCs/>
          <w:color w:val="000000"/>
        </w:rPr>
        <w:t xml:space="preserve"> </w:t>
      </w:r>
      <w:r>
        <w:rPr>
          <w:color w:val="000000"/>
        </w:rPr>
        <w:t xml:space="preserve">санкций </w:t>
      </w:r>
      <w:r>
        <w:rPr>
          <w:iCs/>
          <w:color w:val="000000"/>
        </w:rPr>
        <w:t>со стороны отдельных</w:t>
      </w:r>
      <w:r>
        <w:rPr>
          <w:color w:val="000000"/>
        </w:rPr>
        <w:t xml:space="preserve"> стран в отношении российской экономики, а</w:t>
      </w:r>
      <w:r>
        <w:rPr>
          <w:iCs/>
          <w:color w:val="000000"/>
        </w:rPr>
        <w:t xml:space="preserve"> </w:t>
      </w:r>
      <w:r>
        <w:rPr>
          <w:color w:val="000000"/>
        </w:rPr>
        <w:t>также ответные меры со стороны Правительства Российской Федерации;</w:t>
      </w:r>
    </w:p>
    <w:p w:rsidR="00CF0324" w:rsidRDefault="00124A10">
      <w:pPr>
        <w:widowControl w:val="0"/>
        <w:ind w:firstLine="709"/>
        <w:jc w:val="both"/>
        <w:rPr>
          <w:iCs/>
          <w:color w:val="000000"/>
        </w:rPr>
      </w:pPr>
      <w:r>
        <w:rPr>
          <w:iCs/>
          <w:color w:val="000000"/>
        </w:rPr>
        <w:t>стабильность политической ситуации в Российской Федерации;</w:t>
      </w:r>
    </w:p>
    <w:p w:rsidR="00CF0324" w:rsidRDefault="00124A10">
      <w:pPr>
        <w:widowControl w:val="0"/>
        <w:spacing w:line="276" w:lineRule="auto"/>
        <w:ind w:firstLine="709"/>
        <w:jc w:val="both"/>
        <w:rPr>
          <w:iCs/>
          <w:color w:val="000000"/>
        </w:rPr>
      </w:pPr>
      <w:r>
        <w:rPr>
          <w:iCs/>
          <w:color w:val="000000"/>
        </w:rPr>
        <w:t>реализация стратегических документов Ханты-Мансийского автономного округа – Югры, определяющих цели и приоритеты развития региона на долгосрочную перспективу;</w:t>
      </w:r>
    </w:p>
    <w:p w:rsidR="00CF0324" w:rsidRDefault="00124A10">
      <w:pPr>
        <w:widowControl w:val="0"/>
        <w:ind w:firstLine="709"/>
        <w:jc w:val="both"/>
        <w:rPr>
          <w:iCs/>
          <w:color w:val="000000"/>
        </w:rPr>
      </w:pPr>
      <w:r>
        <w:rPr>
          <w:iCs/>
          <w:color w:val="000000"/>
        </w:rPr>
        <w:t>реализация приоритетных проектов Ханты-Мансийского автономного округа – Югры.</w:t>
      </w:r>
    </w:p>
    <w:p w:rsidR="00CF0324" w:rsidRDefault="00CF0324">
      <w:pPr>
        <w:widowControl w:val="0"/>
        <w:ind w:firstLine="709"/>
        <w:rPr>
          <w:color w:val="000000"/>
        </w:rPr>
      </w:pPr>
    </w:p>
    <w:p w:rsidR="00CF0324" w:rsidRDefault="00124A10">
      <w:pPr>
        <w:widowControl w:val="0"/>
        <w:ind w:firstLine="709"/>
        <w:rPr>
          <w:color w:val="000000"/>
        </w:rPr>
      </w:pPr>
      <w:r>
        <w:rPr>
          <w:color w:val="000000"/>
        </w:rPr>
        <w:t>Внутренние факторы:</w:t>
      </w:r>
    </w:p>
    <w:p w:rsidR="00CF0324" w:rsidRDefault="00124A10">
      <w:pPr>
        <w:widowControl w:val="0"/>
        <w:spacing w:line="276" w:lineRule="auto"/>
        <w:ind w:firstLine="709"/>
        <w:jc w:val="both"/>
        <w:rPr>
          <w:iCs/>
          <w:color w:val="000000"/>
        </w:rPr>
      </w:pPr>
      <w:r>
        <w:rPr>
          <w:iCs/>
          <w:color w:val="000000"/>
        </w:rPr>
        <w:t>нацеленность исполнительных органов муниципального образования на последовательное развитие экономического (в том числе инфраструктурного, кадрового) потенциала района на основе поддержания в долгосрочной перспективе инвестиционной привлекательности;</w:t>
      </w:r>
    </w:p>
    <w:p w:rsidR="00CF0324" w:rsidRDefault="00124A10">
      <w:pPr>
        <w:widowControl w:val="0"/>
        <w:spacing w:line="276" w:lineRule="auto"/>
        <w:ind w:firstLine="709"/>
        <w:jc w:val="both"/>
        <w:rPr>
          <w:color w:val="000000"/>
        </w:rPr>
      </w:pPr>
      <w:r>
        <w:rPr>
          <w:iCs/>
          <w:color w:val="000000"/>
        </w:rPr>
        <w:t>социально-общественная</w:t>
      </w:r>
      <w:r>
        <w:rPr>
          <w:color w:val="000000"/>
        </w:rPr>
        <w:t xml:space="preserve"> стабильность;</w:t>
      </w:r>
    </w:p>
    <w:p w:rsidR="00CF0324" w:rsidRDefault="00124A10">
      <w:pPr>
        <w:widowControl w:val="0"/>
        <w:spacing w:line="276" w:lineRule="auto"/>
        <w:ind w:firstLine="709"/>
        <w:jc w:val="both"/>
        <w:rPr>
          <w:color w:val="000000"/>
        </w:rPr>
      </w:pPr>
      <w:r>
        <w:rPr>
          <w:color w:val="000000"/>
        </w:rPr>
        <w:t>межэтническая и межрелигиозная стабильность;</w:t>
      </w:r>
    </w:p>
    <w:p w:rsidR="00CF0324" w:rsidRDefault="00124A10">
      <w:pPr>
        <w:widowControl w:val="0"/>
        <w:spacing w:line="276" w:lineRule="auto"/>
        <w:ind w:firstLine="709"/>
        <w:jc w:val="both"/>
        <w:rPr>
          <w:color w:val="000000"/>
        </w:rPr>
      </w:pPr>
      <w:r>
        <w:rPr>
          <w:color w:val="000000"/>
        </w:rPr>
        <w:t>развитие взаимодействия с институтами гражданского общества;</w:t>
      </w:r>
    </w:p>
    <w:p w:rsidR="00CF0324" w:rsidRDefault="00124A10">
      <w:pPr>
        <w:widowControl w:val="0"/>
        <w:spacing w:line="276" w:lineRule="auto"/>
        <w:ind w:firstLine="709"/>
        <w:jc w:val="both"/>
        <w:rPr>
          <w:color w:val="000000"/>
        </w:rPr>
      </w:pPr>
      <w:r>
        <w:rPr>
          <w:color w:val="000000"/>
        </w:rPr>
        <w:t>налаживание партнерских контактов с соседними муниципальными образованиями и регионами.</w:t>
      </w:r>
    </w:p>
    <w:p w:rsidR="00CF0324" w:rsidRDefault="00CF0324">
      <w:pPr>
        <w:widowControl w:val="0"/>
        <w:jc w:val="center"/>
        <w:rPr>
          <w:color w:val="000000"/>
        </w:rPr>
      </w:pPr>
    </w:p>
    <w:p w:rsidR="00CF0324" w:rsidRDefault="00124A10">
      <w:pPr>
        <w:widowControl w:val="0"/>
        <w:jc w:val="center"/>
        <w:rPr>
          <w:b/>
          <w:color w:val="000000"/>
        </w:rPr>
      </w:pPr>
      <w:r>
        <w:rPr>
          <w:b/>
          <w:color w:val="000000"/>
        </w:rPr>
        <w:t>Экономические факторы</w:t>
      </w:r>
    </w:p>
    <w:p w:rsidR="00CF0324" w:rsidRDefault="00CF0324">
      <w:pPr>
        <w:widowControl w:val="0"/>
        <w:spacing w:line="276" w:lineRule="auto"/>
        <w:ind w:firstLine="709"/>
        <w:jc w:val="both"/>
        <w:rPr>
          <w:color w:val="000000"/>
        </w:rPr>
      </w:pPr>
    </w:p>
    <w:p w:rsidR="00CF0324" w:rsidRDefault="00124A10">
      <w:pPr>
        <w:widowControl w:val="0"/>
        <w:spacing w:line="276" w:lineRule="auto"/>
        <w:ind w:firstLine="709"/>
        <w:jc w:val="both"/>
        <w:rPr>
          <w:color w:val="000000"/>
        </w:rPr>
      </w:pPr>
      <w:r>
        <w:rPr>
          <w:color w:val="000000"/>
        </w:rPr>
        <w:t>Внешние факторы:</w:t>
      </w:r>
    </w:p>
    <w:p w:rsidR="00CF0324" w:rsidRDefault="00124A10">
      <w:pPr>
        <w:widowControl w:val="0"/>
        <w:spacing w:line="276" w:lineRule="auto"/>
        <w:ind w:firstLine="709"/>
        <w:jc w:val="both"/>
        <w:rPr>
          <w:color w:val="000000"/>
        </w:rPr>
      </w:pPr>
      <w:r>
        <w:rPr>
          <w:color w:val="000000"/>
        </w:rPr>
        <w:t>дестабилизация экономики, вызванная пандемией новой коронавирусной инфекции (COVID-19), медленное восстановление деловой активности;</w:t>
      </w:r>
    </w:p>
    <w:p w:rsidR="00CF0324" w:rsidRDefault="00124A10">
      <w:pPr>
        <w:widowControl w:val="0"/>
        <w:spacing w:line="276" w:lineRule="auto"/>
        <w:ind w:firstLine="709"/>
        <w:jc w:val="both"/>
        <w:rPr>
          <w:iCs/>
          <w:color w:val="000000"/>
        </w:rPr>
      </w:pPr>
      <w:r>
        <w:rPr>
          <w:iCs/>
          <w:color w:val="000000"/>
        </w:rPr>
        <w:t xml:space="preserve">изменение ключевой ставки Банка России, удорожание кредитных ресурсов; </w:t>
      </w:r>
    </w:p>
    <w:p w:rsidR="00CF0324" w:rsidRDefault="00124A10">
      <w:pPr>
        <w:widowControl w:val="0"/>
        <w:spacing w:line="276" w:lineRule="auto"/>
        <w:ind w:firstLine="709"/>
        <w:jc w:val="both"/>
        <w:rPr>
          <w:color w:val="000000"/>
        </w:rPr>
      </w:pPr>
      <w:r>
        <w:rPr>
          <w:color w:val="000000"/>
        </w:rPr>
        <w:t>реализация национальных приоритетных проектов Российской Федерации</w:t>
      </w:r>
      <w:r>
        <w:rPr>
          <w:iCs/>
          <w:color w:val="000000"/>
        </w:rPr>
        <w:t>.</w:t>
      </w:r>
    </w:p>
    <w:p w:rsidR="00CF0324" w:rsidRDefault="00CF0324">
      <w:pPr>
        <w:widowControl w:val="0"/>
        <w:spacing w:line="276" w:lineRule="auto"/>
        <w:ind w:firstLine="709"/>
        <w:jc w:val="both"/>
        <w:rPr>
          <w:color w:val="000000"/>
        </w:rPr>
      </w:pPr>
    </w:p>
    <w:p w:rsidR="00CF0324" w:rsidRDefault="00124A10">
      <w:pPr>
        <w:widowControl w:val="0"/>
        <w:spacing w:line="276" w:lineRule="auto"/>
        <w:ind w:firstLine="709"/>
        <w:jc w:val="both"/>
        <w:rPr>
          <w:color w:val="000000"/>
        </w:rPr>
      </w:pPr>
      <w:r>
        <w:rPr>
          <w:color w:val="000000"/>
        </w:rPr>
        <w:t>Внутренние факторы:</w:t>
      </w:r>
    </w:p>
    <w:p w:rsidR="00CF0324" w:rsidRDefault="00124A10">
      <w:pPr>
        <w:widowControl w:val="0"/>
        <w:spacing w:line="276" w:lineRule="auto"/>
        <w:ind w:firstLine="709"/>
        <w:jc w:val="both"/>
        <w:rPr>
          <w:color w:val="000000"/>
        </w:rPr>
      </w:pPr>
      <w:r>
        <w:rPr>
          <w:color w:val="000000"/>
        </w:rPr>
        <w:t>реализация государственных и муниципальных программ в районе;</w:t>
      </w:r>
    </w:p>
    <w:p w:rsidR="00CF0324" w:rsidRDefault="00124A10">
      <w:pPr>
        <w:widowControl w:val="0"/>
        <w:spacing w:line="276" w:lineRule="auto"/>
        <w:ind w:firstLine="709"/>
        <w:jc w:val="both"/>
        <w:rPr>
          <w:iCs/>
          <w:color w:val="000000"/>
        </w:rPr>
      </w:pPr>
      <w:r>
        <w:rPr>
          <w:iCs/>
          <w:color w:val="000000"/>
        </w:rPr>
        <w:t>высокий уровень безработицы по сравнению со среднеокружным значением;</w:t>
      </w:r>
    </w:p>
    <w:p w:rsidR="00CF0324" w:rsidRDefault="00124A10">
      <w:pPr>
        <w:spacing w:line="276" w:lineRule="auto"/>
        <w:ind w:firstLine="709"/>
        <w:jc w:val="both"/>
      </w:pPr>
      <w:r>
        <w:lastRenderedPageBreak/>
        <w:t>низкий уровень диверсификации экономики (высокая доля добычи в объеме отгруженной продукции района);</w:t>
      </w:r>
    </w:p>
    <w:p w:rsidR="00CF0324" w:rsidRDefault="00124A10">
      <w:pPr>
        <w:widowControl w:val="0"/>
        <w:spacing w:line="276" w:lineRule="auto"/>
        <w:ind w:firstLine="709"/>
        <w:jc w:val="both"/>
        <w:rPr>
          <w:iCs/>
          <w:color w:val="000000"/>
        </w:rPr>
      </w:pPr>
      <w:r>
        <w:rPr>
          <w:iCs/>
          <w:color w:val="000000"/>
        </w:rPr>
        <w:t>суровые природно-климатические условия, предопределяющие высокие издержки производства, ограничивающие возможности внешнего и внутреннего импортозамещения, особенно в сфере АПК;</w:t>
      </w:r>
    </w:p>
    <w:p w:rsidR="00CF0324" w:rsidRDefault="00124A10">
      <w:pPr>
        <w:widowControl w:val="0"/>
        <w:spacing w:line="276" w:lineRule="auto"/>
        <w:ind w:firstLine="709"/>
        <w:jc w:val="both"/>
        <w:rPr>
          <w:iCs/>
          <w:color w:val="000000"/>
        </w:rPr>
      </w:pPr>
      <w:r>
        <w:rPr>
          <w:iCs/>
          <w:color w:val="000000"/>
        </w:rPr>
        <w:t>отсутствие автомобильной дороги круглогодичного действия в сторону г.Тюмень;</w:t>
      </w:r>
    </w:p>
    <w:p w:rsidR="00CF0324" w:rsidRDefault="00124A10">
      <w:pPr>
        <w:widowControl w:val="0"/>
        <w:spacing w:line="276" w:lineRule="auto"/>
        <w:ind w:firstLine="709"/>
        <w:jc w:val="both"/>
        <w:rPr>
          <w:iCs/>
          <w:color w:val="000000"/>
        </w:rPr>
      </w:pPr>
      <w:r>
        <w:rPr>
          <w:iCs/>
          <w:color w:val="000000"/>
        </w:rPr>
        <w:t>территориальная концентрация экономической активности в административном центре района, диспропорции в социально-экономическом развитии городских и сельских поселений;</w:t>
      </w:r>
    </w:p>
    <w:p w:rsidR="00CF0324" w:rsidRDefault="00124A10">
      <w:pPr>
        <w:widowControl w:val="0"/>
        <w:spacing w:line="276" w:lineRule="auto"/>
        <w:ind w:firstLine="709"/>
        <w:jc w:val="both"/>
        <w:rPr>
          <w:color w:val="000000"/>
        </w:rPr>
      </w:pPr>
      <w:r>
        <w:rPr>
          <w:iCs/>
          <w:color w:val="000000"/>
        </w:rPr>
        <w:t>снижение численности трудоспособного населения в связи с миграционной и естественной убылью населения;</w:t>
      </w:r>
    </w:p>
    <w:p w:rsidR="00CF0324" w:rsidRDefault="00124A10">
      <w:pPr>
        <w:widowControl w:val="0"/>
        <w:spacing w:line="276" w:lineRule="auto"/>
        <w:ind w:firstLine="709"/>
        <w:jc w:val="both"/>
        <w:rPr>
          <w:iCs/>
          <w:color w:val="000000"/>
        </w:rPr>
      </w:pPr>
      <w:r>
        <w:rPr>
          <w:iCs/>
          <w:color w:val="000000"/>
        </w:rPr>
        <w:t>недостаточность инвестиционной активности и инновационного развития предпринимательства.</w:t>
      </w:r>
    </w:p>
    <w:p w:rsidR="00CF0324" w:rsidRDefault="00CF0324">
      <w:pPr>
        <w:widowControl w:val="0"/>
        <w:spacing w:line="276" w:lineRule="auto"/>
        <w:ind w:firstLine="709"/>
        <w:jc w:val="both"/>
        <w:rPr>
          <w:color w:val="000000"/>
        </w:rPr>
      </w:pPr>
    </w:p>
    <w:p w:rsidR="00CF0324" w:rsidRDefault="00124A10">
      <w:pPr>
        <w:widowControl w:val="0"/>
        <w:spacing w:line="276" w:lineRule="auto"/>
        <w:jc w:val="center"/>
        <w:rPr>
          <w:b/>
          <w:color w:val="000000"/>
        </w:rPr>
      </w:pPr>
      <w:r>
        <w:rPr>
          <w:b/>
          <w:color w:val="000000"/>
        </w:rPr>
        <w:t>Социальные факторы</w:t>
      </w:r>
    </w:p>
    <w:p w:rsidR="00CF0324" w:rsidRDefault="00124A10">
      <w:pPr>
        <w:widowControl w:val="0"/>
        <w:spacing w:line="276" w:lineRule="auto"/>
        <w:ind w:firstLine="709"/>
        <w:jc w:val="both"/>
        <w:rPr>
          <w:color w:val="000000"/>
        </w:rPr>
      </w:pPr>
      <w:r>
        <w:rPr>
          <w:color w:val="000000"/>
        </w:rPr>
        <w:t>Внешние факторы:</w:t>
      </w:r>
    </w:p>
    <w:p w:rsidR="00CF0324" w:rsidRDefault="00124A10">
      <w:pPr>
        <w:widowControl w:val="0"/>
        <w:spacing w:line="276" w:lineRule="auto"/>
        <w:ind w:firstLine="709"/>
        <w:jc w:val="both"/>
        <w:rPr>
          <w:color w:val="000000"/>
        </w:rPr>
      </w:pPr>
      <w:r>
        <w:rPr>
          <w:color w:val="000000"/>
        </w:rPr>
        <w:t>пандемия новой коронавирусной инфекции (COVID-19) крайне негативно отразилась на ключевых показателях демографического роста;</w:t>
      </w:r>
    </w:p>
    <w:p w:rsidR="00CF0324" w:rsidRDefault="00124A10">
      <w:pPr>
        <w:widowControl w:val="0"/>
        <w:spacing w:line="276" w:lineRule="auto"/>
        <w:ind w:firstLine="709"/>
        <w:jc w:val="both"/>
        <w:rPr>
          <w:iCs/>
          <w:color w:val="000000"/>
        </w:rPr>
      </w:pPr>
      <w:r>
        <w:rPr>
          <w:iCs/>
          <w:color w:val="000000"/>
        </w:rPr>
        <w:t xml:space="preserve">отток трудоспособного населения и молодежи в иные регионы России в целях обучения и трудоустройства; </w:t>
      </w:r>
    </w:p>
    <w:p w:rsidR="00CF0324" w:rsidRDefault="00124A10">
      <w:pPr>
        <w:widowControl w:val="0"/>
        <w:spacing w:line="276" w:lineRule="auto"/>
        <w:ind w:firstLine="709"/>
        <w:jc w:val="both"/>
        <w:rPr>
          <w:color w:val="000000"/>
        </w:rPr>
      </w:pPr>
      <w:r>
        <w:rPr>
          <w:color w:val="000000"/>
        </w:rPr>
        <w:t>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p w:rsidR="00CF0324" w:rsidRDefault="00124A10">
      <w:pPr>
        <w:widowControl w:val="0"/>
        <w:spacing w:line="276" w:lineRule="auto"/>
        <w:ind w:firstLine="709"/>
        <w:jc w:val="both"/>
        <w:rPr>
          <w:color w:val="000000"/>
        </w:rPr>
      </w:pPr>
      <w:r>
        <w:rPr>
          <w:color w:val="000000"/>
        </w:rPr>
        <w:t>Внутренние факторы:</w:t>
      </w:r>
    </w:p>
    <w:p w:rsidR="00CF0324" w:rsidRDefault="00124A10">
      <w:pPr>
        <w:widowControl w:val="0"/>
        <w:spacing w:line="276" w:lineRule="auto"/>
        <w:ind w:firstLine="709"/>
        <w:jc w:val="both"/>
        <w:rPr>
          <w:iCs/>
          <w:color w:val="000000"/>
        </w:rPr>
      </w:pPr>
      <w:r>
        <w:rPr>
          <w:iCs/>
          <w:color w:val="000000"/>
        </w:rPr>
        <w:t>низкий уровень доходов населения в сравнении со среднеокружным значением;</w:t>
      </w:r>
    </w:p>
    <w:p w:rsidR="00CF0324" w:rsidRDefault="00124A10">
      <w:pPr>
        <w:widowControl w:val="0"/>
        <w:spacing w:line="276" w:lineRule="auto"/>
        <w:ind w:firstLine="709"/>
        <w:jc w:val="both"/>
        <w:rPr>
          <w:iCs/>
          <w:color w:val="000000"/>
        </w:rPr>
      </w:pPr>
      <w:r>
        <w:rPr>
          <w:iCs/>
          <w:color w:val="000000"/>
        </w:rPr>
        <w:t>низкий уровень транспортной связности отдельных поселений района;</w:t>
      </w:r>
    </w:p>
    <w:p w:rsidR="00CF0324" w:rsidRDefault="00124A10">
      <w:pPr>
        <w:widowControl w:val="0"/>
        <w:spacing w:line="276" w:lineRule="auto"/>
        <w:ind w:firstLine="709"/>
        <w:jc w:val="both"/>
        <w:rPr>
          <w:iCs/>
          <w:color w:val="000000"/>
        </w:rPr>
      </w:pPr>
      <w:r>
        <w:rPr>
          <w:iCs/>
          <w:color w:val="000000"/>
        </w:rPr>
        <w:t xml:space="preserve">рост демографической нагрузки на трудоспособное население; </w:t>
      </w:r>
    </w:p>
    <w:p w:rsidR="00CF0324" w:rsidRDefault="00124A10">
      <w:pPr>
        <w:widowControl w:val="0"/>
        <w:spacing w:line="276" w:lineRule="auto"/>
        <w:ind w:firstLine="709"/>
        <w:jc w:val="both"/>
        <w:rPr>
          <w:iCs/>
          <w:color w:val="000000"/>
        </w:rPr>
      </w:pPr>
      <w:r>
        <w:rPr>
          <w:iCs/>
          <w:color w:val="000000"/>
        </w:rPr>
        <w:t xml:space="preserve">дефицит высококвалифицированных кадров; </w:t>
      </w:r>
    </w:p>
    <w:p w:rsidR="00CF0324" w:rsidRDefault="00124A10">
      <w:pPr>
        <w:widowControl w:val="0"/>
        <w:spacing w:line="276" w:lineRule="auto"/>
        <w:ind w:firstLine="709"/>
        <w:jc w:val="both"/>
        <w:rPr>
          <w:iCs/>
          <w:color w:val="000000"/>
        </w:rPr>
      </w:pPr>
      <w:r>
        <w:rPr>
          <w:iCs/>
          <w:color w:val="000000"/>
        </w:rPr>
        <w:t>неудовлетворённость населения качеством медицинских услуг;</w:t>
      </w:r>
    </w:p>
    <w:p w:rsidR="00CF0324" w:rsidRDefault="00124A10">
      <w:pPr>
        <w:widowControl w:val="0"/>
        <w:spacing w:line="276" w:lineRule="auto"/>
        <w:ind w:firstLine="709"/>
        <w:jc w:val="both"/>
        <w:rPr>
          <w:iCs/>
          <w:color w:val="000000"/>
        </w:rPr>
      </w:pPr>
      <w:r>
        <w:rPr>
          <w:iCs/>
          <w:color w:val="000000"/>
        </w:rPr>
        <w:t>ограниченный рынок труда.</w:t>
      </w:r>
    </w:p>
    <w:p w:rsidR="00CF0324" w:rsidRDefault="00124A10">
      <w:pPr>
        <w:spacing w:line="276" w:lineRule="auto"/>
        <w:ind w:firstLine="708"/>
        <w:jc w:val="both"/>
      </w:pPr>
      <w:r>
        <w:t>О</w:t>
      </w:r>
      <w:r>
        <w:rPr>
          <w:bCs/>
          <w:color w:val="000000"/>
        </w:rPr>
        <w:t xml:space="preserve">сновными структурными факторами, негативно влияющими на социально-экономическое развитие </w:t>
      </w:r>
      <w:r>
        <w:rPr>
          <w:lang w:eastAsia="en-US"/>
        </w:rPr>
        <w:t>Кондинского района</w:t>
      </w:r>
      <w:r>
        <w:rPr>
          <w:bCs/>
          <w:color w:val="000000"/>
        </w:rPr>
        <w:t xml:space="preserve">, являются состояние основных фондов экономики, </w:t>
      </w:r>
      <w:r>
        <w:t>вопросы кадровой обеспеченности, доступность жилья, ресурсные и инфраструктурные ограничения. Основными среди конкурентных слабостей являются неразвитость транспортно-логистической и информационно-коммуникационной инфраструктур Кондинского района, сложная транспортная схема внутри территории, отток квалифицированных кадров, отсутствие газификации и высокие тарифы ЖКХ.</w:t>
      </w:r>
    </w:p>
    <w:p w:rsidR="00CF0324" w:rsidRDefault="00124A10">
      <w:pPr>
        <w:spacing w:line="276" w:lineRule="auto"/>
        <w:ind w:firstLine="708"/>
        <w:jc w:val="both"/>
      </w:pPr>
      <w:r>
        <w:t xml:space="preserve">Среди конкурентных преимуществ территории </w:t>
      </w:r>
      <w:r>
        <w:rPr>
          <w:lang w:eastAsia="en-US"/>
        </w:rPr>
        <w:t>Кондинского района</w:t>
      </w:r>
      <w:r>
        <w:t xml:space="preserve"> выделяются природно-ресурсный потенциал, наличие земель сельскохозяйственного назначения, различные виды транспорта, современные объекты социальной сферы, богатая историческая и этнографическая культура, возможности развития туристической индустрии.</w:t>
      </w:r>
    </w:p>
    <w:p w:rsidR="00CF0324" w:rsidRDefault="00124A10">
      <w:pPr>
        <w:spacing w:line="276" w:lineRule="auto"/>
        <w:ind w:firstLine="708"/>
        <w:jc w:val="both"/>
      </w:pPr>
      <w:r>
        <w:t xml:space="preserve">Текущий уровень конкурентоспособности района оценивается как достаточный для решения задач перспективного развития. В тоже время экономический потенциал территории продолжает оставаться «инерционным», ориентированным на развитие, </w:t>
      </w:r>
      <w:r>
        <w:lastRenderedPageBreak/>
        <w:t>прежде всего, традиционных производств. Сегодня остро стоят вопросы диверсификации реального сектора экономики, создания эффективной инфраструктуры, повышения уровня транспортной доступности и оптимизации логистики, активизации инвестиционной деятельности. Однако для осуществления диверсификации местной экономики требуются значительные инвестиции, источники которых пока недостаточны.</w:t>
      </w:r>
    </w:p>
    <w:p w:rsidR="00CF0324" w:rsidRDefault="00124A10">
      <w:pPr>
        <w:spacing w:line="276" w:lineRule="auto"/>
        <w:ind w:firstLine="708"/>
        <w:jc w:val="both"/>
      </w:pPr>
      <w:r>
        <w:t>Повышению конкурентоспособности Кондинского района будет способствовать повышение эффективности управления в органах местного самоуправления по привлечению инвестиций, созданию максимально благоприятных условий для предпринимательской деятельности, для диверсификации экономики района, укрепления местного бюджета и обеспечения дальнейшего развития социальной сферы Кондинского района.</w:t>
      </w:r>
    </w:p>
    <w:p w:rsidR="00CF0324" w:rsidRDefault="00124A10">
      <w:pPr>
        <w:pStyle w:val="1"/>
        <w:spacing w:after="240"/>
        <w:rPr>
          <w:sz w:val="24"/>
          <w:lang w:val="ru-RU"/>
        </w:rPr>
      </w:pPr>
      <w:bookmarkStart w:id="31" w:name="_Toc31"/>
      <w:r>
        <w:rPr>
          <w:sz w:val="24"/>
          <w:lang w:val="ru-RU"/>
        </w:rPr>
        <w:t>2</w:t>
      </w:r>
      <w:r w:rsidRPr="00124A10">
        <w:rPr>
          <w:sz w:val="24"/>
          <w:lang w:val="ru-RU"/>
        </w:rPr>
        <w:t>.</w:t>
      </w:r>
      <w:r>
        <w:rPr>
          <w:sz w:val="24"/>
          <w:lang w:val="ru-RU"/>
        </w:rPr>
        <w:t>3</w:t>
      </w:r>
      <w:r w:rsidRPr="00124A10">
        <w:rPr>
          <w:sz w:val="24"/>
          <w:lang w:val="ru-RU"/>
        </w:rPr>
        <w:t xml:space="preserve">. </w:t>
      </w:r>
      <w:r>
        <w:rPr>
          <w:sz w:val="24"/>
          <w:lang w:val="ru-RU"/>
        </w:rPr>
        <w:t>Конкурентные преимущества</w:t>
      </w:r>
      <w:bookmarkEnd w:id="31"/>
    </w:p>
    <w:p w:rsidR="00CF0324" w:rsidRDefault="00124A10">
      <w:pPr>
        <w:tabs>
          <w:tab w:val="left" w:pos="993"/>
        </w:tabs>
        <w:spacing w:line="276" w:lineRule="auto"/>
        <w:ind w:firstLine="709"/>
        <w:jc w:val="both"/>
      </w:pPr>
      <w:r>
        <w:t>В результате проведенного анализа, выделены основные конкурентные преимущества Кондинского района среди муниципалитетов Ханты-Мансийского автономного округа – Югры:</w:t>
      </w:r>
    </w:p>
    <w:p w:rsidR="00CF0324" w:rsidRDefault="00124A10">
      <w:pPr>
        <w:tabs>
          <w:tab w:val="left" w:pos="993"/>
        </w:tabs>
        <w:spacing w:line="276" w:lineRule="auto"/>
        <w:ind w:firstLine="709"/>
        <w:jc w:val="both"/>
      </w:pPr>
      <w:r>
        <w:t>южное географическое положение;</w:t>
      </w:r>
    </w:p>
    <w:p w:rsidR="00CF0324" w:rsidRDefault="00124A10">
      <w:pPr>
        <w:tabs>
          <w:tab w:val="left" w:pos="993"/>
        </w:tabs>
        <w:spacing w:line="276" w:lineRule="auto"/>
        <w:ind w:firstLine="709"/>
        <w:jc w:val="both"/>
      </w:pPr>
      <w:r>
        <w:t>«мягкий климат»;</w:t>
      </w:r>
    </w:p>
    <w:p w:rsidR="00CF0324" w:rsidRDefault="00124A10">
      <w:pPr>
        <w:tabs>
          <w:tab w:val="left" w:pos="993"/>
        </w:tabs>
        <w:spacing w:line="276" w:lineRule="auto"/>
        <w:ind w:firstLine="709"/>
        <w:jc w:val="both"/>
      </w:pPr>
      <w:r>
        <w:t>наличие  пахотных земель (60% от общего количества пахотных земель в автономном округе);</w:t>
      </w:r>
    </w:p>
    <w:p w:rsidR="00CF0324" w:rsidRDefault="00124A10">
      <w:pPr>
        <w:tabs>
          <w:tab w:val="left" w:pos="993"/>
        </w:tabs>
        <w:spacing w:line="276" w:lineRule="auto"/>
        <w:ind w:firstLine="709"/>
        <w:jc w:val="both"/>
      </w:pPr>
      <w:r>
        <w:t>высокая доля субъектов малого и среднего предпринимательства;</w:t>
      </w:r>
    </w:p>
    <w:p w:rsidR="00CF0324" w:rsidRDefault="00124A10">
      <w:pPr>
        <w:tabs>
          <w:tab w:val="left" w:pos="993"/>
        </w:tabs>
        <w:spacing w:line="276" w:lineRule="auto"/>
        <w:ind w:firstLine="709"/>
        <w:jc w:val="both"/>
      </w:pPr>
      <w:r>
        <w:t>наличие всех видов транспорта;</w:t>
      </w:r>
    </w:p>
    <w:p w:rsidR="00CF0324" w:rsidRDefault="00124A10">
      <w:pPr>
        <w:tabs>
          <w:tab w:val="left" w:pos="993"/>
        </w:tabs>
        <w:spacing w:line="276" w:lineRule="auto"/>
        <w:ind w:firstLine="709"/>
        <w:jc w:val="both"/>
      </w:pPr>
      <w:r>
        <w:t>богатое культурное наследие.</w:t>
      </w:r>
    </w:p>
    <w:p w:rsidR="00CF0324" w:rsidRDefault="00CF0324">
      <w:pPr>
        <w:spacing w:line="276" w:lineRule="auto"/>
        <w:ind w:firstLine="708"/>
        <w:jc w:val="both"/>
      </w:pPr>
    </w:p>
    <w:p w:rsidR="00CF0324" w:rsidRDefault="00CF0324">
      <w:pPr>
        <w:spacing w:line="360" w:lineRule="auto"/>
        <w:jc w:val="both"/>
        <w:sectPr w:rsidR="00CF0324">
          <w:footerReference w:type="default" r:id="rId33"/>
          <w:pgSz w:w="11906" w:h="16838"/>
          <w:pgMar w:top="1134" w:right="850" w:bottom="1134" w:left="1701" w:header="708" w:footer="708" w:gutter="0"/>
          <w:cols w:space="708"/>
          <w:docGrid w:linePitch="360"/>
        </w:sectPr>
      </w:pPr>
    </w:p>
    <w:p w:rsidR="00CF0324" w:rsidRDefault="00124A10">
      <w:pPr>
        <w:pStyle w:val="afff1"/>
      </w:pPr>
      <w:bookmarkStart w:id="32" w:name="_Toc32"/>
      <w:r>
        <w:lastRenderedPageBreak/>
        <w:t xml:space="preserve">РАЗДЕЛ 3. ЦЕЛИ И ЗАДАЧИ СТРАТЕГИИ СОЦИАЛЬНО-ЭКОНОМИЧЕСКОГО РАЗВИТИЯ КОНДИНСКОГО РАЙОНА </w:t>
      </w:r>
      <w:r>
        <w:rPr>
          <w:bCs/>
        </w:rPr>
        <w:t>ХАНТЫ-МАНСИЙСКОГО АВТОНОМНОГО ОКРУГА-ЮГРЫ</w:t>
      </w:r>
      <w:r>
        <w:t xml:space="preserve">  НА ПЕРИОД ДО 2036 ГОДА</w:t>
      </w:r>
      <w:bookmarkEnd w:id="32"/>
    </w:p>
    <w:p w:rsidR="00CF0324" w:rsidRDefault="00CF0324">
      <w:pPr>
        <w:spacing w:line="276" w:lineRule="auto"/>
        <w:jc w:val="both"/>
        <w:rPr>
          <w:i/>
        </w:rPr>
      </w:pPr>
    </w:p>
    <w:p w:rsidR="00CF0324" w:rsidRDefault="00124A10">
      <w:pPr>
        <w:spacing w:line="276" w:lineRule="auto"/>
        <w:ind w:firstLine="708"/>
        <w:jc w:val="both"/>
      </w:pPr>
      <w:r>
        <w:t>Стратегическая цель развития Кондинского района заключается в повышении качества жизни населения путем формирования благоприятной социальной среды и брендирования территории, эффективного развития реального сектора экономики, основанной на инновациях и конкурентных преимуществах, развития туризма, гражданской инициативы и местного самоуправления.</w:t>
      </w:r>
    </w:p>
    <w:p w:rsidR="00CF0324" w:rsidRDefault="00124A10">
      <w:pPr>
        <w:spacing w:line="276" w:lineRule="auto"/>
        <w:ind w:firstLine="708"/>
        <w:jc w:val="both"/>
      </w:pPr>
      <w:r>
        <w:t>Стратегическая цель корреспондируется с основными положениями Указа Президента Российской Федерации от 07 мая 2018 года, Стратегии социально-экономического развития Ханты-Мансийского автономного округа – Югры до 2036 с целевыми ориентирами до 2050 года.</w:t>
      </w:r>
    </w:p>
    <w:p w:rsidR="00CF0324" w:rsidRDefault="00124A10">
      <w:pPr>
        <w:spacing w:line="276" w:lineRule="auto"/>
        <w:ind w:firstLine="708"/>
        <w:jc w:val="both"/>
      </w:pPr>
      <w:r>
        <w:t>Цель демографической политики заключается в сохранении и увеличении численности постоянного населения района путем позиционирования для молодежи привлекательности территории для комфортного проживания с возможностью пользоваться благами, как первозданной природы, так и научно-технического прогресса.</w:t>
      </w:r>
    </w:p>
    <w:p w:rsidR="00CF0324" w:rsidRDefault="00124A10">
      <w:pPr>
        <w:spacing w:line="276" w:lineRule="auto"/>
        <w:ind w:firstLine="708"/>
        <w:jc w:val="both"/>
      </w:pPr>
      <w:r>
        <w:t>Цель экономической политики заключается создание эффективной экономики района путем создания на территории района инновационных хозяйствующих субъектов с использованием новых технологий во всех сферах экономики района, диверсификации экономики, расширения емкости внутреннего рынка с элементами самообеспечения района продовольственными товарами, использованием местных ресурсов в экономике района, создания конкурентоспособных товаров на международном, внутрироссийском и региональном рынках, привлечения квалифицированных кадров в различные сферы экономики, развития туристической индустрии на мощном культурном наследии района.</w:t>
      </w:r>
    </w:p>
    <w:p w:rsidR="00CF0324" w:rsidRDefault="00124A10">
      <w:pPr>
        <w:spacing w:line="276" w:lineRule="auto"/>
        <w:ind w:firstLine="708"/>
        <w:jc w:val="both"/>
      </w:pPr>
      <w:r>
        <w:t>Инвестиционная политика будет направлена на поддержку хозяйствующих субъектов, в том числе малых форм, их непрерывную инновационную модернизацию, внедрение новых технологий в сельском хозяйстве, лесной промышленности, жилищно-коммунальном хозяйстве и дорожном строительстве.</w:t>
      </w:r>
    </w:p>
    <w:p w:rsidR="00CF0324" w:rsidRDefault="00124A10">
      <w:pPr>
        <w:spacing w:line="276" w:lineRule="auto"/>
        <w:ind w:firstLine="708"/>
        <w:jc w:val="both"/>
      </w:pPr>
      <w:r>
        <w:t>Цель образовательной политики – сформировать единую образовательную цепочку в повышении уровня квалификации населения для местного рынка труда Кондинского района, сократить структурную безработицу.</w:t>
      </w:r>
    </w:p>
    <w:p w:rsidR="00CF0324" w:rsidRDefault="00124A10">
      <w:pPr>
        <w:spacing w:line="276" w:lineRule="auto"/>
        <w:ind w:firstLine="708"/>
        <w:jc w:val="both"/>
      </w:pPr>
      <w:r>
        <w:t>Цель в области охраны природной среды (экологии) - рекультивация действующих объектов негативного воздействия, проведение мероприятий по очистке и зарыблению водоемов, лесовосстановление, сохранение целостности и биологического разнообразия ландшафтов района, воспитание экологической культуры населения.</w:t>
      </w:r>
    </w:p>
    <w:p w:rsidR="00CF0324" w:rsidRDefault="00124A10">
      <w:pPr>
        <w:spacing w:line="276" w:lineRule="auto"/>
        <w:ind w:firstLine="708"/>
        <w:jc w:val="both"/>
      </w:pPr>
      <w:r>
        <w:t>Цель бюджетно-финансовой политики – увеличение доли собственных налоговых доходов в доходной части бюджета района, наращивание внебюджетной составляющей в финансовой системе района и сокращение неэффективных расходов.</w:t>
      </w:r>
    </w:p>
    <w:p w:rsidR="00CF0324" w:rsidRDefault="00124A10">
      <w:pPr>
        <w:spacing w:line="276" w:lineRule="auto"/>
        <w:ind w:firstLine="708"/>
        <w:jc w:val="both"/>
      </w:pPr>
      <w:r>
        <w:t>В ряду стратегических задач, решение которых должно обеспечить достижение цели настоящей Стратегии, ключевыми являются следующие:</w:t>
      </w:r>
    </w:p>
    <w:p w:rsidR="00CF0324" w:rsidRDefault="00124A10">
      <w:pPr>
        <w:spacing w:line="276" w:lineRule="auto"/>
        <w:ind w:firstLine="708"/>
        <w:jc w:val="both"/>
      </w:pPr>
      <w:r>
        <w:t xml:space="preserve">развитие Кондинского района как социально ориентированной, комфортной для проживания территории, поддерживающей высокие стандарты жизни населения, обеспечивающей рост культурного и духовно-нравственного потенциала, в том числе </w:t>
      </w:r>
      <w:r>
        <w:lastRenderedPageBreak/>
        <w:t>через сохранение и обеспечение защиты культурного наследия, языков и народно-художественных промыслов коренных малочисленных народов Севера;</w:t>
      </w:r>
    </w:p>
    <w:p w:rsidR="00CF0324" w:rsidRDefault="00124A10">
      <w:pPr>
        <w:spacing w:line="276" w:lineRule="auto"/>
        <w:ind w:firstLine="708"/>
        <w:jc w:val="both"/>
      </w:pPr>
      <w:r>
        <w:t>создание организационно-экономических условий для структурной и технологической модернизации промышленности и агропромышленного комплекса, формирования и развития новых производств, в первую очередь, в лесном секторе экономики, освоения производства новых, конкурентоспособных видов продукции и повышения эффективности производства;</w:t>
      </w:r>
    </w:p>
    <w:p w:rsidR="00CF0324" w:rsidRDefault="00124A10">
      <w:pPr>
        <w:spacing w:line="276" w:lineRule="auto"/>
        <w:ind w:firstLine="708"/>
        <w:jc w:val="both"/>
      </w:pPr>
      <w:r>
        <w:t>создание условий для развития малого и среднего предпринимательства и обеспечения занятости;</w:t>
      </w:r>
    </w:p>
    <w:p w:rsidR="00CF0324" w:rsidRDefault="00124A10">
      <w:pPr>
        <w:spacing w:line="276" w:lineRule="auto"/>
        <w:ind w:firstLine="708"/>
        <w:jc w:val="both"/>
      </w:pPr>
      <w:r>
        <w:t>формирование благоприятного инвестиционного климата и эффективных механизмов привлечения инвестиций, стимулирования инвестиционной деятельности на основе совершенствования механизмов муниципальной и государственной поддержки и развития практики реализации инвестиционных проектов с использованием инструментов государственно-частного партнёрства;</w:t>
      </w:r>
    </w:p>
    <w:p w:rsidR="00CF0324" w:rsidRDefault="00124A10">
      <w:pPr>
        <w:spacing w:line="276" w:lineRule="auto"/>
        <w:ind w:firstLine="708"/>
        <w:jc w:val="both"/>
      </w:pPr>
      <w:r>
        <w:t>совершенствование и развитие механизма местного самоуправления.</w:t>
      </w:r>
    </w:p>
    <w:p w:rsidR="00CF0324" w:rsidRDefault="00124A10">
      <w:pPr>
        <w:spacing w:line="276" w:lineRule="auto"/>
        <w:ind w:firstLine="708"/>
        <w:jc w:val="both"/>
      </w:pPr>
      <w:r>
        <w:t>Целевые индикаторы Стратегии социально-экономического развития Кондинского района приведены в Приложении 2.</w:t>
      </w:r>
    </w:p>
    <w:p w:rsidR="00CF0324" w:rsidRDefault="00124A10">
      <w:pPr>
        <w:spacing w:line="276" w:lineRule="auto"/>
        <w:ind w:firstLine="708"/>
        <w:jc w:val="both"/>
      </w:pPr>
      <w:r>
        <w:t>Мониторинг достигнутых значений контрольных показателей и целевых индикаторов развития отраслей и сфер социоэкономической системы района в рамках реализации настоящей Стратегии организуется комитетом экономического развития администрации Кондинского района на основе ежегодной статистической информации, мониторинга выполнения мероприятий и отчетов участников реализации муниципальных программ и настоящей Стратегии.</w:t>
      </w:r>
    </w:p>
    <w:p w:rsidR="00CF0324" w:rsidRDefault="00CF0324">
      <w:pPr>
        <w:spacing w:line="360" w:lineRule="auto"/>
        <w:jc w:val="both"/>
        <w:sectPr w:rsidR="00CF0324">
          <w:pgSz w:w="11906" w:h="16838"/>
          <w:pgMar w:top="1134" w:right="851" w:bottom="1134" w:left="1701" w:header="709" w:footer="709" w:gutter="0"/>
          <w:cols w:space="708"/>
          <w:docGrid w:linePitch="360"/>
        </w:sectPr>
      </w:pPr>
    </w:p>
    <w:p w:rsidR="00CF0324" w:rsidRDefault="00124A10">
      <w:pPr>
        <w:pStyle w:val="afff1"/>
      </w:pPr>
      <w:bookmarkStart w:id="33" w:name="_Toc33"/>
      <w:r>
        <w:lastRenderedPageBreak/>
        <w:t xml:space="preserve">РАЗДЕЛ 4. СЦЕНАРИИ РАЗВИТИЯ КОНДИНСКОГО РАЙОНА </w:t>
      </w:r>
      <w:r>
        <w:rPr>
          <w:bCs/>
        </w:rPr>
        <w:t>ХАНТЫ-МАНСИЙСКОГО АВТОНОМНОГО ОКРУГА-ЮГРЫ</w:t>
      </w:r>
      <w:bookmarkEnd w:id="33"/>
    </w:p>
    <w:p w:rsidR="00CF0324" w:rsidRDefault="00124A10">
      <w:pPr>
        <w:spacing w:line="276" w:lineRule="auto"/>
        <w:ind w:firstLine="708"/>
        <w:jc w:val="both"/>
      </w:pPr>
      <w:r>
        <w:t>Траектория долгосрочного развития района лежит между сценарием длительного сохранения существующей структуры экономики, медленных ее изменений и сценарием радикального преобразования. В зависимости от эффективности реализации выбранных направлений возможны два альтернативных сценария развития социально-экономической сферы района.</w:t>
      </w:r>
    </w:p>
    <w:p w:rsidR="00CF0324" w:rsidRDefault="00124A10">
      <w:pPr>
        <w:pStyle w:val="afff1"/>
      </w:pPr>
      <w:bookmarkStart w:id="34" w:name="_Toc34"/>
      <w:r>
        <w:t>4.1. КОНСЕРВАТИВНЫЙ СЦЕНАРИЙ</w:t>
      </w:r>
      <w:bookmarkEnd w:id="34"/>
    </w:p>
    <w:p w:rsidR="00CF0324" w:rsidRDefault="00124A10">
      <w:pPr>
        <w:spacing w:line="276" w:lineRule="auto"/>
        <w:ind w:firstLine="708"/>
        <w:jc w:val="both"/>
      </w:pPr>
      <w:r>
        <w:t>Развитие экономики в консервативном сценарии развития экономики Кондинского района сохранит эксплуатацию существующих производственных, инфраструктурных, человеческих, рекреационных и других видов ресурсов муниципального образования. Его основной особенностью является сохранение сложившейся структуры экономики и промышленного производства с использованием имеющихся технологий.</w:t>
      </w:r>
    </w:p>
    <w:p w:rsidR="00CF0324" w:rsidRDefault="00124A10">
      <w:pPr>
        <w:spacing w:line="276" w:lineRule="auto"/>
        <w:ind w:firstLine="708"/>
        <w:jc w:val="both"/>
      </w:pPr>
      <w:r>
        <w:t>Структура видов экономической деятельности существенно не изменится в экономике района. Отток активной части населения в крупные областные центры – города Тюмень и Екатеринбург сохранится, закрепится сложившаяся структура потребления. Сохранится малый объем рынка - ограничение в развитии торговли и сферы услуг, в традиционных направлениях деятельности малого бизнеса.</w:t>
      </w:r>
    </w:p>
    <w:p w:rsidR="00CF0324" w:rsidRDefault="00124A10">
      <w:pPr>
        <w:spacing w:line="276" w:lineRule="auto"/>
        <w:ind w:firstLine="708"/>
        <w:jc w:val="both"/>
      </w:pPr>
      <w:r>
        <w:t>Естественно, что ориентация на сложившуюся структуру экономики и существующие слабо конкурентные и низкоэффективные производства отразится также на состоянии социальной сферы, рынке труда и потребительском секторе, которые в случае реализации данного сценария будет характеризоваться:</w:t>
      </w:r>
    </w:p>
    <w:p w:rsidR="00CF0324" w:rsidRDefault="00124A10">
      <w:pPr>
        <w:spacing w:line="276" w:lineRule="auto"/>
        <w:ind w:firstLine="708"/>
        <w:jc w:val="both"/>
      </w:pPr>
      <w:r>
        <w:t>сохранением численности и доли занятых в низко- и средне- технологичных производствах;</w:t>
      </w:r>
    </w:p>
    <w:p w:rsidR="00CF0324" w:rsidRDefault="00124A10">
      <w:pPr>
        <w:spacing w:line="276" w:lineRule="auto"/>
        <w:ind w:firstLine="708"/>
        <w:jc w:val="both"/>
      </w:pPr>
      <w:r>
        <w:t>увеличением доли занятых в бюджетном секторе;</w:t>
      </w:r>
    </w:p>
    <w:p w:rsidR="00CF0324" w:rsidRDefault="00124A10">
      <w:pPr>
        <w:spacing w:line="276" w:lineRule="auto"/>
        <w:ind w:firstLine="708"/>
        <w:jc w:val="both"/>
      </w:pPr>
      <w:r>
        <w:t>сокращением доли работающих с высшим образованием (выход на пенсию квалифицированных кадров, отток образованной молодежи).</w:t>
      </w:r>
    </w:p>
    <w:p w:rsidR="00CF0324" w:rsidRDefault="00124A10">
      <w:pPr>
        <w:spacing w:line="276" w:lineRule="auto"/>
        <w:ind w:firstLine="708"/>
        <w:jc w:val="both"/>
      </w:pPr>
      <w:r>
        <w:t>Сохранятся имеющиеся негативные тенденции в демографической сфере и на рынке труда Кондинского района. Численность постоянного населения будет снижаться. Трудовые ресурсы будут сокращаться, но более низкими темпами, что приведет к увеличению среднего возраста работающих. Уровень безработицы останется на высоком уровне в сравнении с другими муниципалитетами автономного округа. Темпы роста промышленного производства будут невысокими, рост реальных денежных доходов населения снизится, соответственно, и рост сферы услуг будет сокращаться. В консервативном сценарии развития необходимо решать задачи по сохранению рабочих мест на существующих предприятиях и обеспечению повышения уровня доходов населения.</w:t>
      </w:r>
    </w:p>
    <w:p w:rsidR="00CF0324" w:rsidRDefault="00124A10">
      <w:pPr>
        <w:spacing w:line="276" w:lineRule="auto"/>
        <w:ind w:firstLine="708"/>
        <w:jc w:val="both"/>
      </w:pPr>
      <w:r>
        <w:t>Возможность данного сценария определяется низкой эффективностью реализации настоящей Стратегии в целом, не достижением значений контрольных показателей и целевых параметров по основным направлениям развития экономики и социальной сферы района. Сокращением инвестиционного и бюджетного финансирования, сохранения высокой дотационности местного бюджета, отказом от реализации инвестиционных проектов на территории района.</w:t>
      </w:r>
    </w:p>
    <w:p w:rsidR="00CF0324" w:rsidRDefault="00124A10">
      <w:pPr>
        <w:pStyle w:val="afff1"/>
      </w:pPr>
      <w:bookmarkStart w:id="35" w:name="_Toc35"/>
      <w:r>
        <w:lastRenderedPageBreak/>
        <w:t>4.2. БАЗОВЫЙ СЦЕНАРИЙ</w:t>
      </w:r>
      <w:bookmarkEnd w:id="35"/>
    </w:p>
    <w:p w:rsidR="00CF0324" w:rsidRDefault="00124A10">
      <w:pPr>
        <w:spacing w:line="276" w:lineRule="auto"/>
        <w:ind w:firstLine="708"/>
        <w:jc w:val="both"/>
      </w:pPr>
      <w:r>
        <w:t>С другой стороны, базовый сценарий развития Кондинского района является целевым и предполагает активизацию инвестиционных процессов, повышение эффективности использования природных и производственных ресурсов, человеческого капитала, использование бережливых технологий, клиентоцентричности, что системно улучшит качество жизни в Кондинском районе.</w:t>
      </w:r>
    </w:p>
    <w:p w:rsidR="00CF0324" w:rsidRDefault="00124A10">
      <w:pPr>
        <w:spacing w:line="276" w:lineRule="auto"/>
        <w:ind w:firstLine="708"/>
        <w:jc w:val="both"/>
      </w:pPr>
      <w:r>
        <w:t>В числе приоритетов по данному сценарию выступают также перспективные проекты развития производственного потенциала территории, способствующие значительному усилению позиций Кондинского района на рынке продукции.</w:t>
      </w:r>
    </w:p>
    <w:p w:rsidR="00CF0324" w:rsidRDefault="00124A10">
      <w:pPr>
        <w:spacing w:line="276" w:lineRule="auto"/>
        <w:ind w:firstLine="708"/>
        <w:jc w:val="both"/>
      </w:pPr>
      <w:r>
        <w:t xml:space="preserve">Для этого сценария характерны существенные риски, связанные с неопределенностью инвестирования в инвестиционные проекты с параметрами окупаемости. Ключевыми барьерами для реализации данного сценария являются неразвитость институтов долгосрочного финансирования инвестиционных проектов и определенный дефицит конкурентоспособных профессиональных кадров, как в реальном секторе, так и в сфере услуг. </w:t>
      </w:r>
    </w:p>
    <w:p w:rsidR="00CF0324" w:rsidRDefault="00124A10">
      <w:pPr>
        <w:spacing w:line="276" w:lineRule="auto"/>
        <w:ind w:firstLine="708"/>
        <w:jc w:val="both"/>
      </w:pPr>
      <w:r>
        <w:t>Действие неблагоприятных внешних факторов, связанных с внешнеполитической ситуацией, низкими темпами роста экономики России и экономическими санкциями, в рамках данного сценария в ближайший среднесрочный период будут минимизированы, в том числе, и вследствие введения Правительством России регулирующих и поддерживающих инструментов экономической политики. Предполагается, что геополитические риски снизятся, цены на нефть будут относительно стабильны, а тарифная и налоговая политика Правительства России не будет создавать дополнительного давления на инфляцию.</w:t>
      </w:r>
    </w:p>
    <w:p w:rsidR="00CF0324" w:rsidRDefault="00124A10">
      <w:pPr>
        <w:spacing w:line="276" w:lineRule="auto"/>
        <w:ind w:firstLine="708"/>
        <w:jc w:val="both"/>
      </w:pPr>
      <w:r>
        <w:t>Предполагается стабилизация демографических процессов. Рост уровня заработной платы будет выше инфляции, что обеспечит реальное повышение качества жизни населения муниципального образования, обеспечит расширение емкости местного рынка. Привлечение в район инвестиций (государственных и частных), в первую очередь, на реализацию новых проектов в промышленности и сельском хозяйстве при одновременном удержании уже имеющейся, качественной индустриальной промышленной базы. Модернизация всех видов инфраструктуры – дорожно-транспортной, инженерной, коммунальной и социальной, туристической, инновационной в перспективном долгосрочном периоде.</w:t>
      </w:r>
    </w:p>
    <w:p w:rsidR="00CF0324" w:rsidRDefault="00124A10">
      <w:pPr>
        <w:spacing w:line="276" w:lineRule="auto"/>
        <w:ind w:firstLine="708"/>
        <w:jc w:val="both"/>
      </w:pPr>
      <w:r>
        <w:t>Развитие малого и среднего предпринимательства в долгосрочном периоде отразится в диверсификации экономики района, расширениям видов экономической деятельности, использованием инновационных технологий и конкурентных преимуществ, созданием новых рабочих мест.</w:t>
      </w:r>
    </w:p>
    <w:p w:rsidR="00CF0324" w:rsidRDefault="00124A10">
      <w:pPr>
        <w:spacing w:line="276" w:lineRule="auto"/>
        <w:ind w:firstLine="708"/>
        <w:jc w:val="both"/>
      </w:pPr>
      <w:r>
        <w:t>Рынок труда Кондинского района в результате реализации базового сценария будет характеризоваться:</w:t>
      </w:r>
    </w:p>
    <w:p w:rsidR="00CF0324" w:rsidRDefault="00124A10">
      <w:pPr>
        <w:spacing w:line="276" w:lineRule="auto"/>
        <w:ind w:firstLine="708"/>
        <w:jc w:val="both"/>
      </w:pPr>
      <w:r>
        <w:t>сохранением числа рабочих мест в традиционных секторах при перераспределении занятых между разными сегментами рынка труда и созданием новых высокопроизводительных рабочих мест в новых растущих отраслях экономики (рост занятых в новых секторах лесного комплекса, агропромышленном комплексе, сервисных сегментах, логистике);</w:t>
      </w:r>
    </w:p>
    <w:p w:rsidR="00CF0324" w:rsidRDefault="00124A10">
      <w:pPr>
        <w:spacing w:line="276" w:lineRule="auto"/>
        <w:ind w:firstLine="708"/>
        <w:jc w:val="both"/>
      </w:pPr>
      <w:r>
        <w:t>ростом числа рабочих мест в непроизводственных секторах (образование, сфера услуг, торговля, туризм и пр.);</w:t>
      </w:r>
    </w:p>
    <w:p w:rsidR="00CF0324" w:rsidRDefault="00124A10">
      <w:pPr>
        <w:spacing w:line="276" w:lineRule="auto"/>
        <w:ind w:firstLine="708"/>
        <w:jc w:val="both"/>
      </w:pPr>
      <w:r>
        <w:lastRenderedPageBreak/>
        <w:t>ростом числа рабочих мест в секторе малого и среднего предпринимательства, в том числе в промышленности, сельском и лесном хозяйстве;</w:t>
      </w:r>
    </w:p>
    <w:p w:rsidR="00CF0324" w:rsidRDefault="00124A10">
      <w:pPr>
        <w:spacing w:line="276" w:lineRule="auto"/>
        <w:ind w:firstLine="708"/>
        <w:jc w:val="both"/>
      </w:pPr>
      <w:r>
        <w:t>повышением качества и эффективности экономических рабочих мест.</w:t>
      </w:r>
    </w:p>
    <w:p w:rsidR="00CF0324" w:rsidRDefault="00124A10">
      <w:pPr>
        <w:spacing w:line="276" w:lineRule="auto"/>
        <w:ind w:firstLine="708"/>
        <w:jc w:val="both"/>
      </w:pPr>
      <w:r>
        <w:t>В рамках реализации базового сценария важной задачей будет обеспечение скоординированного межмуниципального сотрудничества (Кондинский район, прилегающие территории Ханты-Мансийского автономного округа - Югры и Свердловской области, Тюменской области) в различных аспектах: обновление и развитие транспортной инфраструктуры; единая политика в сферах энергетики; эффективное освоение единой лесосырьевой базы в интересах развития собственного экономического потенциала и возможность совместного позиционирования соседних территорий.</w:t>
      </w:r>
    </w:p>
    <w:p w:rsidR="00CF0324" w:rsidRDefault="00124A10">
      <w:pPr>
        <w:spacing w:line="276" w:lineRule="auto"/>
        <w:ind w:firstLine="708"/>
        <w:jc w:val="both"/>
      </w:pPr>
      <w:r>
        <w:t>Базовый сценарий является благоприятным для развития Кондинского района и выступает целевым в рамках реализации настоящей Стратегии (приложение).</w:t>
      </w:r>
    </w:p>
    <w:p w:rsidR="00CF0324" w:rsidRDefault="00CF0324">
      <w:pPr>
        <w:spacing w:line="276" w:lineRule="auto"/>
        <w:ind w:firstLine="708"/>
        <w:jc w:val="both"/>
      </w:pPr>
    </w:p>
    <w:p w:rsidR="00CF0324" w:rsidRDefault="00CF0324">
      <w:pPr>
        <w:spacing w:line="360" w:lineRule="auto"/>
        <w:jc w:val="both"/>
        <w:rPr>
          <w:rFonts w:eastAsia="TimesNewRomanPSMT"/>
        </w:rPr>
        <w:sectPr w:rsidR="00CF0324">
          <w:pgSz w:w="11906" w:h="16838"/>
          <w:pgMar w:top="1134" w:right="850" w:bottom="1134" w:left="1701" w:header="708" w:footer="708" w:gutter="0"/>
          <w:cols w:space="720"/>
          <w:docGrid w:linePitch="360"/>
        </w:sectPr>
      </w:pPr>
    </w:p>
    <w:p w:rsidR="00CF0324" w:rsidRDefault="00124A10">
      <w:pPr>
        <w:pStyle w:val="afff1"/>
      </w:pPr>
      <w:bookmarkStart w:id="36" w:name="_Toc36"/>
      <w:r>
        <w:lastRenderedPageBreak/>
        <w:t xml:space="preserve">РАЗДЕЛ 5. ОСНОВНЫЕ НАПРАВЛЕНИЯ И ПРИОРИТЕТЫ РАЗВИТИЯ  ЧЕЛОВЕЧЕСКОГО КАПИТАЛА И СОЦИАЛЬНОЙ СФЕРЫ КОНДИНСКОГО РАЙОНА </w:t>
      </w:r>
      <w:r>
        <w:rPr>
          <w:bCs/>
        </w:rPr>
        <w:t>ХАНТЫ-МАНСИЙСКОГО АВТОНОМНОГО ОКРУГА-ЮГРЫ</w:t>
      </w:r>
      <w:r>
        <w:t xml:space="preserve"> НА ПЕРИОД ДО 2036 ГОДА</w:t>
      </w:r>
      <w:bookmarkEnd w:id="36"/>
    </w:p>
    <w:p w:rsidR="00CF0324" w:rsidRDefault="00124A10">
      <w:pPr>
        <w:spacing w:line="276" w:lineRule="auto"/>
        <w:ind w:firstLine="708"/>
        <w:jc w:val="both"/>
      </w:pPr>
      <w:r>
        <w:t>В современном обществе результативность экономического и социального развития взаимно увязаны и взаимно обусловлены. Высокая эффективность экономики является главным фактором обеспечения высокого качества жизни населения. В свою очередь, повышение качества жизни создает важнейшие предпосылки экономического роста.</w:t>
      </w:r>
    </w:p>
    <w:p w:rsidR="00CF0324" w:rsidRDefault="00124A10">
      <w:pPr>
        <w:spacing w:line="276" w:lineRule="auto"/>
        <w:ind w:firstLine="708"/>
        <w:jc w:val="both"/>
        <w:rPr>
          <w:rFonts w:eastAsia="TimesNewRomanPSMT"/>
        </w:rPr>
      </w:pPr>
      <w:r>
        <w:t xml:space="preserve">Стратегической целью социальной политики Кондинского района является </w:t>
      </w:r>
      <w:r>
        <w:rPr>
          <w:iCs/>
        </w:rPr>
        <w:t xml:space="preserve">обеспечение высокого качества жизни населения и создание условий для развития человеческого потенциала на основе повышения конкурентоспособности экономики за счёт реализации курса на </w:t>
      </w:r>
      <w:r>
        <w:rPr>
          <w:rFonts w:eastAsia="TimesNewRomanPSMT"/>
        </w:rPr>
        <w:t>глубокую переработку природных ресурсов, прежде всего лесных, и производство продукции с высокой добавленной стоимостью.</w:t>
      </w:r>
    </w:p>
    <w:p w:rsidR="00CF0324" w:rsidRDefault="00124A10">
      <w:pPr>
        <w:spacing w:line="276" w:lineRule="auto"/>
        <w:ind w:firstLine="708"/>
        <w:jc w:val="both"/>
        <w:rPr>
          <w:rFonts w:eastAsia="TimesNewRomanPSMT"/>
        </w:rPr>
      </w:pPr>
      <w:r>
        <w:rPr>
          <w:rFonts w:eastAsia="TimesNewRomanPSMT"/>
        </w:rPr>
        <w:t>Достижение поставленной цели предполагает решение следующих задач: создание новых рабочих мест и рост реальных денежных доходов населения; обеспечение жителей доступной качественной медицинской помощью; развитие системы образования, обеспечивающей инновационное развитие реального сектора экономики; обеспечение населения доступным жильем, формирование комфортных условий проживания; обеспечение экологической безопасности территорий.</w:t>
      </w:r>
    </w:p>
    <w:p w:rsidR="00CF0324" w:rsidRDefault="00124A10">
      <w:pPr>
        <w:spacing w:line="276" w:lineRule="auto"/>
        <w:ind w:firstLine="708"/>
        <w:jc w:val="both"/>
        <w:rPr>
          <w:rFonts w:eastAsia="TimesNewRomanPSMT"/>
        </w:rPr>
      </w:pPr>
      <w:r>
        <w:rPr>
          <w:rFonts w:eastAsia="TimesNewRomanPSMT"/>
        </w:rPr>
        <w:t>Ключевые приоритеты социальной политики Кондинского района нацелены на решение задач, определенных Указом Президента Российской Федерации от 7 мая 2018 года №204, достижение национальных целей развития.</w:t>
      </w:r>
    </w:p>
    <w:p w:rsidR="00CF0324" w:rsidRDefault="00124A10">
      <w:pPr>
        <w:spacing w:line="276" w:lineRule="auto"/>
        <w:ind w:firstLine="708"/>
        <w:jc w:val="both"/>
        <w:rPr>
          <w:rFonts w:eastAsia="TimesNewRomanPSMT"/>
        </w:rPr>
      </w:pPr>
      <w:r>
        <w:rPr>
          <w:rFonts w:eastAsia="TimesNewRomanPSMT"/>
        </w:rPr>
        <w:t>Перспективы долгосрочного развития района определяются процессами, относимыми как к внешней, так и внутренней среде. И внешняя, и внутренняя среда в долгосрочном аспекте носят характер вызовов (угроз) и возможностей (преимуществ). Внешние системные вызовы отражают мировые, российские тенденции развития, а также тенденции развития Ханты-Мансийского автономного округа - Югры.</w:t>
      </w:r>
    </w:p>
    <w:p w:rsidR="00CF0324" w:rsidRDefault="00124A10">
      <w:pPr>
        <w:spacing w:line="276" w:lineRule="auto"/>
        <w:ind w:firstLine="708"/>
        <w:jc w:val="both"/>
        <w:rPr>
          <w:rFonts w:eastAsia="TimesNewRomanPSMT"/>
        </w:rPr>
      </w:pPr>
      <w:r>
        <w:rPr>
          <w:rFonts w:eastAsia="TimesNewRomanPSMT"/>
        </w:rPr>
        <w:t>В настоящее время можно выделить ряд возможностей и угроз развитию социального комплекса Кондинского района со стороны внешней среды.</w:t>
      </w:r>
    </w:p>
    <w:p w:rsidR="00CF0324" w:rsidRDefault="00124A10">
      <w:pPr>
        <w:spacing w:line="276" w:lineRule="auto"/>
        <w:ind w:firstLine="708"/>
        <w:jc w:val="both"/>
        <w:rPr>
          <w:rFonts w:eastAsia="TimesNewRomanPSMT"/>
        </w:rPr>
      </w:pPr>
      <w:r>
        <w:rPr>
          <w:rFonts w:eastAsia="TimesNewRomanPSMT"/>
        </w:rPr>
        <w:t>Среди возможностей, следующие:</w:t>
      </w:r>
    </w:p>
    <w:p w:rsidR="00CF0324" w:rsidRDefault="00124A10">
      <w:pPr>
        <w:spacing w:line="276" w:lineRule="auto"/>
        <w:jc w:val="both"/>
        <w:rPr>
          <w:rFonts w:eastAsia="TimesNewRomanPSMT"/>
        </w:rPr>
      </w:pPr>
      <w:r>
        <w:rPr>
          <w:rFonts w:eastAsia="TimesNewRomanPSMT"/>
        </w:rPr>
        <w:t>1. Эффекты социальной политики федерального центра и Ханты-Мансийского автономного округа - Югры по реализации положений Национальных проектов Российской Федерации;</w:t>
      </w:r>
    </w:p>
    <w:p w:rsidR="00CF0324" w:rsidRDefault="00124A10">
      <w:pPr>
        <w:spacing w:line="276" w:lineRule="auto"/>
        <w:jc w:val="both"/>
        <w:rPr>
          <w:rFonts w:eastAsia="TimesNewRomanPSMT"/>
        </w:rPr>
      </w:pPr>
      <w:r>
        <w:rPr>
          <w:rFonts w:eastAsia="TimesNewRomanPSMT"/>
        </w:rPr>
        <w:t>2. Реализация Стратегии социально-экономического развития Ханты-Мансийского автономного округа на период до 2050 года и государственных программ Ханты-Мансийского автономного округа – Югры, в числе которых: «Поддержка занятости населения»</w:t>
      </w:r>
      <w:r>
        <w:t xml:space="preserve"> «Развитие агропромышленного комплекса</w:t>
      </w:r>
      <w:r>
        <w:rPr>
          <w:color w:val="000000"/>
        </w:rPr>
        <w:t>», «Пространственное развитие и формирование комфортной городской среды», «Развитие образования», «Развитие промышленности и туризма», «Развитие промышленности и туризма», «Современная транспортная система», Экологическая безопасность».</w:t>
      </w:r>
    </w:p>
    <w:p w:rsidR="00CF0324" w:rsidRDefault="00124A10">
      <w:pPr>
        <w:spacing w:line="276" w:lineRule="auto"/>
        <w:ind w:firstLine="708"/>
        <w:jc w:val="both"/>
        <w:rPr>
          <w:rFonts w:eastAsia="TimesNewRomanPSMT"/>
        </w:rPr>
      </w:pPr>
      <w:r>
        <w:rPr>
          <w:rFonts w:eastAsia="TimesNewRomanPSMT"/>
        </w:rPr>
        <w:t>Основные угрозы заключаются в следующем:</w:t>
      </w:r>
    </w:p>
    <w:p w:rsidR="00CF0324" w:rsidRDefault="00124A10">
      <w:pPr>
        <w:spacing w:line="276" w:lineRule="auto"/>
        <w:ind w:firstLine="708"/>
        <w:jc w:val="both"/>
        <w:rPr>
          <w:rFonts w:eastAsia="TimesNewRomanPSMT"/>
        </w:rPr>
      </w:pPr>
      <w:r>
        <w:rPr>
          <w:rFonts w:eastAsia="TimesNewRomanPSMT"/>
        </w:rPr>
        <w:t xml:space="preserve">1. Возможные отрицательные последствия решений, принимаемых на федеральном и региональном уровнях. Ответ на этот вызов требует мониторинга решений </w:t>
      </w:r>
      <w:r>
        <w:rPr>
          <w:rFonts w:eastAsia="TimesNewRomanPSMT"/>
        </w:rPr>
        <w:lastRenderedPageBreak/>
        <w:t>вышестоящих органов власти, разработку различных сценариев социально-экономического развития муниципального образования при планировании деятельности.</w:t>
      </w:r>
    </w:p>
    <w:p w:rsidR="00CF0324" w:rsidRDefault="00124A10">
      <w:pPr>
        <w:spacing w:line="276" w:lineRule="auto"/>
        <w:ind w:firstLine="708"/>
        <w:jc w:val="both"/>
        <w:rPr>
          <w:rFonts w:eastAsia="TimesNewRomanPSMT"/>
        </w:rPr>
      </w:pPr>
      <w:r>
        <w:rPr>
          <w:rFonts w:eastAsia="TimesNewRomanPSMT"/>
        </w:rPr>
        <w:t>2. Отток населения и неблагоприятные демографические тенденции. Ответом на данную угрозу должно стать повышение качества жизни населения, расширение доступности социальных услуг в сферах здравоохранения и образования, улучшение экологической ситуации, развитие жилищного строительства.</w:t>
      </w:r>
    </w:p>
    <w:p w:rsidR="00CF0324" w:rsidRDefault="00124A10">
      <w:pPr>
        <w:spacing w:line="276" w:lineRule="auto"/>
        <w:ind w:firstLine="708"/>
        <w:jc w:val="both"/>
        <w:rPr>
          <w:rFonts w:eastAsia="TimesNewRomanPSMT"/>
        </w:rPr>
      </w:pPr>
      <w:r>
        <w:rPr>
          <w:rFonts w:eastAsia="TimesNewRomanPSMT"/>
        </w:rPr>
        <w:t>3. Макроэкономическая нестабильность. Ответ на данную угрозу предполагает диверсификацию структуры экономики.</w:t>
      </w:r>
    </w:p>
    <w:p w:rsidR="00CF0324" w:rsidRDefault="00124A10">
      <w:pPr>
        <w:spacing w:line="276" w:lineRule="auto"/>
        <w:ind w:firstLine="708"/>
        <w:jc w:val="both"/>
        <w:rPr>
          <w:rFonts w:eastAsia="TimesNewRomanPSMT"/>
        </w:rPr>
      </w:pPr>
      <w:r>
        <w:rPr>
          <w:rFonts w:eastAsia="TimesNewRomanPSMT"/>
        </w:rPr>
        <w:t>4. Экономические санкции в отношении Российской Федерации. Ответ на данную угрозу требует активного развития импортозамещения и повышения эффективности действующих предприятий и производств.</w:t>
      </w:r>
    </w:p>
    <w:p w:rsidR="00CF0324" w:rsidRDefault="00124A10">
      <w:pPr>
        <w:spacing w:line="276" w:lineRule="auto"/>
        <w:ind w:firstLine="708"/>
        <w:jc w:val="both"/>
        <w:rPr>
          <w:rFonts w:eastAsia="TimesNewRomanPSMT"/>
        </w:rPr>
      </w:pPr>
      <w:r>
        <w:rPr>
          <w:rFonts w:eastAsia="TimesNewRomanPSMT"/>
        </w:rPr>
        <w:t>Результаты анализа сильных и слабых сторон Кондинского района, потенциальных возможностей и угроз эффективному социальному развитию представлены в таблице 5.10.</w:t>
      </w:r>
    </w:p>
    <w:p w:rsidR="00CF0324" w:rsidRDefault="00124A10">
      <w:pPr>
        <w:pStyle w:val="afff1"/>
      </w:pPr>
      <w:bookmarkStart w:id="37" w:name="_Toc37"/>
      <w:r>
        <w:t>5.1. Уровень жизни населения</w:t>
      </w:r>
      <w:bookmarkEnd w:id="37"/>
    </w:p>
    <w:p w:rsidR="00CF0324" w:rsidRDefault="00124A10">
      <w:pPr>
        <w:spacing w:line="276" w:lineRule="auto"/>
        <w:ind w:firstLine="708"/>
        <w:jc w:val="both"/>
        <w:rPr>
          <w:rFonts w:eastAsia="TimesNewRomanPSMT"/>
        </w:rPr>
      </w:pPr>
      <w:r>
        <w:rPr>
          <w:rFonts w:eastAsia="TimesNewRomanPSMT"/>
        </w:rPr>
        <w:t>Стратегической целью развития социальной сферы Кондинского района является обеспечение роста качественных характеристик жизни и благосостояния населения. Для достижения указанной цели должно быть обеспечено решение следующих задач: увеличение реальных денежных доходов населения, основным источником которых для экономически активной части населения остается оплата труда; снижение малообеспеченных категорий населения.</w:t>
      </w:r>
    </w:p>
    <w:p w:rsidR="00CF0324" w:rsidRDefault="00124A10">
      <w:pPr>
        <w:spacing w:line="276" w:lineRule="auto"/>
        <w:ind w:firstLine="708"/>
        <w:jc w:val="both"/>
        <w:rPr>
          <w:rFonts w:eastAsia="TimesNewRomanPSMT"/>
        </w:rPr>
      </w:pPr>
      <w:r>
        <w:rPr>
          <w:rFonts w:eastAsia="TimesNewRomanPSMT"/>
        </w:rPr>
        <w:t>Основные проблемы обеспечения роста уровня жизни населения Кондинского района: сохраняется существенное отставание уровня оплаты труда в экономике района от среднего по Ханты-Мансийскому автономному округу – Югре (если в округе номинальная среднемесячная заработная плата в 2022 году по крупным и средним предприятиям достигла 97 562 руб.</w:t>
      </w:r>
      <w:r>
        <w:rPr>
          <w:rStyle w:val="16"/>
          <w:rFonts w:eastAsia="TimesNewRomanPSMT"/>
        </w:rPr>
        <w:footnoteReference w:id="46"/>
      </w:r>
      <w:r>
        <w:rPr>
          <w:rFonts w:eastAsia="TimesNewRomanPSMT"/>
        </w:rPr>
        <w:t xml:space="preserve">, то в Кондинском районе она составила </w:t>
      </w:r>
      <w:r>
        <w:rPr>
          <w:shd w:val="clear" w:color="auto" w:fill="FFFFFF"/>
        </w:rPr>
        <w:t>88 670</w:t>
      </w:r>
      <w:r>
        <w:rPr>
          <w:rFonts w:eastAsia="TimesNewRomanPSMT"/>
        </w:rPr>
        <w:t xml:space="preserve"> руб.); имеет место значительная дифференциация по уровню заработной платы в разрезе по экономическим видам деятельности, и по доходам между городским и сельским населением.</w:t>
      </w:r>
    </w:p>
    <w:p w:rsidR="00CF0324" w:rsidRDefault="00124A10">
      <w:pPr>
        <w:spacing w:line="276" w:lineRule="auto"/>
        <w:ind w:firstLine="708"/>
        <w:jc w:val="both"/>
        <w:rPr>
          <w:rFonts w:eastAsia="TimesNewRomanPSMT"/>
        </w:rPr>
      </w:pPr>
      <w:r>
        <w:rPr>
          <w:rFonts w:eastAsia="TimesNewRomanPSMT"/>
        </w:rPr>
        <w:t>Достижение поставленной цели может быть обеспечено реализацией следующих приоритетных направлений:</w:t>
      </w:r>
    </w:p>
    <w:p w:rsidR="00CF0324" w:rsidRDefault="00124A10">
      <w:pPr>
        <w:spacing w:line="276" w:lineRule="auto"/>
        <w:ind w:firstLine="708"/>
        <w:jc w:val="both"/>
        <w:rPr>
          <w:rFonts w:eastAsia="TimesNewRomanPSMT"/>
        </w:rPr>
      </w:pPr>
      <w:r>
        <w:rPr>
          <w:rFonts w:eastAsia="TimesNewRomanPSMT"/>
        </w:rPr>
        <w:t>увеличение средней заработной платы на основе роста производительности труда и создания достойно оплачиваемых рабочих мест;</w:t>
      </w:r>
    </w:p>
    <w:p w:rsidR="00CF0324" w:rsidRDefault="00124A10">
      <w:pPr>
        <w:spacing w:line="276" w:lineRule="auto"/>
        <w:ind w:firstLine="708"/>
        <w:jc w:val="both"/>
        <w:rPr>
          <w:rFonts w:eastAsia="TimesNewRomanPSMT"/>
        </w:rPr>
      </w:pPr>
      <w:r>
        <w:rPr>
          <w:rFonts w:eastAsia="TimesNewRomanPSMT"/>
        </w:rPr>
        <w:t>рост заработной платы работников бюджетной сферы (учреждений культуры, физической культуры и спорта, музейных и библиотечных работников, педагогических работников образовательных учреждений);</w:t>
      </w:r>
    </w:p>
    <w:p w:rsidR="00CF0324" w:rsidRDefault="00124A10">
      <w:pPr>
        <w:spacing w:line="276" w:lineRule="auto"/>
        <w:ind w:firstLine="708"/>
        <w:jc w:val="both"/>
        <w:rPr>
          <w:rFonts w:eastAsia="TimesNewRomanPSMT"/>
        </w:rPr>
      </w:pPr>
      <w:r>
        <w:rPr>
          <w:rFonts w:eastAsia="TimesNewRomanPSMT"/>
        </w:rPr>
        <w:t>увеличение размера пенсий, что позволит повысить уровень жизни населения пенсионного возраста (повышению уровня пенсионного обеспечения граждан будет способствовать вовлечение жителей округа в систему негосударственного пенсионного страхования);</w:t>
      </w:r>
    </w:p>
    <w:p w:rsidR="00CF0324" w:rsidRDefault="00124A10">
      <w:pPr>
        <w:spacing w:line="276" w:lineRule="auto"/>
        <w:ind w:firstLine="708"/>
        <w:jc w:val="both"/>
        <w:rPr>
          <w:rFonts w:eastAsia="TimesNewRomanPSMT"/>
        </w:rPr>
      </w:pPr>
      <w:r>
        <w:rPr>
          <w:rFonts w:eastAsia="TimesNewRomanPSMT"/>
        </w:rPr>
        <w:t xml:space="preserve">повышение уровня и качества жизни социально уязвимых групп населения за счет мер социальной поддержки (Совершенствование системы государственной поддержки достигается на основе адресности в предоставлении социальной помощи, дополнительной </w:t>
      </w:r>
      <w:r>
        <w:rPr>
          <w:rFonts w:eastAsia="TimesNewRomanPSMT"/>
        </w:rPr>
        <w:lastRenderedPageBreak/>
        <w:t>социальной поддержки ветеранов войны, инвалидов, многодетных семей, детей-сирот и пожилых граждан, представителей малочисленных коренных народов Севера).</w:t>
      </w:r>
    </w:p>
    <w:p w:rsidR="00CF0324" w:rsidRDefault="00124A10">
      <w:pPr>
        <w:spacing w:line="276" w:lineRule="auto"/>
        <w:ind w:firstLine="708"/>
        <w:jc w:val="both"/>
        <w:rPr>
          <w:rFonts w:eastAsia="TimesNewRomanPSMT"/>
        </w:rPr>
      </w:pPr>
      <w:r>
        <w:rPr>
          <w:rFonts w:eastAsia="TimesNewRomanPSMT"/>
        </w:rPr>
        <w:t>Увеличение реальной заработной платы, доходов от предпринимательской деятельности, рост пенсий и выплат социального характера, усиление комплекса мероприятий в сфере социальной поддержки малообеспеченных слоев населения приведет к росту реальных располагаемых доходов.</w:t>
      </w:r>
    </w:p>
    <w:p w:rsidR="00CF0324" w:rsidRDefault="00124A10">
      <w:pPr>
        <w:pStyle w:val="afff1"/>
      </w:pPr>
      <w:bookmarkStart w:id="38" w:name="_Toc38"/>
      <w:r>
        <w:t>5.2. Демографическая политика</w:t>
      </w:r>
      <w:bookmarkEnd w:id="38"/>
    </w:p>
    <w:p w:rsidR="00CF0324" w:rsidRDefault="00124A10">
      <w:pPr>
        <w:spacing w:line="276" w:lineRule="auto"/>
        <w:ind w:firstLine="708"/>
        <w:jc w:val="both"/>
        <w:rPr>
          <w:rFonts w:eastAsia="TimesNewRomanPSMT"/>
        </w:rPr>
      </w:pPr>
      <w:r>
        <w:rPr>
          <w:rFonts w:eastAsia="TimesNewRomanPSMT"/>
          <w:bCs/>
          <w:iCs/>
        </w:rPr>
        <w:t>Целью демографической политики</w:t>
      </w:r>
      <w:r>
        <w:rPr>
          <w:rFonts w:eastAsia="TimesNewRomanPSMT"/>
          <w:b/>
          <w:bCs/>
          <w:iCs/>
        </w:rPr>
        <w:t xml:space="preserve"> </w:t>
      </w:r>
      <w:r>
        <w:rPr>
          <w:rFonts w:eastAsia="TimesNewRomanPSMT"/>
          <w:bCs/>
          <w:iCs/>
        </w:rPr>
        <w:t xml:space="preserve">в Кондинском районе </w:t>
      </w:r>
      <w:r>
        <w:rPr>
          <w:rFonts w:eastAsia="TimesNewRomanPSMT"/>
          <w:iCs/>
        </w:rPr>
        <w:t xml:space="preserve">является устойчивое демографическое развитие путем сохранения </w:t>
      </w:r>
      <w:r>
        <w:rPr>
          <w:rFonts w:eastAsia="TimesNewRomanPSMT"/>
        </w:rPr>
        <w:t>численности населения и формирования предпосылок к последующему демографическому росту.</w:t>
      </w:r>
    </w:p>
    <w:p w:rsidR="00CF0324" w:rsidRDefault="00124A10">
      <w:pPr>
        <w:spacing w:line="276" w:lineRule="auto"/>
        <w:ind w:firstLine="708"/>
        <w:jc w:val="both"/>
        <w:rPr>
          <w:rFonts w:eastAsia="TimesNewRomanPSMT"/>
        </w:rPr>
      </w:pPr>
      <w:r>
        <w:rPr>
          <w:rFonts w:eastAsia="TimesNewRomanPSMT"/>
        </w:rPr>
        <w:t>Основные приоритеты (задачи), обеспечивающие достижение поставленной цели: увеличение средней продолжительности жизни; обеспечение естественного прироста населения; обеспечение миграционного прироста населения.</w:t>
      </w:r>
    </w:p>
    <w:p w:rsidR="00CF0324" w:rsidRDefault="00124A10">
      <w:pPr>
        <w:spacing w:line="276" w:lineRule="auto"/>
        <w:ind w:firstLine="708"/>
        <w:jc w:val="both"/>
        <w:rPr>
          <w:rFonts w:eastAsia="TimesNewRomanPSMT"/>
        </w:rPr>
      </w:pPr>
      <w:r>
        <w:rPr>
          <w:rFonts w:eastAsia="TimesNewRomanPSMT"/>
        </w:rPr>
        <w:t>Основными направлениями</w:t>
      </w:r>
      <w:r>
        <w:rPr>
          <w:rFonts w:eastAsia="TimesNewRomanPSMT"/>
          <w:b/>
        </w:rPr>
        <w:t xml:space="preserve"> </w:t>
      </w:r>
      <w:r>
        <w:rPr>
          <w:rFonts w:eastAsia="TimesNewRomanPSMT"/>
        </w:rPr>
        <w:t>демографической политики Кондинского района, обеспечивающими достижение поставленной цели, являются:</w:t>
      </w:r>
    </w:p>
    <w:p w:rsidR="00CF0324" w:rsidRDefault="00124A10">
      <w:pPr>
        <w:pStyle w:val="1b"/>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Увеличение средней продолжительности жизни</w:t>
      </w:r>
      <w:r>
        <w:rPr>
          <w:rFonts w:ascii="Times New Roman" w:eastAsia="Times New Roman" w:hAnsi="Times New Roman" w:cs="Times New Roman"/>
          <w:sz w:val="24"/>
          <w:szCs w:val="24"/>
        </w:rPr>
        <w:t xml:space="preserve"> и дальнейшее снижение смертности, путем:</w:t>
      </w:r>
    </w:p>
    <w:p w:rsidR="00CF0324" w:rsidRDefault="00124A10">
      <w:pPr>
        <w:spacing w:line="276" w:lineRule="auto"/>
        <w:ind w:firstLine="708"/>
        <w:jc w:val="both"/>
        <w:rPr>
          <w:rFonts w:eastAsia="TimesNewRomanPSMT"/>
        </w:rPr>
      </w:pPr>
      <w:r>
        <w:rPr>
          <w:rFonts w:eastAsia="TimesNewRomanPSMT"/>
        </w:rPr>
        <w:t>развития системы здравоохранения района с акцентом на качество оказания медицинских услуг и внедрения профилактической работы с населением по заболеваниям, которые являются основными причинами смертности;</w:t>
      </w:r>
    </w:p>
    <w:p w:rsidR="00CF0324" w:rsidRDefault="00124A10">
      <w:pPr>
        <w:spacing w:line="276" w:lineRule="auto"/>
        <w:ind w:firstLine="708"/>
        <w:jc w:val="both"/>
        <w:rPr>
          <w:rFonts w:eastAsia="TimesNewRomanPSMT"/>
        </w:rPr>
      </w:pPr>
      <w:r>
        <w:rPr>
          <w:rFonts w:eastAsia="TimesNewRomanPSMT"/>
        </w:rPr>
        <w:t>формирования нетерпимого отношения населения к алкогольной продукции, популяризации трезвости среди молодежи;</w:t>
      </w:r>
    </w:p>
    <w:p w:rsidR="00CF0324" w:rsidRDefault="00124A10">
      <w:pPr>
        <w:spacing w:line="276" w:lineRule="auto"/>
        <w:ind w:firstLine="708"/>
        <w:jc w:val="both"/>
      </w:pPr>
      <w:r>
        <w:rPr>
          <w:rFonts w:eastAsia="TimesNewRomanPSMT"/>
        </w:rPr>
        <w:t xml:space="preserve">популяризации здорового образа жизни, </w:t>
      </w:r>
      <w:r>
        <w:t>активизации занятиями спортом, своим здоровьем, сбалансированным питанием, в том числе для детей и молодежи;</w:t>
      </w:r>
    </w:p>
    <w:p w:rsidR="00CF0324" w:rsidRDefault="00124A10">
      <w:pPr>
        <w:spacing w:line="276" w:lineRule="auto"/>
        <w:ind w:firstLine="708"/>
        <w:jc w:val="both"/>
        <w:rPr>
          <w:rFonts w:eastAsia="TimesNewRomanPSMT"/>
        </w:rPr>
      </w:pPr>
      <w:r>
        <w:t>развитие объектов физической культуры и спорта и плоскостных сооружений, в том числе в труднодоступных населенных пунктах района.</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Поддержание устойчивой динамики рождаемости</w:t>
      </w:r>
      <w:r>
        <w:rPr>
          <w:rFonts w:ascii="Times New Roman" w:eastAsia="Times New Roman" w:hAnsi="Times New Roman" w:cs="Times New Roman"/>
          <w:sz w:val="24"/>
          <w:szCs w:val="24"/>
        </w:rPr>
        <w:t xml:space="preserve"> в рамках реализации концепции создания условий семьям для рождения детей. </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Приоритетные механизмы и инструменты: </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и создание новой инфраструктуры, обеспечивающей воспитание, и образование детей, и молодежи; </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системы удаленных форм занятости для родителей, воспитывающих детей; </w:t>
      </w:r>
    </w:p>
    <w:p w:rsidR="00CF0324" w:rsidRDefault="00124A10">
      <w:pPr>
        <w:spacing w:line="276" w:lineRule="auto"/>
        <w:ind w:firstLine="708"/>
        <w:jc w:val="both"/>
        <w:rPr>
          <w:rFonts w:eastAsia="TimesNewRomanPSMT"/>
        </w:rPr>
      </w:pPr>
      <w:r>
        <w:rPr>
          <w:rFonts w:eastAsia="TimesNewRomanPSMT"/>
        </w:rPr>
        <w:t>содействие росту рождаемости путем использования мер по повышению качества медицинского обслуживания;</w:t>
      </w:r>
    </w:p>
    <w:p w:rsidR="00CF0324" w:rsidRDefault="00124A10">
      <w:pPr>
        <w:widowControl w:val="0"/>
        <w:spacing w:line="276" w:lineRule="auto"/>
        <w:ind w:firstLine="709"/>
        <w:jc w:val="both"/>
      </w:pPr>
      <w:r>
        <w:t>популяризация семейных ценностей и повышение статуса семьи, института брака среди населения района, в том числе в процессе реализации программ духовно-нравственного воспитания детей и молодежи;</w:t>
      </w:r>
    </w:p>
    <w:p w:rsidR="00CF0324" w:rsidRDefault="00124A10">
      <w:pPr>
        <w:spacing w:line="276" w:lineRule="auto"/>
        <w:ind w:firstLine="708"/>
        <w:jc w:val="both"/>
        <w:rPr>
          <w:rFonts w:eastAsia="TimesNewRomanPSMT"/>
        </w:rPr>
      </w:pPr>
      <w:r>
        <w:rPr>
          <w:rFonts w:eastAsia="TimesNewRomanPSMT"/>
        </w:rPr>
        <w:t>поддержка многодетных и малообеспеченных семей.</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Содействие миграционному приросту населения</w:t>
      </w:r>
      <w:r>
        <w:rPr>
          <w:rFonts w:ascii="Times New Roman" w:eastAsia="Times New Roman" w:hAnsi="Times New Roman" w:cs="Times New Roman"/>
          <w:sz w:val="24"/>
          <w:szCs w:val="24"/>
        </w:rPr>
        <w:t xml:space="preserve"> через популяризацию Кондинского района, как комфортной территории для жизни. </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Приоритетные механизмы и инструменты: </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продвижение территориального бренда Кондинского района, формирование позитивного образа района, комфортного для постоянного проживания;</w:t>
      </w:r>
    </w:p>
    <w:p w:rsidR="00CF0324" w:rsidRDefault="00124A10">
      <w:pPr>
        <w:spacing w:line="276" w:lineRule="auto"/>
        <w:ind w:firstLine="708"/>
        <w:jc w:val="both"/>
        <w:rPr>
          <w:rFonts w:eastAsia="TimesNewRomanPSMT"/>
        </w:rPr>
      </w:pPr>
      <w:r>
        <w:rPr>
          <w:rFonts w:eastAsia="TimesNewRomanPSMT"/>
        </w:rPr>
        <w:lastRenderedPageBreak/>
        <w:t>повышение миграционной привлекательности территории за счет создания рабочих мест;</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инфраструктуры (жилищной, транспортной и т.п.), создание рынка арендного жилья, благоустройство общественных пространств, улучшение условий для малого бизнеса;</w:t>
      </w:r>
    </w:p>
    <w:p w:rsidR="00CF0324" w:rsidRDefault="00124A10">
      <w:pPr>
        <w:pStyle w:val="1b"/>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студентов из других регионов Российской Федерации и их последующее трудоустройство в муниципальном образовании.</w:t>
      </w:r>
    </w:p>
    <w:p w:rsidR="00CF0324" w:rsidRDefault="00124A10">
      <w:pPr>
        <w:pStyle w:val="afff1"/>
      </w:pPr>
      <w:bookmarkStart w:id="39" w:name="_Toc39"/>
      <w:r>
        <w:t>5.3. Развитие коренных малочисленных народов Севера</w:t>
      </w:r>
      <w:bookmarkEnd w:id="39"/>
    </w:p>
    <w:p w:rsidR="00CF0324" w:rsidRDefault="00124A10">
      <w:pPr>
        <w:spacing w:line="276" w:lineRule="auto"/>
        <w:ind w:firstLine="708"/>
        <w:jc w:val="both"/>
        <w:rPr>
          <w:rFonts w:eastAsia="TimesNewRomanPSMT"/>
          <w:bCs/>
          <w:iCs/>
        </w:rPr>
      </w:pPr>
      <w:r>
        <w:rPr>
          <w:rFonts w:eastAsia="TimesNewRomanPSMT"/>
          <w:bCs/>
          <w:iCs/>
        </w:rPr>
        <w:t>Приоритетной целью</w:t>
      </w:r>
      <w:r>
        <w:rPr>
          <w:rFonts w:eastAsia="TimesNewRomanPSMT"/>
          <w:b/>
          <w:bCs/>
          <w:iCs/>
        </w:rPr>
        <w:t xml:space="preserve"> </w:t>
      </w:r>
      <w:r>
        <w:rPr>
          <w:rFonts w:eastAsia="TimesNewRomanPSMT"/>
          <w:bCs/>
          <w:iCs/>
        </w:rPr>
        <w:t xml:space="preserve">сохранения коренных малочисленных народов Севера (далее – КМНС) на территории Кондинского района в стратегической перспективе является создание условий для улучшения качества жизни коренных народов на основе рационального природопользования, сохранения исконной среды обитания, комплексного развития традиционных отраслей, </w:t>
      </w:r>
      <w:r>
        <w:rPr>
          <w:bCs/>
        </w:rPr>
        <w:t>сохранения и развития культуры, языков, традиций и обычаев</w:t>
      </w:r>
      <w:r>
        <w:rPr>
          <w:rFonts w:eastAsia="TimesNewRomanPSMT"/>
          <w:bCs/>
          <w:iCs/>
        </w:rPr>
        <w:t>.</w:t>
      </w:r>
    </w:p>
    <w:p w:rsidR="00CF0324" w:rsidRDefault="00124A10">
      <w:pPr>
        <w:spacing w:line="276" w:lineRule="auto"/>
        <w:ind w:firstLine="708"/>
        <w:jc w:val="both"/>
        <w:rPr>
          <w:rFonts w:eastAsia="TimesNewRomanPSMT"/>
        </w:rPr>
      </w:pPr>
      <w:r>
        <w:rPr>
          <w:rFonts w:eastAsia="TimesNewRomanPSMT"/>
        </w:rPr>
        <w:t>Основные задачи, обеспечивающие достижение поставленной цели: содействие развитию экономики традиционных форм хозяйствования КМНС; увеличение занятости КМНС; возрождение промыслов и ведения традиционного хозяйствования; повышение уровня и качества жизни коренных малочисленных народов.</w:t>
      </w:r>
    </w:p>
    <w:p w:rsidR="00CF0324" w:rsidRDefault="00124A10">
      <w:pPr>
        <w:spacing w:line="276" w:lineRule="auto"/>
        <w:ind w:firstLine="708"/>
        <w:jc w:val="both"/>
        <w:rPr>
          <w:rFonts w:eastAsia="TimesNewRomanPSMT"/>
          <w:color w:val="000000"/>
        </w:rPr>
      </w:pPr>
      <w:r>
        <w:rPr>
          <w:rFonts w:eastAsia="TimesNewRomanPSMT"/>
          <w:color w:val="000000"/>
        </w:rPr>
        <w:t xml:space="preserve">Социально-экономическое развитие традиционных видов хозяйствования коренных народов неразрывно связано с процессом сохранения самобытной культуры, творчества и искусства народов ханты, манси и ненцев, охраной культурно-исторического наследия. Проведение мероприятий по сохранению и развитию традиционной культуры и национальных видов спорта, традиций, языка, обычаев коренных народов - одна из реальных возможностей перспективного социально-экономического и культурного развития </w:t>
      </w:r>
      <w:r>
        <w:rPr>
          <w:rFonts w:eastAsia="TimesNewRomanPSMT"/>
        </w:rPr>
        <w:t>КМНС</w:t>
      </w:r>
      <w:r>
        <w:rPr>
          <w:rFonts w:eastAsia="TimesNewRomanPSMT"/>
          <w:color w:val="000000"/>
        </w:rPr>
        <w:t>, формирования здорового образа жизни, воспитания подрастающего поколения в контексте национальных традиций.</w:t>
      </w:r>
    </w:p>
    <w:p w:rsidR="00CF0324" w:rsidRDefault="00124A10">
      <w:pPr>
        <w:spacing w:line="276" w:lineRule="auto"/>
        <w:ind w:firstLine="708"/>
        <w:jc w:val="both"/>
        <w:rPr>
          <w:rFonts w:eastAsia="TimesNewRomanPSMT"/>
        </w:rPr>
      </w:pPr>
      <w:r>
        <w:rPr>
          <w:rFonts w:eastAsia="TimesNewRomanPSMT"/>
          <w:color w:val="000000"/>
        </w:rPr>
        <w:t xml:space="preserve">Кондинский район по численности </w:t>
      </w:r>
      <w:r>
        <w:rPr>
          <w:rFonts w:eastAsia="TimesNewRomanPSMT"/>
        </w:rPr>
        <w:t>КМНС</w:t>
      </w:r>
      <w:r>
        <w:rPr>
          <w:rFonts w:eastAsia="TimesNewRomanPSMT"/>
          <w:color w:val="000000"/>
        </w:rPr>
        <w:t xml:space="preserve"> является одним из крупнейших муниципальных образований округа. </w:t>
      </w:r>
      <w:r>
        <w:rPr>
          <w:rFonts w:eastAsia="TimesNewRomanPSMT"/>
        </w:rPr>
        <w:t xml:space="preserve">По данным Всероссийской переписи населения в районе проживает 4 749 жителя коренной национальности, что составляет 15,4% от общей численности населения в районе. Доля численности народов манси, хантов, ненцев в общей численности КМНС составляет, соответственно, 73,3%, 26,3%, 0,4%. Около 58% граждан из числа малочисленных КМНС проживают в сельской местности, ведут традиционный образ жизни, занимаются охотничьим промыслом, выловом рыбы, сбором дикоросов и лекарственного сырья. </w:t>
      </w:r>
    </w:p>
    <w:p w:rsidR="00CF0324" w:rsidRDefault="00124A10">
      <w:pPr>
        <w:spacing w:line="276" w:lineRule="auto"/>
        <w:ind w:firstLine="708"/>
        <w:jc w:val="both"/>
        <w:rPr>
          <w:rFonts w:eastAsia="TimesNewRomanPSMT"/>
          <w:color w:val="FF0000"/>
        </w:rPr>
      </w:pPr>
      <w:r>
        <w:rPr>
          <w:rFonts w:eastAsia="TimesNewRomanPSMT"/>
        </w:rPr>
        <w:t>В Кондинском районе зарегистрировано: 41 родовое угодье, 35 из которых значатся в региональном реестре территорий традиционного природопользования; 16 организаций, осуществляющих традиционное хозяйствование, и занимающихся традиционными промыслами коренных малочисленных народов, все получают субсидии за продукцию традиционного промысла.</w:t>
      </w:r>
    </w:p>
    <w:p w:rsidR="00CF0324" w:rsidRDefault="00124A10">
      <w:pPr>
        <w:spacing w:line="276" w:lineRule="auto"/>
        <w:ind w:firstLine="708"/>
        <w:jc w:val="both"/>
        <w:rPr>
          <w:rFonts w:eastAsia="TimesNewRomanPSMT"/>
        </w:rPr>
      </w:pPr>
      <w:r>
        <w:rPr>
          <w:rFonts w:eastAsia="TimesNewRomanPSMT"/>
        </w:rPr>
        <w:t xml:space="preserve">В районе действует два детских этно-оздоровительных центра: «Няврамыт Павыл» с 1997 года (д. Шугур) и «МитУщ» с 2003 года (пгт. Кондинское). Каждое лето в центрах организуется детский отдых в традиционно-хозяйственном стиле. Дети получают навыки бисероплетения, национального шитья, декоративно-прикладного искусства, добычи рыбы, вождения моторных лодок, снегоходов, бережного отношения к природе, в </w:t>
      </w:r>
      <w:r>
        <w:rPr>
          <w:rFonts w:eastAsia="TimesNewRomanPSMT"/>
        </w:rPr>
        <w:lastRenderedPageBreak/>
        <w:t xml:space="preserve">развитии национальных видов спорта, в приготовлении национальных блюд и деликатесов. </w:t>
      </w:r>
    </w:p>
    <w:p w:rsidR="00CF0324" w:rsidRDefault="00124A10">
      <w:pPr>
        <w:spacing w:line="276" w:lineRule="auto"/>
        <w:ind w:firstLine="708"/>
        <w:jc w:val="both"/>
        <w:rPr>
          <w:rFonts w:eastAsia="TimesNewRomanPSMT"/>
        </w:rPr>
      </w:pPr>
      <w:r>
        <w:rPr>
          <w:rFonts w:eastAsia="TimesNewRomanPSMT"/>
        </w:rPr>
        <w:t xml:space="preserve">В Кондинском районе имеют место следующие проблемы социально-экономического развития КМНС: </w:t>
      </w:r>
    </w:p>
    <w:p w:rsidR="00CF0324" w:rsidRDefault="00124A10">
      <w:pPr>
        <w:spacing w:line="276" w:lineRule="auto"/>
        <w:ind w:firstLine="708"/>
        <w:jc w:val="both"/>
      </w:pPr>
      <w:r>
        <w:rPr>
          <w:rFonts w:eastAsia="TimesNewRomanPSMT"/>
        </w:rPr>
        <w:t>сокращение численности постоянного коренного населения за счет оттока молодого поколения КМНС.</w:t>
      </w:r>
      <w:r>
        <w:t xml:space="preserve"> </w:t>
      </w:r>
      <w:r>
        <w:rPr>
          <w:rFonts w:eastAsia="TimesNewRomanPSMT"/>
        </w:rPr>
        <w:t>При этом численность сельского населения сокращается более быстрыми темпами по сравнению с численностью городского населения; неравномерность расселения КМНС по территории района, обусловленная неразвитой сетью транспортных коммуникаций и, как следствие, неравномерным распределением традиционных для КМНС производств и объектов социально-культурной сферы; снижение численности экономически активного населения КМНС;</w:t>
      </w:r>
    </w:p>
    <w:p w:rsidR="00CF0324" w:rsidRDefault="00124A10">
      <w:pPr>
        <w:spacing w:line="276" w:lineRule="auto"/>
        <w:ind w:firstLine="708"/>
        <w:jc w:val="both"/>
        <w:rPr>
          <w:rFonts w:eastAsia="TimesNewRomanPSMT"/>
        </w:rPr>
      </w:pPr>
      <w:r>
        <w:rPr>
          <w:rFonts w:eastAsia="TimesNewRomanPSMT"/>
        </w:rPr>
        <w:t>снижение спроса на рабочую силу в условиях экономического спада; территориальные, отраслевые и профессионально-квалификационные диспропорции спроса и предложения на фоне низкой мобильности рабочей силы КМНС; проблема занятости КМНС.</w:t>
      </w:r>
    </w:p>
    <w:p w:rsidR="00CF0324" w:rsidRDefault="00124A10">
      <w:pPr>
        <w:spacing w:line="276" w:lineRule="auto"/>
        <w:ind w:firstLine="708"/>
        <w:jc w:val="both"/>
        <w:rPr>
          <w:rFonts w:eastAsia="TimesNewRomanPSMT"/>
        </w:rPr>
      </w:pPr>
      <w:r>
        <w:rPr>
          <w:rFonts w:eastAsia="TimesNewRomanPSMT"/>
        </w:rPr>
        <w:t xml:space="preserve">Достижение поставленной цели может быть обеспечено реализацией следующих приоритетных </w:t>
      </w:r>
      <w:r>
        <w:rPr>
          <w:rFonts w:eastAsia="TimesNewRomanPSMT"/>
          <w:b/>
        </w:rPr>
        <w:t>направлений</w:t>
      </w:r>
      <w:r>
        <w:rPr>
          <w:rFonts w:eastAsia="TimesNewRomanPSMT"/>
        </w:rPr>
        <w:t>:</w:t>
      </w:r>
    </w:p>
    <w:p w:rsidR="00CF0324" w:rsidRDefault="00124A10">
      <w:pPr>
        <w:spacing w:line="276" w:lineRule="auto"/>
        <w:ind w:firstLine="708"/>
        <w:jc w:val="both"/>
        <w:rPr>
          <w:rFonts w:eastAsia="TimesNewRomanPSMT"/>
        </w:rPr>
      </w:pPr>
      <w:r>
        <w:rPr>
          <w:rFonts w:eastAsia="TimesNewRomanPSMT"/>
        </w:rPr>
        <w:t>реализация мероприятий муниципальной программы «Развитие коренных малочисленных народов Севера»;</w:t>
      </w:r>
    </w:p>
    <w:p w:rsidR="00CF0324" w:rsidRDefault="00124A10">
      <w:pPr>
        <w:spacing w:line="276" w:lineRule="auto"/>
        <w:ind w:firstLine="708"/>
        <w:jc w:val="both"/>
        <w:rPr>
          <w:rFonts w:eastAsia="TimesNewRomanPSMT"/>
        </w:rPr>
      </w:pPr>
      <w:r>
        <w:rPr>
          <w:rFonts w:eastAsia="TimesNewRomanPSMT"/>
        </w:rPr>
        <w:t>осуществление государственной поддержки юридических и физических лиц из числа КМНС, осуществляющих традиционную хозяйственную деятельность, выделение субсидий на обустройство земельных участков территорий традиционного природопользования и территорий, предназначенных для пользования объектами животного мира, водными биологическими ресурсами, на приобретение материально-технических средств, на приобретение северных оленей;</w:t>
      </w:r>
    </w:p>
    <w:p w:rsidR="00CF0324" w:rsidRDefault="00124A10">
      <w:pPr>
        <w:spacing w:line="276" w:lineRule="auto"/>
        <w:ind w:firstLine="708"/>
        <w:jc w:val="both"/>
        <w:rPr>
          <w:rFonts w:eastAsia="TimesNewRomanPSMT"/>
        </w:rPr>
      </w:pPr>
      <w:r>
        <w:rPr>
          <w:rFonts w:eastAsia="TimesNewRomanPSMT"/>
        </w:rPr>
        <w:t>субсидирование производства продукции традиционной хозяйственной деятельности (пушнина, мясо диких животных, боровой дичи), которое предполагает государственную поддержку организаций, осуществляющих традиционное хозяйствование и занимающихся традиционными промыслами КМНС, путем предоставления компенсации части затрат на добычу пушнины, мяса парнокопытных животных;</w:t>
      </w:r>
    </w:p>
    <w:p w:rsidR="00CF0324" w:rsidRDefault="00124A10">
      <w:pPr>
        <w:spacing w:line="276" w:lineRule="auto"/>
        <w:ind w:firstLine="708"/>
        <w:jc w:val="both"/>
        <w:rPr>
          <w:rFonts w:eastAsia="TimesNewRomanPSMT"/>
        </w:rPr>
      </w:pPr>
      <w:r>
        <w:rPr>
          <w:rFonts w:eastAsia="TimesNewRomanPSMT"/>
        </w:rPr>
        <w:t>осуществление государственной поддержки в виде выплаты единовременной финансовой помощи молодым специалистам из числа КМНС, работающим в местах традиционного проживания и традиционной хозяйственной деятельности, на обустройство быта с целью их закрепления на этой территории;</w:t>
      </w:r>
    </w:p>
    <w:p w:rsidR="00CF0324" w:rsidRDefault="00124A10">
      <w:pPr>
        <w:spacing w:line="276" w:lineRule="auto"/>
        <w:ind w:firstLine="708"/>
        <w:jc w:val="both"/>
        <w:rPr>
          <w:rFonts w:eastAsia="TimesNewRomanPSMT"/>
        </w:rPr>
      </w:pPr>
      <w:r>
        <w:rPr>
          <w:rFonts w:eastAsia="TimesNewRomanPSMT"/>
        </w:rPr>
        <w:t>компенсация расходов на оплату обучения правилам безопасного обращения с оружием и проезда к месту нахождения организации, имеющей право проводить подготовку лиц в целях изучения правил безопасного обращения с оружием;</w:t>
      </w:r>
    </w:p>
    <w:p w:rsidR="00CF0324" w:rsidRDefault="00124A10">
      <w:pPr>
        <w:spacing w:line="276" w:lineRule="auto"/>
        <w:ind w:firstLine="708"/>
        <w:jc w:val="both"/>
        <w:rPr>
          <w:rFonts w:eastAsia="TimesNewRomanPSMT"/>
        </w:rPr>
      </w:pPr>
      <w:r>
        <w:rPr>
          <w:rFonts w:eastAsia="TimesNewRomanPSMT"/>
        </w:rPr>
        <w:t>восстановление в местах традиционного проживания и традиционной хозяйственной деятельности КМНС действия дневных общеобразовательных школ, школ-интернатов, в которых дети получают начальное образование с учетом традиционного образа жизни КМНС.</w:t>
      </w:r>
    </w:p>
    <w:p w:rsidR="00CF0324" w:rsidRDefault="00124A10">
      <w:pPr>
        <w:pStyle w:val="afff1"/>
      </w:pPr>
      <w:bookmarkStart w:id="40" w:name="_Toc40"/>
      <w:r>
        <w:t>5.4. Система здравоохранения</w:t>
      </w:r>
      <w:bookmarkEnd w:id="40"/>
    </w:p>
    <w:p w:rsidR="00CF0324" w:rsidRDefault="00124A10">
      <w:pPr>
        <w:spacing w:line="276" w:lineRule="auto"/>
        <w:ind w:firstLine="708"/>
        <w:jc w:val="both"/>
        <w:rPr>
          <w:iCs/>
        </w:rPr>
      </w:pPr>
      <w:r>
        <w:rPr>
          <w:shd w:val="clear" w:color="auto" w:fill="FFFFFF"/>
        </w:rPr>
        <w:lastRenderedPageBreak/>
        <w:t>С</w:t>
      </w:r>
      <w:r>
        <w:rPr>
          <w:bCs/>
          <w:iCs/>
        </w:rPr>
        <w:t>тратегическая цель развития системы</w:t>
      </w:r>
      <w:r>
        <w:rPr>
          <w:b/>
          <w:bCs/>
          <w:iCs/>
        </w:rPr>
        <w:t xml:space="preserve"> </w:t>
      </w:r>
      <w:r>
        <w:rPr>
          <w:rFonts w:eastAsia="TimesNewRomanPSMT"/>
        </w:rPr>
        <w:t xml:space="preserve">здравоохранения Кондинского района – </w:t>
      </w:r>
      <w:r>
        <w:rPr>
          <w:iCs/>
        </w:rPr>
        <w:t>сохранение и укрепление здоровья населения, увеличение продолжительности жизни путем обеспечения доступности качественной медицинской помощи, создания эффективной системы профилактики заболеваний, формирования у населения ценности здорового образа жизни.</w:t>
      </w:r>
    </w:p>
    <w:p w:rsidR="00CF0324" w:rsidRDefault="00124A10">
      <w:pPr>
        <w:spacing w:line="276" w:lineRule="auto"/>
        <w:ind w:firstLine="708"/>
        <w:jc w:val="both"/>
        <w:rPr>
          <w:iCs/>
        </w:rPr>
      </w:pPr>
      <w:r>
        <w:rPr>
          <w:iCs/>
        </w:rPr>
        <w:t>Для достижения указанной цели должно быть обеспечено решение следующих задач:</w:t>
      </w:r>
      <w:r>
        <w:rPr>
          <w:b/>
          <w:iCs/>
        </w:rPr>
        <w:t xml:space="preserve"> </w:t>
      </w:r>
      <w:r>
        <w:rPr>
          <w:iCs/>
        </w:rPr>
        <w:t>создание эффективной системы профилактики заболеваний; совершенствование системы охраны здоровья матери и ребенка; совершенствование оказания специализированной, в том числе высокотехнологичной медицинской помощи; совершенствование кадровой политики в здравоохранении; профилактика алкоголизма и наркомании, противодействие потреблению табака.</w:t>
      </w:r>
    </w:p>
    <w:p w:rsidR="00CF0324" w:rsidRDefault="00124A10">
      <w:pPr>
        <w:spacing w:line="276" w:lineRule="auto"/>
        <w:ind w:firstLine="708"/>
        <w:jc w:val="both"/>
        <w:rPr>
          <w:iCs/>
          <w:shd w:val="clear" w:color="auto" w:fill="FFFFFF"/>
        </w:rPr>
      </w:pPr>
      <w:r>
        <w:rPr>
          <w:iCs/>
        </w:rPr>
        <w:t xml:space="preserve">Для сферы здравоохранения </w:t>
      </w:r>
      <w:r>
        <w:rPr>
          <w:rFonts w:eastAsia="TimesNewRomanPSMT"/>
        </w:rPr>
        <w:t>Кондинского района</w:t>
      </w:r>
      <w:r>
        <w:rPr>
          <w:iCs/>
        </w:rPr>
        <w:t xml:space="preserve"> характерны следующие основные проблемы: функционирование системы здравоохранения в условиях ограниченного финансирования; абсолютный и структурный дефицит кадров, особенно узких специалистов; </w:t>
      </w:r>
      <w:r>
        <w:rPr>
          <w:iCs/>
          <w:shd w:val="clear" w:color="auto" w:fill="FFFFFF"/>
        </w:rPr>
        <w:t xml:space="preserve">проблемы с обеспечением лекарственными средствами, в частности по льготным рецептам; </w:t>
      </w:r>
      <w:r>
        <w:rPr>
          <w:iCs/>
        </w:rPr>
        <w:t>слабая техническая оснащенность части медицинских учреждений, особенно в сельской местности, которая не обеспечивает предоставление высококачественной медицинской помощи; не соответствующий потребностям населения, особенно в сельской местности, уровень развития специализированной медицинской помощи: объемов, структуры и инфраструктуры по ее предоставлению; отсутствие действенной системы контроля качества медицинской помощи; преимущественная ориентация на лечение заболеваний, а не на их предотвращение, недостаточная координация мер по развитию медицинской отрасли с мерами по улучшению немедицинских факторов укрепления здоровья (образ жизни, развитие физической культуры, решение экологических проблем и т. д.).</w:t>
      </w:r>
      <w:r>
        <w:rPr>
          <w:rFonts w:eastAsia="TimesNewRomanPSMT"/>
        </w:rPr>
        <w:t xml:space="preserve"> </w:t>
      </w:r>
    </w:p>
    <w:p w:rsidR="00CF0324" w:rsidRDefault="00124A10">
      <w:pPr>
        <w:spacing w:line="276" w:lineRule="auto"/>
        <w:ind w:firstLine="708"/>
        <w:jc w:val="both"/>
        <w:rPr>
          <w:iCs/>
        </w:rPr>
      </w:pPr>
      <w:r>
        <w:rPr>
          <w:iCs/>
        </w:rPr>
        <w:t>Достижению стратегической цели развития системы здравоохранения Кондинского района будет способствовать реализация комплекса мероприятий, включающих:</w:t>
      </w:r>
    </w:p>
    <w:p w:rsidR="00CF0324" w:rsidRDefault="00124A10">
      <w:pPr>
        <w:spacing w:line="276" w:lineRule="auto"/>
        <w:ind w:firstLine="708"/>
        <w:jc w:val="both"/>
        <w:rPr>
          <w:iCs/>
        </w:rPr>
      </w:pPr>
      <w:r>
        <w:rPr>
          <w:iCs/>
        </w:rPr>
        <w:t>строительство новых объектов здравоохранения;</w:t>
      </w:r>
    </w:p>
    <w:p w:rsidR="00CF0324" w:rsidRDefault="00124A10">
      <w:pPr>
        <w:spacing w:line="276" w:lineRule="auto"/>
        <w:ind w:firstLine="708"/>
        <w:jc w:val="both"/>
        <w:rPr>
          <w:iCs/>
        </w:rPr>
      </w:pPr>
      <w:r>
        <w:rPr>
          <w:iCs/>
        </w:rPr>
        <w:t>развитие общих врачебных практик, подготовка врачей и среднего медицинского персонала для работы в общеврачебных практиках;</w:t>
      </w:r>
    </w:p>
    <w:p w:rsidR="00CF0324" w:rsidRDefault="00124A10">
      <w:pPr>
        <w:spacing w:line="276" w:lineRule="auto"/>
        <w:ind w:firstLine="708"/>
        <w:jc w:val="both"/>
        <w:rPr>
          <w:iCs/>
        </w:rPr>
      </w:pPr>
      <w:r>
        <w:rPr>
          <w:iCs/>
        </w:rPr>
        <w:t>повышение роли профилактической составляющей в деятельности первичного медицинского звена на основе постоянного наблюдения за группами риска;</w:t>
      </w:r>
    </w:p>
    <w:p w:rsidR="00CF0324" w:rsidRDefault="00124A10">
      <w:pPr>
        <w:spacing w:line="276" w:lineRule="auto"/>
        <w:ind w:firstLine="708"/>
        <w:jc w:val="both"/>
        <w:rPr>
          <w:iCs/>
        </w:rPr>
      </w:pPr>
      <w:r>
        <w:rPr>
          <w:iCs/>
        </w:rPr>
        <w:t>обеспечение ранней диагностики сердечно-сосудистых, онкологических и других заболеваний, которые дают высокий процент смертности среди населения района (важнейшими инструментами в выявлении лиц с высоким риском развития заболеваний являются диспансеризация и профилактические осмотры населения, содействие развитию сети частных лабораторно-диагностических кабинетов, кабинетов УЗИ-диагностики);</w:t>
      </w:r>
    </w:p>
    <w:p w:rsidR="00CF0324" w:rsidRDefault="00124A10">
      <w:pPr>
        <w:spacing w:line="276" w:lineRule="auto"/>
        <w:ind w:firstLine="708"/>
        <w:jc w:val="both"/>
        <w:rPr>
          <w:iCs/>
        </w:rPr>
      </w:pPr>
      <w:r>
        <w:rPr>
          <w:iCs/>
        </w:rPr>
        <w:t>оснащение учреждений здравоохранения современным медицинским оборудованием;</w:t>
      </w:r>
    </w:p>
    <w:p w:rsidR="00CF0324" w:rsidRDefault="00124A10">
      <w:pPr>
        <w:spacing w:line="276" w:lineRule="auto"/>
        <w:ind w:firstLine="708"/>
        <w:jc w:val="both"/>
        <w:rPr>
          <w:iCs/>
        </w:rPr>
      </w:pPr>
      <w:r>
        <w:rPr>
          <w:iCs/>
        </w:rPr>
        <w:t>содействие открытию и развитию частных стоматологических кабинетов;</w:t>
      </w:r>
    </w:p>
    <w:p w:rsidR="00CF0324" w:rsidRDefault="00124A10">
      <w:pPr>
        <w:spacing w:line="276" w:lineRule="auto"/>
        <w:ind w:firstLine="708"/>
        <w:jc w:val="both"/>
        <w:rPr>
          <w:iCs/>
        </w:rPr>
      </w:pPr>
      <w:r>
        <w:rPr>
          <w:iCs/>
        </w:rPr>
        <w:t>интеграция в оказании медицинской помощи с расположенными на территории Кондинского района частными медицинскими организациями, а также медицинскими учреждениями других административных районов Ханты-Мансийского автономного округа – Югры;</w:t>
      </w:r>
    </w:p>
    <w:p w:rsidR="00CF0324" w:rsidRDefault="00124A10">
      <w:pPr>
        <w:spacing w:line="276" w:lineRule="auto"/>
        <w:ind w:firstLine="708"/>
        <w:jc w:val="both"/>
        <w:rPr>
          <w:iCs/>
        </w:rPr>
      </w:pPr>
      <w:r>
        <w:rPr>
          <w:iCs/>
        </w:rPr>
        <w:lastRenderedPageBreak/>
        <w:t>кооперация в создании и развитии межрайонных реанимационно-консультативных центров, медико-генетической службы, кабинетов перинатальной (дородовой) диагностики;</w:t>
      </w:r>
    </w:p>
    <w:p w:rsidR="00CF0324" w:rsidRDefault="00124A10">
      <w:pPr>
        <w:spacing w:line="276" w:lineRule="auto"/>
        <w:ind w:firstLine="708"/>
        <w:jc w:val="both"/>
        <w:rPr>
          <w:iCs/>
        </w:rPr>
      </w:pPr>
      <w:r>
        <w:rPr>
          <w:iCs/>
        </w:rPr>
        <w:t>привлечение квалифицированных медицинских специалистов в учреждения здравоохранения района, закрепление квалифицированных кадров в здравоохранении путем внедрения систем оплаты труда, обеспечивающих соответствие качества труда работника и уровня его оплаты, реализация программ обеспечения жильем как условия привлечения специалистов в здравоохранение;</w:t>
      </w:r>
    </w:p>
    <w:p w:rsidR="00CF0324" w:rsidRDefault="00124A10">
      <w:pPr>
        <w:spacing w:line="276" w:lineRule="auto"/>
        <w:ind w:firstLine="708"/>
        <w:jc w:val="both"/>
        <w:rPr>
          <w:iCs/>
        </w:rPr>
      </w:pPr>
      <w:r>
        <w:rPr>
          <w:iCs/>
        </w:rPr>
        <w:t>улучшение лекарственного обеспечения граждан;</w:t>
      </w:r>
    </w:p>
    <w:p w:rsidR="00CF0324" w:rsidRDefault="00124A10">
      <w:pPr>
        <w:spacing w:line="276" w:lineRule="auto"/>
        <w:ind w:firstLine="708"/>
        <w:jc w:val="both"/>
        <w:rPr>
          <w:iCs/>
        </w:rPr>
      </w:pPr>
      <w:r>
        <w:rPr>
          <w:iCs/>
        </w:rPr>
        <w:t>популяризация культуры здорового питания, занятий физкультурой и спортом, профилактика алкоголизма, наркомании, табакокурения;</w:t>
      </w:r>
    </w:p>
    <w:p w:rsidR="00CF0324" w:rsidRDefault="00124A10">
      <w:pPr>
        <w:spacing w:line="276" w:lineRule="auto"/>
        <w:ind w:firstLine="708"/>
        <w:jc w:val="both"/>
        <w:rPr>
          <w:iCs/>
        </w:rPr>
      </w:pPr>
      <w:r>
        <w:rPr>
          <w:iCs/>
        </w:rPr>
        <w:t>внедрение информационных технологий в здравоохранении, внедрение единых стандартов и протоколов информационного обеспечения и взаимодействия на всех уровнях оказания медицинской помощи;</w:t>
      </w:r>
    </w:p>
    <w:p w:rsidR="00CF0324" w:rsidRDefault="00124A10">
      <w:pPr>
        <w:spacing w:line="276" w:lineRule="auto"/>
        <w:ind w:firstLine="708"/>
        <w:jc w:val="both"/>
        <w:rPr>
          <w:iCs/>
        </w:rPr>
      </w:pPr>
      <w:r>
        <w:t>внедрение электронного медицинского документооборота, а также подключение к федеральным сервисам личного кабинета «Мое здоровье»;</w:t>
      </w:r>
    </w:p>
    <w:p w:rsidR="00CF0324" w:rsidRDefault="00124A10">
      <w:pPr>
        <w:spacing w:line="276" w:lineRule="auto"/>
        <w:ind w:firstLine="708"/>
        <w:jc w:val="both"/>
        <w:rPr>
          <w:iCs/>
        </w:rPr>
      </w:pPr>
      <w:r>
        <w:rPr>
          <w:iCs/>
        </w:rPr>
        <w:t>развитие системы добровольного медицинского страхования.</w:t>
      </w:r>
    </w:p>
    <w:p w:rsidR="00CF0324" w:rsidRDefault="00124A10">
      <w:pPr>
        <w:pStyle w:val="afff1"/>
      </w:pPr>
      <w:bookmarkStart w:id="41" w:name="_Toc41"/>
      <w:r>
        <w:t>5.5. Система образования</w:t>
      </w:r>
      <w:bookmarkEnd w:id="41"/>
    </w:p>
    <w:p w:rsidR="00CF0324" w:rsidRDefault="00124A10">
      <w:pPr>
        <w:shd w:val="clear" w:color="auto" w:fill="FFFFFF"/>
        <w:spacing w:line="276" w:lineRule="auto"/>
        <w:ind w:firstLine="708"/>
        <w:jc w:val="both"/>
        <w:rPr>
          <w:color w:val="1A1A1A"/>
        </w:rPr>
      </w:pPr>
      <w:r>
        <w:rPr>
          <w:rFonts w:eastAsia="TimesNewRomanPSMT"/>
          <w:bCs/>
          <w:iCs/>
        </w:rPr>
        <w:t>Стратегическая цель</w:t>
      </w:r>
      <w:r>
        <w:rPr>
          <w:rFonts w:eastAsia="TimesNewRomanPSMT"/>
          <w:b/>
          <w:bCs/>
          <w:iCs/>
        </w:rPr>
        <w:t xml:space="preserve"> </w:t>
      </w:r>
      <w:r>
        <w:rPr>
          <w:rFonts w:eastAsia="TimesNewRomanPSMT"/>
        </w:rPr>
        <w:t>в области развития системы образования</w:t>
      </w:r>
      <w:r>
        <w:rPr>
          <w:iCs/>
        </w:rPr>
        <w:t xml:space="preserve"> Кондинского района </w:t>
      </w:r>
      <w:r>
        <w:rPr>
          <w:rFonts w:eastAsia="TimesNewRomanPSMT"/>
        </w:rPr>
        <w:t xml:space="preserve">в период реализации настоящей Стратегии заключается в </w:t>
      </w:r>
      <w:r>
        <w:rPr>
          <w:rFonts w:eastAsia="TimesNewRomanPSMT"/>
          <w:iCs/>
        </w:rPr>
        <w:t xml:space="preserve">обеспечении доступности качественного образования современного уровня, соответствующего требованиям </w:t>
      </w:r>
      <w:r>
        <w:rPr>
          <w:color w:val="1A1A1A"/>
        </w:rPr>
        <w:t>инновационного развития экономики, социально-экономического развития Кондинского района, общества и личности.</w:t>
      </w:r>
    </w:p>
    <w:p w:rsidR="00CF0324" w:rsidRDefault="00124A10">
      <w:pPr>
        <w:spacing w:line="276" w:lineRule="auto"/>
        <w:ind w:firstLine="708"/>
        <w:jc w:val="both"/>
        <w:rPr>
          <w:rFonts w:eastAsia="TimesNewRomanPSMT"/>
          <w:iCs/>
        </w:rPr>
      </w:pPr>
      <w:r>
        <w:rPr>
          <w:rFonts w:eastAsia="TimesNewRomanPSMT"/>
          <w:iCs/>
        </w:rPr>
        <w:t>Основные задачи, обеспечивающие достижение поставленной цели: повышение доступности и качества образования; развитие материально-технической базы образовательных учреждений;</w:t>
      </w:r>
      <w:r>
        <w:rPr>
          <w:color w:val="1A1A1A"/>
        </w:rPr>
        <w:t xml:space="preserve"> поддержки и развития способностей и талантов у детей и молодежи,</w:t>
      </w:r>
      <w:r>
        <w:rPr>
          <w:rFonts w:eastAsia="TimesNewRomanPSMT"/>
          <w:iCs/>
        </w:rPr>
        <w:t xml:space="preserve"> совершенствование кадровой политики в образовании; обеспечение доступности образования для лиц с ограниченными возможностями.</w:t>
      </w:r>
    </w:p>
    <w:p w:rsidR="00CF0324" w:rsidRDefault="00124A10">
      <w:pPr>
        <w:spacing w:line="276" w:lineRule="auto"/>
        <w:ind w:firstLine="708"/>
        <w:jc w:val="both"/>
      </w:pPr>
      <w:r>
        <w:t>Дальнейшее эффективное функционирование детского оздоровительно-образовательного (профильного) центра «Юбилейный» предусматривает строительство второй очереди, с проработкой о предоставлении финансовой поддержки из бюджета автономного округа, поскольку предполагается, межмуниципальное использование объекта и укреплять свое здоровье будут дети не только Кондинского района, но и из других муниципальных образований Ханты-Мансийского автономного округа – Югры.</w:t>
      </w:r>
    </w:p>
    <w:p w:rsidR="00CF0324" w:rsidRDefault="00124A10">
      <w:pPr>
        <w:spacing w:line="276" w:lineRule="auto"/>
        <w:ind w:firstLine="540"/>
        <w:jc w:val="both"/>
      </w:pPr>
      <w:r>
        <w:t>Приоритеты в развитии образования района:</w:t>
      </w:r>
    </w:p>
    <w:p w:rsidR="00CF0324" w:rsidRDefault="00124A10">
      <w:pPr>
        <w:spacing w:line="276" w:lineRule="auto"/>
        <w:ind w:firstLine="540"/>
        <w:jc w:val="both"/>
      </w:pPr>
      <w:r>
        <w:t>создание новых мест в образовательных организациях;</w:t>
      </w:r>
    </w:p>
    <w:p w:rsidR="00CF0324" w:rsidRDefault="00124A10">
      <w:pPr>
        <w:spacing w:line="276" w:lineRule="auto"/>
        <w:ind w:firstLine="540"/>
        <w:jc w:val="both"/>
        <w:rPr>
          <w:rFonts w:eastAsia="TimesNewRomanPSMT"/>
          <w:iCs/>
        </w:rPr>
      </w:pPr>
      <w:r>
        <w:rPr>
          <w:rFonts w:eastAsia="TimesNewRomanPSMT"/>
          <w:iCs/>
        </w:rPr>
        <w:t>оснащение образовательных организаций современным оборудованием, наглядными пособиями и инвентарем, своевременное проведение текущих и капитальных ремонтов образовательных организаций;</w:t>
      </w:r>
    </w:p>
    <w:p w:rsidR="00CF0324" w:rsidRDefault="00124A10">
      <w:pPr>
        <w:spacing w:line="276" w:lineRule="auto"/>
        <w:ind w:firstLine="540"/>
        <w:jc w:val="both"/>
      </w:pPr>
      <w:r>
        <w:t xml:space="preserve">достижение качества образования, </w:t>
      </w:r>
      <w:r>
        <w:rPr>
          <w:rFonts w:eastAsia="TimesNewRomanPSMT"/>
          <w:iCs/>
        </w:rPr>
        <w:t>введение в практику федеральных государственных образовательных стандартов, внедрение новых образовательных технологий и принципов организации учебного процесса, использование современных информационных и коммуникационных технологий, дистанционных форм обучения;</w:t>
      </w:r>
    </w:p>
    <w:p w:rsidR="00CF0324" w:rsidRDefault="00124A10">
      <w:pPr>
        <w:spacing w:line="276" w:lineRule="auto"/>
        <w:ind w:firstLine="540"/>
        <w:jc w:val="both"/>
        <w:rPr>
          <w:rFonts w:eastAsia="TimesNewRomanPSMT"/>
          <w:iCs/>
        </w:rPr>
      </w:pPr>
      <w:r>
        <w:rPr>
          <w:rFonts w:eastAsia="TimesNewRomanPSMT"/>
          <w:iCs/>
        </w:rPr>
        <w:lastRenderedPageBreak/>
        <w:t>сохранение кадрового потенциала путем совершенствования системы оплаты труда, социальной поддержки молодых педагогов, лучших учителей, внедряющих инновационные образовательные программы, своевременной целевой подготовки для образовательных организаций района;</w:t>
      </w:r>
    </w:p>
    <w:p w:rsidR="00CF0324" w:rsidRDefault="00124A10">
      <w:pPr>
        <w:spacing w:line="276" w:lineRule="auto"/>
        <w:ind w:firstLine="540"/>
        <w:jc w:val="both"/>
        <w:rPr>
          <w:rFonts w:eastAsia="TimesNewRomanPSMT"/>
          <w:iCs/>
        </w:rPr>
      </w:pPr>
      <w:r>
        <w:rPr>
          <w:rFonts w:eastAsia="TimesNewRomanPSMT"/>
          <w:iCs/>
        </w:rPr>
        <w:t>дальнейшее развитие инклюзивного образования детей с ограниченными возможностями,</w:t>
      </w:r>
      <w:r>
        <w:t xml:space="preserve"> </w:t>
      </w:r>
      <w:r>
        <w:rPr>
          <w:rFonts w:eastAsia="TimesNewRomanPSMT"/>
          <w:iCs/>
        </w:rPr>
        <w:t>создание условий для их беспрепятственного доступа к образовательным организациям и услугам;</w:t>
      </w:r>
    </w:p>
    <w:p w:rsidR="00CF0324" w:rsidRDefault="00124A10">
      <w:pPr>
        <w:ind w:firstLine="540"/>
        <w:jc w:val="both"/>
      </w:pPr>
      <w:r>
        <w:t>создание эффективной системы выявления, поддержки и развития способностей и талантов у детей и молодежи;</w:t>
      </w:r>
    </w:p>
    <w:p w:rsidR="00CF0324" w:rsidRDefault="00124A10">
      <w:pPr>
        <w:spacing w:line="276" w:lineRule="auto"/>
        <w:ind w:firstLine="540"/>
        <w:jc w:val="both"/>
        <w:rPr>
          <w:rFonts w:eastAsia="TimesNewRomanPSMT"/>
          <w:iCs/>
        </w:rPr>
      </w:pPr>
      <w:r>
        <w:rPr>
          <w:rFonts w:eastAsia="TimesNewRomanPSMT"/>
          <w:iCs/>
        </w:rPr>
        <w:t>совершенствование системы профориентации молодежи через организацию встреч, круглых столов, бесед с представителями бизнеса, активизацию работы образовательных организаций профессионального образования;</w:t>
      </w:r>
    </w:p>
    <w:p w:rsidR="00CF0324" w:rsidRDefault="00124A10">
      <w:pPr>
        <w:spacing w:line="276" w:lineRule="auto"/>
        <w:ind w:firstLine="540"/>
        <w:jc w:val="both"/>
        <w:rPr>
          <w:rFonts w:eastAsia="TimesNewRomanPSMT"/>
          <w:iCs/>
        </w:rPr>
      </w:pPr>
      <w:r>
        <w:rPr>
          <w:rFonts w:eastAsia="TimesNewRomanPSMT"/>
          <w:iCs/>
        </w:rPr>
        <w:t>развитие на базе бюджетного учреждения Ханты-Мансийского автономного учреждения – Югры «Междуреченский агропромышленный колледж» образовательной площадки, ориентированной на потребности ключевых сегментов рынка района;</w:t>
      </w:r>
    </w:p>
    <w:p w:rsidR="00CF0324" w:rsidRDefault="00124A10">
      <w:pPr>
        <w:spacing w:line="276" w:lineRule="auto"/>
        <w:ind w:firstLine="540"/>
        <w:jc w:val="both"/>
        <w:rPr>
          <w:rFonts w:eastAsia="TimesNewRomanPSMT"/>
          <w:iCs/>
        </w:rPr>
      </w:pPr>
      <w:r>
        <w:rPr>
          <w:rFonts w:eastAsia="TimesNewRomanPSMT"/>
          <w:iCs/>
        </w:rPr>
        <w:t>развитие системы целевой подготовки кадров через участие работодателей в разработке и реализации образовательных программ.</w:t>
      </w:r>
    </w:p>
    <w:p w:rsidR="00CF0324" w:rsidRDefault="00124A10">
      <w:pPr>
        <w:pStyle w:val="afff1"/>
      </w:pPr>
      <w:bookmarkStart w:id="42" w:name="_Toc42"/>
      <w:r>
        <w:t>5.6. Культура</w:t>
      </w:r>
      <w:bookmarkEnd w:id="42"/>
    </w:p>
    <w:p w:rsidR="00CF0324" w:rsidRDefault="00124A10">
      <w:pPr>
        <w:spacing w:line="276" w:lineRule="auto"/>
        <w:ind w:firstLine="708"/>
        <w:jc w:val="both"/>
        <w:rPr>
          <w:rFonts w:eastAsia="TimesNewRomanPSMT"/>
          <w:iCs/>
        </w:rPr>
      </w:pPr>
      <w:r>
        <w:rPr>
          <w:rFonts w:eastAsia="TimesNewRomanPSMT"/>
          <w:bCs/>
          <w:iCs/>
        </w:rPr>
        <w:t>Стратегическая цель</w:t>
      </w:r>
      <w:r>
        <w:rPr>
          <w:rFonts w:eastAsia="TimesNewRomanPSMT"/>
          <w:b/>
          <w:bCs/>
          <w:iCs/>
        </w:rPr>
        <w:t xml:space="preserve"> </w:t>
      </w:r>
      <w:r>
        <w:rPr>
          <w:rFonts w:eastAsia="TimesNewRomanPSMT"/>
        </w:rPr>
        <w:t xml:space="preserve">в сфере развития культуры </w:t>
      </w:r>
      <w:r>
        <w:rPr>
          <w:rFonts w:eastAsia="TimesNewRomanPSMT"/>
          <w:iCs/>
        </w:rPr>
        <w:t xml:space="preserve">Кондинского района заключается в формировании единого социально-культурного пространства, обеспечивающего продвижение творческих инициатив населения как основы устойчивого и динамичного развития, </w:t>
      </w:r>
      <w:r>
        <w:t>создание равных возможностей доступа населения к культурным ценностям и комфортных условий, сохранение культурной самобытности района.</w:t>
      </w:r>
    </w:p>
    <w:p w:rsidR="00CF0324" w:rsidRDefault="00124A10">
      <w:pPr>
        <w:spacing w:line="276" w:lineRule="auto"/>
        <w:ind w:firstLine="708"/>
        <w:jc w:val="both"/>
        <w:rPr>
          <w:rFonts w:eastAsia="TimesNewRomanPSMT"/>
          <w:iCs/>
        </w:rPr>
      </w:pPr>
      <w:r>
        <w:rPr>
          <w:rFonts w:eastAsia="TimesNewRomanPSMT"/>
          <w:iCs/>
        </w:rPr>
        <w:t>Достижение поставленной цели предполагает решение следующих задач: обеспечение максимальной доступности и повышение качества культурных услуг;</w:t>
      </w:r>
    </w:p>
    <w:p w:rsidR="00CF0324" w:rsidRDefault="00124A10">
      <w:pPr>
        <w:spacing w:line="276" w:lineRule="auto"/>
        <w:jc w:val="both"/>
        <w:rPr>
          <w:rFonts w:eastAsia="TimesNewRomanPSMT"/>
          <w:iCs/>
        </w:rPr>
      </w:pPr>
      <w:r>
        <w:rPr>
          <w:rFonts w:eastAsia="TimesNewRomanPSMT"/>
          <w:iCs/>
        </w:rPr>
        <w:t>развитие материально-технической базы и информационно-коммуникационного обеспечения учреждений культуры; привлечение и закрепление профессиональных кадров; возрождение и развитие народных художественных промыслов и ремесел, декоративно-прикладного творчества, поддержка фольклорных коллективов; формирование экскурсионных объектов, развитие туризма.</w:t>
      </w:r>
    </w:p>
    <w:p w:rsidR="00CF0324" w:rsidRDefault="00124A10">
      <w:pPr>
        <w:spacing w:line="276" w:lineRule="auto"/>
        <w:ind w:firstLine="708"/>
        <w:jc w:val="both"/>
        <w:rPr>
          <w:rFonts w:eastAsia="TimesNewRomanPSMT"/>
          <w:iCs/>
        </w:rPr>
      </w:pPr>
      <w:r>
        <w:rPr>
          <w:rFonts w:eastAsia="TimesNewRomanPSMT"/>
          <w:iCs/>
        </w:rPr>
        <w:t>Основные проблемы развития культуры в Кондинском районе:</w:t>
      </w:r>
    </w:p>
    <w:p w:rsidR="00CF0324" w:rsidRDefault="00124A10">
      <w:pPr>
        <w:spacing w:line="276" w:lineRule="auto"/>
        <w:ind w:firstLine="708"/>
        <w:jc w:val="both"/>
        <w:rPr>
          <w:rFonts w:eastAsia="TimesNewRomanPSMT"/>
          <w:iCs/>
        </w:rPr>
      </w:pPr>
      <w:r>
        <w:rPr>
          <w:rFonts w:eastAsia="TimesNewRomanPSMT"/>
          <w:iCs/>
        </w:rPr>
        <w:t>сохраняется дифференциация доступа к культурным благам по территориальному признаку, основные культурные ресурсы сосредоточены в пгт. Междуреченский, пгт.Кондинское, пгт. Мортка, жителям других населенных пунктов услуги учреждений культурые предлагаются в ограниченных объемах;</w:t>
      </w:r>
    </w:p>
    <w:p w:rsidR="00CF0324" w:rsidRDefault="00124A10">
      <w:pPr>
        <w:ind w:firstLine="540"/>
        <w:jc w:val="both"/>
      </w:pPr>
      <w:r>
        <w:t>материально-техническая база большинства учреждений культуры района требует обновления (нового строительства);</w:t>
      </w:r>
    </w:p>
    <w:p w:rsidR="00CF0324" w:rsidRDefault="00124A10">
      <w:pPr>
        <w:spacing w:line="276" w:lineRule="auto"/>
        <w:ind w:firstLine="708"/>
        <w:jc w:val="both"/>
        <w:rPr>
          <w:rFonts w:eastAsia="TimesNewRomanPSMT"/>
          <w:iCs/>
        </w:rPr>
      </w:pPr>
      <w:r>
        <w:rPr>
          <w:rFonts w:eastAsia="TimesNewRomanPSMT"/>
          <w:iCs/>
        </w:rPr>
        <w:t>низкая оснащенность учреждений культуры в сельских поселениях современным оборудованием, компьютерной техникой, музыкальными инструментами, мультимедийным оборудованием;</w:t>
      </w:r>
    </w:p>
    <w:p w:rsidR="00CF0324" w:rsidRDefault="00124A10">
      <w:pPr>
        <w:spacing w:line="276" w:lineRule="auto"/>
        <w:ind w:firstLine="708"/>
        <w:jc w:val="both"/>
        <w:rPr>
          <w:rFonts w:eastAsia="TimesNewRomanPSMT"/>
          <w:iCs/>
        </w:rPr>
      </w:pPr>
      <w:r>
        <w:rPr>
          <w:rFonts w:eastAsia="TimesNewRomanPSMT"/>
          <w:iCs/>
        </w:rPr>
        <w:t>невысокий уровень заработной платы работников культуры в отдаленных населенных пунктах района мешает закреплению профессиональных кадров, развитию их творческой и деловой активности.</w:t>
      </w:r>
    </w:p>
    <w:p w:rsidR="00CF0324" w:rsidRDefault="00124A10">
      <w:pPr>
        <w:spacing w:line="276" w:lineRule="auto"/>
        <w:ind w:firstLine="708"/>
        <w:jc w:val="both"/>
        <w:rPr>
          <w:rFonts w:eastAsia="TimesNewRomanPSMT"/>
          <w:iCs/>
        </w:rPr>
      </w:pPr>
      <w:r>
        <w:rPr>
          <w:rFonts w:eastAsia="TimesNewRomanPSMT"/>
          <w:iCs/>
        </w:rPr>
        <w:t>Достижению стратегической цели будет способствовать реализация комплекса мероприятий:</w:t>
      </w:r>
      <w:r>
        <w:rPr>
          <w:iCs/>
        </w:rPr>
        <w:t xml:space="preserve"> </w:t>
      </w:r>
      <w:r>
        <w:rPr>
          <w:rFonts w:eastAsia="TimesNewRomanPSMT"/>
          <w:iCs/>
        </w:rPr>
        <w:t xml:space="preserve">формирование нормативно-правовой базы культурной политики района, </w:t>
      </w:r>
      <w:r>
        <w:rPr>
          <w:rFonts w:eastAsia="TimesNewRomanPSMT"/>
          <w:iCs/>
        </w:rPr>
        <w:lastRenderedPageBreak/>
        <w:t>обеспечивающей рост и развитие отрасли;</w:t>
      </w:r>
      <w:r>
        <w:rPr>
          <w:iCs/>
        </w:rPr>
        <w:t xml:space="preserve"> </w:t>
      </w:r>
      <w:r>
        <w:rPr>
          <w:rFonts w:eastAsia="TimesNewRomanPSMT"/>
          <w:iCs/>
        </w:rPr>
        <w:t>модернизация и укрепление сети учреждений культуры, создание и материально-техническое обеспечение многофункциональных культурно-социальных центров в сельских населенных пунктах;</w:t>
      </w:r>
      <w:r>
        <w:rPr>
          <w:iCs/>
        </w:rPr>
        <w:t xml:space="preserve"> </w:t>
      </w:r>
      <w:r>
        <w:rPr>
          <w:rFonts w:eastAsia="TimesNewRomanPSMT"/>
          <w:iCs/>
        </w:rPr>
        <w:t>строительство и капитальный ремонт объектов культуры района; сохранение и пополнение библиотечного, музейного, архивного фондов района;</w:t>
      </w:r>
      <w:r>
        <w:rPr>
          <w:iCs/>
        </w:rPr>
        <w:t xml:space="preserve"> </w:t>
      </w:r>
      <w:r>
        <w:rPr>
          <w:rFonts w:eastAsia="TimesNewRomanPSMT"/>
          <w:iCs/>
        </w:rPr>
        <w:t>создание электронной библиотеки краеведческих документов;</w:t>
      </w:r>
      <w:r>
        <w:rPr>
          <w:iCs/>
        </w:rPr>
        <w:t xml:space="preserve"> </w:t>
      </w:r>
      <w:r>
        <w:rPr>
          <w:rFonts w:eastAsia="TimesNewRomanPSMT"/>
          <w:iCs/>
        </w:rPr>
        <w:t>создание виртуального культурного пространства района (оснащение учреждений культуры современным компьютерным оборудованием, позволяющим демонстрировать культурные события (концерты, художественные выставки, спектакли, творческие конкурсы, фестивали и др.) в «on-line» и «off-line» режимах;</w:t>
      </w:r>
      <w:r>
        <w:rPr>
          <w:iCs/>
        </w:rPr>
        <w:t xml:space="preserve"> </w:t>
      </w:r>
      <w:r>
        <w:rPr>
          <w:rFonts w:eastAsia="TimesNewRomanPSMT"/>
          <w:iCs/>
        </w:rPr>
        <w:t xml:space="preserve">создание инфраструктуры, обеспечивающей доступ населения к электронным фондам музеев и библиотек Российской Федерации, мировым культурным ценностям и информационным ресурсам. Информатизация и оснащение </w:t>
      </w:r>
      <w:r>
        <w:rPr>
          <w:color w:val="000000"/>
          <w:shd w:val="clear" w:color="auto" w:fill="FFFFFF"/>
        </w:rPr>
        <w:t xml:space="preserve">Учинского этнографического и Районного краеведческого музеев </w:t>
      </w:r>
      <w:r>
        <w:rPr>
          <w:rFonts w:eastAsia="TimesNewRomanPSMT"/>
          <w:iCs/>
        </w:rPr>
        <w:t>современным мультимедийным оборудованием;</w:t>
      </w:r>
      <w:r>
        <w:rPr>
          <w:iCs/>
        </w:rPr>
        <w:t xml:space="preserve"> </w:t>
      </w:r>
      <w:r>
        <w:rPr>
          <w:rFonts w:eastAsia="TimesNewRomanPSMT"/>
          <w:iCs/>
        </w:rPr>
        <w:t>культурное сотрудничество с другими территориями округа, другими субъектами Российской Федерации, проведение межрегиональных фестивалей и окружных конкурсов;</w:t>
      </w:r>
      <w:r>
        <w:rPr>
          <w:iCs/>
        </w:rPr>
        <w:t xml:space="preserve"> </w:t>
      </w:r>
      <w:r>
        <w:rPr>
          <w:rFonts w:eastAsia="TimesNewRomanPSMT"/>
          <w:iCs/>
        </w:rPr>
        <w:t>создание благоприятных условий для творческой самореализации лиц с ограниченными возможностями;</w:t>
      </w:r>
      <w:r>
        <w:rPr>
          <w:iCs/>
        </w:rPr>
        <w:t xml:space="preserve"> </w:t>
      </w:r>
      <w:r>
        <w:rPr>
          <w:rFonts w:eastAsia="TimesNewRomanPSMT"/>
          <w:iCs/>
        </w:rPr>
        <w:t>активизация просветительской деятельности учреждений культуры;</w:t>
      </w:r>
      <w:r>
        <w:rPr>
          <w:iCs/>
        </w:rPr>
        <w:t xml:space="preserve"> создание центра креативных индустрий.</w:t>
      </w:r>
    </w:p>
    <w:p w:rsidR="00CF0324" w:rsidRDefault="00124A10">
      <w:pPr>
        <w:pStyle w:val="afff1"/>
      </w:pPr>
      <w:bookmarkStart w:id="43" w:name="_Toc43"/>
      <w:r>
        <w:t>5.7. Молодежная политика</w:t>
      </w:r>
      <w:bookmarkEnd w:id="43"/>
    </w:p>
    <w:p w:rsidR="00CF0324" w:rsidRDefault="00124A10">
      <w:pPr>
        <w:spacing w:line="276" w:lineRule="auto"/>
        <w:ind w:firstLine="540"/>
        <w:jc w:val="both"/>
      </w:pPr>
      <w:r>
        <w:rPr>
          <w:rFonts w:eastAsia="TimesNewRomanPSMT"/>
          <w:bCs/>
          <w:iCs/>
        </w:rPr>
        <w:t>Стратегическая цель</w:t>
      </w:r>
      <w:r>
        <w:rPr>
          <w:rFonts w:eastAsia="TimesNewRomanPSMT"/>
          <w:b/>
          <w:bCs/>
          <w:iCs/>
        </w:rPr>
        <w:t xml:space="preserve"> </w:t>
      </w:r>
      <w:r>
        <w:rPr>
          <w:rFonts w:eastAsia="TimesNewRomanPSMT"/>
        </w:rPr>
        <w:t xml:space="preserve">в сфере молодежной политики </w:t>
      </w:r>
      <w:r>
        <w:rPr>
          <w:rFonts w:eastAsia="TimesNewRomanPSMT"/>
          <w:iCs/>
        </w:rPr>
        <w:t xml:space="preserve">Кондинского района заключается в создании </w:t>
      </w:r>
      <w:r>
        <w:rPr>
          <w:color w:val="1A1A1A"/>
          <w:shd w:val="clear" w:color="auto" w:fill="FFFFFF"/>
        </w:rPr>
        <w:t>возможности для самореализации и развития молодых талантов района,</w:t>
      </w:r>
      <w:r>
        <w:rPr>
          <w:rFonts w:eastAsia="TimesNewRomanPSMT"/>
          <w:iCs/>
        </w:rPr>
        <w:t xml:space="preserve"> в формировании </w:t>
      </w:r>
      <w:r>
        <w:t>гражданско-патриотического сознания молодежи, активной гражданской позиции, возвращения молодежи в район на постоянное проживание и создание молодых семей, создание новых рабочих мест, ведение здорового образа жизни и вовлеченности в спортивную жизнь. Формирование, развитие волонтерского и добровольческого движения.</w:t>
      </w:r>
    </w:p>
    <w:p w:rsidR="00CF0324" w:rsidRDefault="00124A10">
      <w:pPr>
        <w:spacing w:line="276" w:lineRule="auto"/>
        <w:ind w:firstLine="708"/>
        <w:jc w:val="both"/>
      </w:pPr>
      <w:r>
        <w:rPr>
          <w:rFonts w:eastAsia="TimesNewRomanPSMT"/>
          <w:iCs/>
        </w:rPr>
        <w:t xml:space="preserve">Достижение поставленной цели возможно при реализации комплексных тематических мероприятий с максимальным охватом молодежи; развитие материально-технической базы и информационно-коммуникационного обеспечения молодежи; привлечение и закрепление профессиональных кадров. Участие во всероссийских, региональных, межмуниципальных проектах, </w:t>
      </w:r>
      <w:r>
        <w:t>например, как: «Вода России», «Марафон добрых дел», «Школа добровольца», «Культурный код», «Социальная активность», чемпионат интеллектуально-развлекательной игры «QUIZzz»,</w:t>
      </w:r>
      <w:r>
        <w:rPr>
          <w:shd w:val="clear" w:color="auto" w:fill="FFFFFF"/>
        </w:rPr>
        <w:t xml:space="preserve"> вело-парад «Звезда памяти» </w:t>
      </w:r>
      <w:r>
        <w:t xml:space="preserve">и др. </w:t>
      </w:r>
    </w:p>
    <w:p w:rsidR="00CF0324" w:rsidRDefault="00124A10">
      <w:pPr>
        <w:spacing w:line="276" w:lineRule="auto"/>
        <w:ind w:firstLine="708"/>
        <w:jc w:val="both"/>
        <w:rPr>
          <w:rFonts w:eastAsia="TimesNewRomanPSMT"/>
          <w:iCs/>
        </w:rPr>
      </w:pPr>
      <w:r>
        <w:t>Важное направление – это занятость молодежи, предлагается достичь путем комплексных профориентационных мероприятий в образовательных организациях с участием работодателей района, центра занятости населения.</w:t>
      </w:r>
    </w:p>
    <w:p w:rsidR="00CF0324" w:rsidRDefault="00124A10">
      <w:pPr>
        <w:pStyle w:val="afff1"/>
      </w:pPr>
      <w:bookmarkStart w:id="44" w:name="_Toc44"/>
      <w:r>
        <w:t>5.8. Физическая культура и спорт</w:t>
      </w:r>
      <w:bookmarkEnd w:id="44"/>
    </w:p>
    <w:p w:rsidR="00CF0324" w:rsidRDefault="00124A10">
      <w:pPr>
        <w:shd w:val="clear" w:color="auto" w:fill="FFFFFF"/>
        <w:spacing w:line="276" w:lineRule="auto"/>
        <w:ind w:firstLine="708"/>
        <w:jc w:val="both"/>
        <w:rPr>
          <w:color w:val="1A1A1A"/>
        </w:rPr>
      </w:pPr>
      <w:r>
        <w:rPr>
          <w:rFonts w:eastAsia="TimesNewRomanPSMT"/>
          <w:bCs/>
          <w:iCs/>
        </w:rPr>
        <w:t>Стратегическая цель</w:t>
      </w:r>
      <w:r>
        <w:rPr>
          <w:rFonts w:eastAsia="TimesNewRomanPSMT"/>
        </w:rPr>
        <w:t xml:space="preserve"> в сфере развития физической культуры и спорта </w:t>
      </w:r>
      <w:r>
        <w:rPr>
          <w:rFonts w:eastAsia="TimesNewRomanPSMT"/>
          <w:iCs/>
        </w:rPr>
        <w:t>Кондинского района</w:t>
      </w:r>
      <w:r>
        <w:rPr>
          <w:rFonts w:eastAsia="TimesNewRomanPSMT"/>
        </w:rPr>
        <w:t xml:space="preserve"> состоит в </w:t>
      </w:r>
      <w:r>
        <w:rPr>
          <w:color w:val="1A1A1A"/>
        </w:rPr>
        <w:t xml:space="preserve">создании комфортных условий для занятий физической культурой и массовым спортом для всех категорий граждан и социальных групп населения, в повышении уровня доступности и обеспеченности населения района спортивными </w:t>
      </w:r>
      <w:r>
        <w:rPr>
          <w:color w:val="1A1A1A"/>
        </w:rPr>
        <w:lastRenderedPageBreak/>
        <w:t>сооружениями и объектами спорта, в подготовке достойного спортивного резерва для сборных команд Ханты-Мансийского автономного округа – Югры и России.</w:t>
      </w:r>
    </w:p>
    <w:p w:rsidR="00CF0324" w:rsidRDefault="00124A10">
      <w:pPr>
        <w:spacing w:line="276" w:lineRule="auto"/>
        <w:ind w:firstLine="708"/>
        <w:jc w:val="both"/>
        <w:rPr>
          <w:rFonts w:eastAsia="TimesNewRomanPSMT"/>
        </w:rPr>
      </w:pPr>
      <w:r>
        <w:rPr>
          <w:rFonts w:eastAsia="TimesNewRomanPSMT"/>
        </w:rPr>
        <w:t xml:space="preserve">Для достижения указанной цели должно быть обеспечено решение следующих задач: </w:t>
      </w:r>
    </w:p>
    <w:p w:rsidR="00CF0324" w:rsidRDefault="00124A10">
      <w:pPr>
        <w:spacing w:line="276" w:lineRule="auto"/>
        <w:ind w:firstLine="708"/>
        <w:jc w:val="both"/>
      </w:pPr>
      <w:r>
        <w:rPr>
          <w:rFonts w:eastAsia="TimesNewRomanPSMT"/>
        </w:rPr>
        <w:t>активная пропаганда здорового образа жизни, занятий физкультурой и спортом;</w:t>
      </w:r>
    </w:p>
    <w:p w:rsidR="00CF0324" w:rsidRDefault="00124A10">
      <w:pPr>
        <w:spacing w:line="276" w:lineRule="auto"/>
        <w:ind w:firstLine="708"/>
        <w:jc w:val="both"/>
      </w:pPr>
      <w:r>
        <w:t>развитие спортивной инфраструктуры;</w:t>
      </w:r>
    </w:p>
    <w:p w:rsidR="00CF0324" w:rsidRDefault="00124A10">
      <w:pPr>
        <w:spacing w:line="276" w:lineRule="auto"/>
        <w:ind w:firstLine="708"/>
        <w:jc w:val="both"/>
        <w:rPr>
          <w:rFonts w:eastAsia="TimesNewRomanPSMT"/>
        </w:rPr>
      </w:pPr>
      <w:r>
        <w:rPr>
          <w:rFonts w:eastAsia="TimesNewRomanPSMT"/>
        </w:rPr>
        <w:t>развитие детско-юношеского спорта как механизма освоения и принятия культуры здорового образа жизни;</w:t>
      </w:r>
    </w:p>
    <w:p w:rsidR="00CF0324" w:rsidRDefault="00124A10">
      <w:pPr>
        <w:spacing w:line="276" w:lineRule="auto"/>
        <w:ind w:firstLine="708"/>
        <w:jc w:val="both"/>
        <w:rPr>
          <w:lang w:eastAsia="en-US"/>
        </w:rPr>
      </w:pPr>
      <w:r>
        <w:rPr>
          <w:lang w:eastAsia="en-US"/>
        </w:rPr>
        <w:t>создание условий для подготовки спортивного резерва и спортсменов высокого класса, для успешного выступления на окружных, всероссийских и международных соревнованиях;</w:t>
      </w:r>
    </w:p>
    <w:p w:rsidR="00CF0324" w:rsidRDefault="00124A10">
      <w:pPr>
        <w:spacing w:line="276" w:lineRule="auto"/>
        <w:ind w:firstLine="708"/>
        <w:jc w:val="both"/>
      </w:pPr>
      <w:r>
        <w:rPr>
          <w:lang w:eastAsia="en-US"/>
        </w:rPr>
        <w:t>о</w:t>
      </w:r>
      <w:r>
        <w:t>беспечение комплексной безопасности и комфортных условий в учреждениях спорта.</w:t>
      </w:r>
    </w:p>
    <w:p w:rsidR="00CF0324" w:rsidRDefault="00124A10">
      <w:pPr>
        <w:spacing w:line="276" w:lineRule="auto"/>
        <w:ind w:firstLine="708"/>
        <w:jc w:val="both"/>
        <w:rPr>
          <w:rFonts w:eastAsia="TimesNewRomanPSMT"/>
        </w:rPr>
      </w:pPr>
      <w:r>
        <w:rPr>
          <w:rFonts w:eastAsia="TimesNewRomanPSMT"/>
        </w:rPr>
        <w:t xml:space="preserve">К основным проблемам развития физической культуры и спорта в </w:t>
      </w:r>
      <w:r>
        <w:rPr>
          <w:rFonts w:eastAsia="TimesNewRomanPSMT"/>
          <w:iCs/>
        </w:rPr>
        <w:t>Кондинском районе</w:t>
      </w:r>
      <w:r>
        <w:rPr>
          <w:rFonts w:eastAsia="TimesNewRomanPSMT"/>
        </w:rPr>
        <w:t xml:space="preserve"> относятся: низкая заработная плата в учреждениях, как следствие недостаток высокопрофессиональных педагогических кадров, готовых к активной деятельности в области физкультуры и спорта; низкая обеспеченность </w:t>
      </w:r>
      <w:r>
        <w:t xml:space="preserve">спортивными сооружениями; </w:t>
      </w:r>
      <w:r>
        <w:rPr>
          <w:rFonts w:eastAsia="TimesNewRomanPSMT"/>
        </w:rPr>
        <w:t>дифференциация в обеспеченности объектами физкультурно-оздоровительного характера среди городских и сельских поселений района.</w:t>
      </w:r>
    </w:p>
    <w:p w:rsidR="00CF0324" w:rsidRDefault="00124A10">
      <w:pPr>
        <w:spacing w:line="276" w:lineRule="auto"/>
        <w:ind w:firstLine="708"/>
        <w:jc w:val="both"/>
        <w:rPr>
          <w:rFonts w:eastAsia="TimesNewRomanPSMT"/>
        </w:rPr>
      </w:pPr>
      <w:r>
        <w:rPr>
          <w:rFonts w:eastAsia="TimesNewRomanPSMT"/>
        </w:rPr>
        <w:t xml:space="preserve">Достижение стратегической цели может быть обеспечено путем реализации следующих мероприятий: </w:t>
      </w:r>
      <w:r>
        <w:t>строительство объектов физической культуры и спорта;</w:t>
      </w:r>
      <w:r>
        <w:rPr>
          <w:rFonts w:eastAsia="TimesNewRomanPSMT"/>
        </w:rPr>
        <w:t xml:space="preserve"> </w:t>
      </w:r>
      <w:r>
        <w:t>совершенствование и развитие инфраструктуры физической культуры и спорта, в том числе на основе использования механизмов государственно-частного партнерства;</w:t>
      </w:r>
      <w:r>
        <w:rPr>
          <w:rFonts w:eastAsia="TimesNewRomanPSMT"/>
        </w:rPr>
        <w:t xml:space="preserve"> создание и оснащение новых физкультурно-спортивных клубов по месту жительства, учебы и работы; обеспечение образовательных учреждений дополнительного образования в сфере физической культуры и спорта специальным инвентарём и оборудованием; развитие и популяризация многоэтапной системы массовых спортивных мероприятий («Лыжня России», «Кросс наций», «Кожаный мяч», «Футбольная страна», «Спартакиада трудящихся» и др.); развитие адаптивной физической культуры, создание условий беспрепятственного доступа к спортивным сооружениям и услугам граждан с ограниченными физическими возможностями; внедрение новых организационных и педагогических технологий в систему физического воспитания учащихся; создание и обеспечение системы материальной мотивации тренеров и преподавателей, работающих с детьми и подростками, укрепление состава физкультурно-спортивных кадров; активная пропаганда здорового образа жизни, систематических занятий физкультурой и спортом: развитие социальной рекламы, пропагандирующей здоровый образ жизни; проведение современных пиар-компаний в средствах массовой информации и социальных Интернет-сетях.</w:t>
      </w:r>
    </w:p>
    <w:p w:rsidR="00CF0324" w:rsidRDefault="00124A10">
      <w:pPr>
        <w:pStyle w:val="afff1"/>
      </w:pPr>
      <w:bookmarkStart w:id="45" w:name="_Toc45"/>
      <w:r>
        <w:t>5.9. Жилищная политика</w:t>
      </w:r>
      <w:bookmarkEnd w:id="45"/>
    </w:p>
    <w:p w:rsidR="00CF0324" w:rsidRDefault="00124A10">
      <w:pPr>
        <w:shd w:val="clear" w:color="auto" w:fill="FFFFFF"/>
        <w:spacing w:line="276" w:lineRule="auto"/>
        <w:ind w:firstLine="708"/>
        <w:jc w:val="both"/>
        <w:rPr>
          <w:rFonts w:ascii="Helvetica" w:hAnsi="Helvetica"/>
          <w:color w:val="1A1A1A"/>
          <w:sz w:val="23"/>
          <w:szCs w:val="23"/>
        </w:rPr>
      </w:pPr>
      <w:r>
        <w:rPr>
          <w:bCs/>
          <w:iCs/>
        </w:rPr>
        <w:t>Стратегическая цель</w:t>
      </w:r>
      <w:r>
        <w:rPr>
          <w:b/>
          <w:bCs/>
          <w:iCs/>
        </w:rPr>
        <w:t xml:space="preserve"> </w:t>
      </w:r>
      <w:r>
        <w:rPr>
          <w:rFonts w:eastAsia="TimesNewRomanPSMT"/>
        </w:rPr>
        <w:t xml:space="preserve">в сфере жилищной политики </w:t>
      </w:r>
      <w:r>
        <w:rPr>
          <w:rFonts w:eastAsia="TimesNewRomanPSMT"/>
          <w:iCs/>
        </w:rPr>
        <w:t>Кондинского района</w:t>
      </w:r>
      <w:r>
        <w:rPr>
          <w:rFonts w:eastAsia="TimesNewRomanPSMT"/>
        </w:rPr>
        <w:t xml:space="preserve"> состоит </w:t>
      </w:r>
      <w:r>
        <w:rPr>
          <w:iCs/>
        </w:rPr>
        <w:t>формировании рынка доступного жилья и обеспечении комфортных условий проживания населения.</w:t>
      </w:r>
      <w:r>
        <w:rPr>
          <w:rFonts w:ascii="Calibri" w:hAnsi="Calibri"/>
          <w:color w:val="1A1A1A"/>
          <w:sz w:val="23"/>
          <w:szCs w:val="23"/>
        </w:rPr>
        <w:t xml:space="preserve"> </w:t>
      </w:r>
    </w:p>
    <w:p w:rsidR="00CF0324" w:rsidRDefault="00124A10">
      <w:pPr>
        <w:spacing w:line="276" w:lineRule="auto"/>
        <w:ind w:firstLine="708"/>
        <w:jc w:val="both"/>
        <w:rPr>
          <w:rFonts w:eastAsia="TimesNewRomanPSMT"/>
        </w:rPr>
      </w:pPr>
      <w:r>
        <w:rPr>
          <w:iCs/>
        </w:rPr>
        <w:t xml:space="preserve">Основные задачи, обеспечивающие достижение поставленной цели: </w:t>
      </w:r>
      <w:r>
        <w:rPr>
          <w:color w:val="1A1A1A"/>
        </w:rPr>
        <w:t xml:space="preserve">создание условий для развития жилищного строительства, </w:t>
      </w:r>
      <w:r>
        <w:rPr>
          <w:rFonts w:eastAsia="TimesNewRomanPSMT"/>
        </w:rPr>
        <w:t xml:space="preserve">роста предложения на рынке жилья; </w:t>
      </w:r>
      <w:r>
        <w:rPr>
          <w:rFonts w:eastAsia="TimesNewRomanPSMT"/>
        </w:rPr>
        <w:lastRenderedPageBreak/>
        <w:t>создание условий для развития ипотечного жилищного кредитования; содействие обеспечению жильем и улучшению жилищных условий населения.</w:t>
      </w:r>
    </w:p>
    <w:p w:rsidR="00CF0324" w:rsidRDefault="00124A10">
      <w:pPr>
        <w:spacing w:line="276" w:lineRule="auto"/>
        <w:ind w:firstLine="540"/>
        <w:jc w:val="both"/>
      </w:pPr>
      <w:r>
        <w:rPr>
          <w:rFonts w:eastAsia="TimesNewRomanPSMT"/>
        </w:rPr>
        <w:t>Основные проблемы в сфере обеспечения населения района жильем связаны с большим количеством ветхого и аварийного жилья, подлежащего обязательному расселению, с низким качеством жилищного фонда (износ составляет более 50%.</w:t>
      </w:r>
      <w:r>
        <w:t xml:space="preserve">); с </w:t>
      </w:r>
      <w:r>
        <w:rPr>
          <w:rFonts w:eastAsia="TimesNewRomanPSMT"/>
        </w:rPr>
        <w:t>существенной дифференциацией уровня благоустройства жилья в населенных пунктах района; с дефицитом земельных участков под индивидуальную застройку в отдельных поселениях района, с</w:t>
      </w:r>
      <w:r>
        <w:t xml:space="preserve"> сезонными особенностями в транспортной доступности и климатическими особенностями.</w:t>
      </w:r>
    </w:p>
    <w:p w:rsidR="00CF0324" w:rsidRDefault="00124A10">
      <w:pPr>
        <w:spacing w:line="276" w:lineRule="auto"/>
        <w:ind w:firstLine="540"/>
        <w:jc w:val="both"/>
        <w:rPr>
          <w:rFonts w:eastAsia="TimesNewRomanPSMT"/>
        </w:rPr>
      </w:pPr>
      <w:r>
        <w:rPr>
          <w:rFonts w:eastAsia="TimesNewRomanPSMT"/>
        </w:rPr>
        <w:t xml:space="preserve">Для достижения стратегической цели необходимо реализовать следующие направления: </w:t>
      </w:r>
    </w:p>
    <w:p w:rsidR="00CF0324" w:rsidRDefault="00124A10">
      <w:pPr>
        <w:spacing w:line="276" w:lineRule="auto"/>
        <w:ind w:firstLine="540"/>
        <w:jc w:val="both"/>
      </w:pPr>
      <w:r>
        <w:t>развитие жилищного строительства высокого качества, формирующего жилую среду, благоприятную людям (инфраструктура, равный доступ, качество) с использованием правил «Югорского стандарта»;</w:t>
      </w:r>
    </w:p>
    <w:p w:rsidR="00CF0324" w:rsidRDefault="00124A10">
      <w:pPr>
        <w:spacing w:line="276" w:lineRule="auto"/>
        <w:ind w:firstLine="540"/>
        <w:jc w:val="both"/>
        <w:rPr>
          <w:rFonts w:eastAsia="TimesNewRomanPSMT"/>
        </w:rPr>
      </w:pPr>
      <w:r>
        <w:rPr>
          <w:rFonts w:eastAsia="TimesNewRomanPSMT"/>
        </w:rPr>
        <w:t xml:space="preserve">активизация индивидуального и малоэтажного жилищного строительства, в том числе путем упрощения процедуры оформления земельных участков; </w:t>
      </w:r>
    </w:p>
    <w:p w:rsidR="00CF0324" w:rsidRDefault="00124A10">
      <w:pPr>
        <w:spacing w:line="276" w:lineRule="auto"/>
        <w:ind w:firstLine="540"/>
        <w:jc w:val="both"/>
        <w:rPr>
          <w:rFonts w:eastAsia="TimesNewRomanPSMT"/>
        </w:rPr>
      </w:pPr>
      <w:r>
        <w:rPr>
          <w:rFonts w:eastAsia="TimesNewRomanPSMT"/>
        </w:rPr>
        <w:t>развитие деревянного домостроения;</w:t>
      </w:r>
    </w:p>
    <w:p w:rsidR="00CF0324" w:rsidRDefault="00124A10">
      <w:pPr>
        <w:spacing w:line="276" w:lineRule="auto"/>
        <w:ind w:firstLine="540"/>
        <w:jc w:val="both"/>
        <w:rPr>
          <w:rFonts w:eastAsia="TimesNewRomanPSMT"/>
        </w:rPr>
      </w:pPr>
      <w:r>
        <w:rPr>
          <w:rFonts w:eastAsia="TimesNewRomanPSMT"/>
        </w:rPr>
        <w:t xml:space="preserve">формирование муниципального жилищного фонда социального использования с предоставлением гражданам жилых помещений по договорам социального найма; </w:t>
      </w:r>
    </w:p>
    <w:p w:rsidR="00CF0324" w:rsidRDefault="00124A10">
      <w:pPr>
        <w:spacing w:line="276" w:lineRule="auto"/>
        <w:ind w:firstLine="540"/>
        <w:jc w:val="both"/>
        <w:rPr>
          <w:rFonts w:eastAsia="TimesNewRomanPSMT"/>
        </w:rPr>
      </w:pPr>
      <w:r>
        <w:rPr>
          <w:rFonts w:eastAsia="TimesNewRomanPSMT"/>
        </w:rPr>
        <w:t xml:space="preserve">постепенное выведение ветхого жилья из общего жилфонда; </w:t>
      </w:r>
    </w:p>
    <w:p w:rsidR="00CF0324" w:rsidRDefault="00124A10">
      <w:pPr>
        <w:spacing w:line="276" w:lineRule="auto"/>
        <w:ind w:firstLine="540"/>
        <w:jc w:val="both"/>
        <w:rPr>
          <w:rFonts w:eastAsia="TimesNewRomanPSMT"/>
        </w:rPr>
      </w:pPr>
      <w:r>
        <w:rPr>
          <w:rFonts w:eastAsia="TimesNewRomanPSMT"/>
        </w:rPr>
        <w:t>развитие и совершенствование механизмов адресной поддержки населения для приобретения жилья, в том числе молодых семей и молодых специалистов на селе, а также отдельных категорий граждан, имеющих право на получение жилья в соответствии с законодательством РФ (дети-сироты, участники военных конфликтов и т.п</w:t>
      </w:r>
      <w:r>
        <w:t>.);</w:t>
      </w:r>
    </w:p>
    <w:p w:rsidR="00CF0324" w:rsidRDefault="00124A10">
      <w:pPr>
        <w:spacing w:line="276" w:lineRule="auto"/>
        <w:ind w:firstLine="540"/>
        <w:jc w:val="both"/>
        <w:rPr>
          <w:rFonts w:eastAsia="TimesNewRomanPSMT"/>
        </w:rPr>
      </w:pPr>
      <w:r>
        <w:t>обеспечение всех семей, имеющих трех и более детей, земельными участками под строительство индивидуальных жилых домов.</w:t>
      </w:r>
    </w:p>
    <w:p w:rsidR="00CF0324" w:rsidRDefault="00124A10">
      <w:pPr>
        <w:pStyle w:val="afff1"/>
      </w:pPr>
      <w:bookmarkStart w:id="46" w:name="_Toc46"/>
      <w:r>
        <w:t>5.10. Гражданское общество</w:t>
      </w:r>
      <w:bookmarkEnd w:id="46"/>
    </w:p>
    <w:p w:rsidR="00CF0324" w:rsidRDefault="00124A10">
      <w:pPr>
        <w:spacing w:line="276" w:lineRule="auto"/>
        <w:ind w:firstLine="540"/>
        <w:jc w:val="both"/>
      </w:pPr>
      <w:r>
        <w:t xml:space="preserve">Целью стратегического развития гражданского общества в Кондинском районе является </w:t>
      </w:r>
      <w:r>
        <w:rPr>
          <w:color w:val="1A1A1A"/>
        </w:rPr>
        <w:t>создание условий для развития институтов гражданского общества и реализации гражданских инициатив,</w:t>
      </w:r>
      <w:r>
        <w:t xml:space="preserve"> </w:t>
      </w:r>
      <w:r>
        <w:rPr>
          <w:color w:val="1A1A1A"/>
        </w:rPr>
        <w:t>возможностей для самореализации, формирование культуры открытости в системе органов местного</w:t>
      </w:r>
      <w:r>
        <w:t xml:space="preserve"> </w:t>
      </w:r>
      <w:r>
        <w:rPr>
          <w:color w:val="1A1A1A"/>
        </w:rPr>
        <w:t>самоуправления.</w:t>
      </w:r>
    </w:p>
    <w:p w:rsidR="00CF0324" w:rsidRDefault="00124A10">
      <w:pPr>
        <w:spacing w:line="276" w:lineRule="auto"/>
        <w:ind w:firstLine="540"/>
        <w:jc w:val="both"/>
      </w:pPr>
      <w:r>
        <w:t>Достижение сформулированной стратегической цели развития гражданского общества будет осуществляться путем формирования системы гражданского воспитания, повышения ответственности гражданского общества на основе традиций, интересов и ценностей путем расширения гражданского общества как сообщества;</w:t>
      </w:r>
    </w:p>
    <w:p w:rsidR="00CF0324" w:rsidRDefault="00124A10">
      <w:pPr>
        <w:spacing w:line="276" w:lineRule="auto"/>
        <w:ind w:firstLine="540"/>
        <w:jc w:val="both"/>
      </w:pPr>
      <w:r>
        <w:t>обеспечением максимальной открытости нормотворчества муниципального управления и расширение участия институтов гражданского общества в принятии решений;</w:t>
      </w:r>
    </w:p>
    <w:p w:rsidR="00CF0324" w:rsidRDefault="00124A10">
      <w:pPr>
        <w:spacing w:line="276" w:lineRule="auto"/>
        <w:ind w:firstLine="540"/>
        <w:jc w:val="both"/>
      </w:pPr>
      <w:r>
        <w:t>вовлечением институтов гражданского общества в решение задач социально-экономического развития района</w:t>
      </w:r>
    </w:p>
    <w:p w:rsidR="00CF0324" w:rsidRDefault="00124A10">
      <w:pPr>
        <w:spacing w:line="276" w:lineRule="auto"/>
        <w:ind w:firstLine="540"/>
        <w:jc w:val="both"/>
      </w:pPr>
      <w:r>
        <w:t>создание условий субъектам предпринимательства и СОНКО в решении проблем развития территорий района;</w:t>
      </w:r>
    </w:p>
    <w:p w:rsidR="00CF0324" w:rsidRDefault="00124A10">
      <w:pPr>
        <w:spacing w:line="276" w:lineRule="auto"/>
        <w:ind w:firstLine="540"/>
        <w:jc w:val="both"/>
      </w:pPr>
      <w:r>
        <w:t xml:space="preserve">наращивание объемов инициативного бюджетирования на муниципальном уровне и создание системы стимулирования активных граждан по участию в этом процессе, </w:t>
      </w:r>
      <w:r>
        <w:lastRenderedPageBreak/>
        <w:t>системы мотивации при привлечении экспертов и активных граждан к краудсорсинговым проектам;</w:t>
      </w:r>
    </w:p>
    <w:p w:rsidR="00CF0324" w:rsidRDefault="00124A10">
      <w:pPr>
        <w:spacing w:line="276" w:lineRule="auto"/>
        <w:ind w:firstLine="540"/>
        <w:jc w:val="both"/>
      </w:pPr>
      <w:r>
        <w:t>формирование межведомственного партнерства исполнительных органов местного самоуправления, депутатов с жителями, бизнесом, ТОС, СОНКО для обеспечения роста качества жизни;</w:t>
      </w:r>
    </w:p>
    <w:p w:rsidR="00CF0324" w:rsidRDefault="00124A10">
      <w:pPr>
        <w:spacing w:line="276" w:lineRule="auto"/>
        <w:ind w:firstLine="540"/>
        <w:jc w:val="both"/>
      </w:pPr>
      <w:r>
        <w:t>укрепление позиций муниципальных общественных советов, расширение их содержательной повестки; сферы гражданского контроля за всеми направлениями функционирования органов местного самоуправления;</w:t>
      </w:r>
    </w:p>
    <w:p w:rsidR="00CF0324" w:rsidRDefault="00124A10">
      <w:pPr>
        <w:spacing w:line="276" w:lineRule="auto"/>
        <w:ind w:firstLine="540"/>
        <w:jc w:val="both"/>
      </w:pPr>
      <w:r>
        <w:t>создание механизма общественного финансового контроля и общественной финансовой экспертизы в области бюджетного планирования, процедур закупки товаров, работ, услуг для государственных и муниципальных нужд;</w:t>
      </w:r>
    </w:p>
    <w:p w:rsidR="00CF0324" w:rsidRDefault="00124A10">
      <w:pPr>
        <w:spacing w:line="276" w:lineRule="auto"/>
        <w:ind w:firstLine="540"/>
        <w:jc w:val="both"/>
      </w:pPr>
      <w:r>
        <w:t>информационное обеспечение деятельности СОНКО, создание дополнительных возможностей граждан к самоорганизации в различных сферах жизнедеятельности (гуманитарной, благотворительной, общественно-политической и пр.).</w:t>
      </w:r>
    </w:p>
    <w:p w:rsidR="00CF0324" w:rsidRDefault="00124A10">
      <w:pPr>
        <w:pStyle w:val="afff1"/>
      </w:pPr>
      <w:bookmarkStart w:id="47" w:name="_Toc47"/>
      <w:r>
        <w:br w:type="page" w:clear="all"/>
      </w:r>
      <w:r>
        <w:lastRenderedPageBreak/>
        <w:t xml:space="preserve">РАЗДЕЛ 6. ОСНОВНЫЕ НАПРАВЛЕНИЯ И ПРИОРИТЕТЫ ЭКОНОМИЧЕСКОГО РАЗВИТИЯ КОНДИНСКОГО РАЙОНА </w:t>
      </w:r>
      <w:r>
        <w:rPr>
          <w:bCs/>
        </w:rPr>
        <w:t xml:space="preserve">ХАНТЫ-МАНСИЙСКОГО АВТОНОМНОГО ОКРУГА – ЮГРЫ </w:t>
      </w:r>
      <w:r>
        <w:t>НА ПЕРИОД ДО 2036 ГОДА</w:t>
      </w:r>
      <w:bookmarkEnd w:id="47"/>
    </w:p>
    <w:p w:rsidR="00CF0324" w:rsidRDefault="00124A10">
      <w:pPr>
        <w:pStyle w:val="afff1"/>
      </w:pPr>
      <w:bookmarkStart w:id="48" w:name="_Toc48"/>
      <w:r>
        <w:t>6.1. РЕАЛЬНЫЙ СЕКТОР ЭКОНОМИКИ</w:t>
      </w:r>
      <w:bookmarkEnd w:id="48"/>
    </w:p>
    <w:p w:rsidR="00CF0324" w:rsidRDefault="00124A10">
      <w:pPr>
        <w:spacing w:line="276" w:lineRule="auto"/>
        <w:ind w:firstLine="708"/>
        <w:jc w:val="both"/>
      </w:pPr>
      <w:r>
        <w:t xml:space="preserve">Реальный сектор экономики Кондинского района сформирован на основе ресурсно-сырьевой модели нефтегазодобывающей и лесной промышленности. Основываясь на природных ресурсах Кондинского района, в потенциале экономического развития стоят рыбная промышленность, АПК, переработка дикоросов. Нефтегазодобывающая промышленность, является базовым сектором экономики района, определяет его основную экономическую специализацию по объемам отгруженной продукции собственного производства. </w:t>
      </w:r>
    </w:p>
    <w:p w:rsidR="00CF0324" w:rsidRDefault="00124A10">
      <w:pPr>
        <w:ind w:firstLine="540"/>
        <w:jc w:val="both"/>
      </w:pPr>
      <w:r>
        <w:t>Стратегической целью</w:t>
      </w:r>
      <w:r>
        <w:rPr>
          <w:b/>
        </w:rPr>
        <w:t xml:space="preserve"> </w:t>
      </w:r>
      <w:r>
        <w:t>развития реального сектора экономики Кондинского района является формирование конкурентоспособной промышленности, АПК, включая переработку рыбы и дикоросов, обеспечивающей переход экономики от экспортно-сырьевого типа развития к готовой продукции значительной степени переработки высокой добавленной стоимостью с расширением перечня производимой продукции на территории района и обеспечение занятости населения, повышение уровня жизни граждан.</w:t>
      </w:r>
    </w:p>
    <w:p w:rsidR="00CF0324" w:rsidRDefault="00124A10">
      <w:pPr>
        <w:spacing w:line="276" w:lineRule="auto"/>
        <w:jc w:val="center"/>
        <w:rPr>
          <w:i/>
        </w:rPr>
      </w:pPr>
      <w:r>
        <w:rPr>
          <w:i/>
        </w:rPr>
        <w:t>Промышленность</w:t>
      </w:r>
    </w:p>
    <w:p w:rsidR="00CF0324" w:rsidRDefault="00CF0324">
      <w:pPr>
        <w:spacing w:line="276" w:lineRule="auto"/>
        <w:jc w:val="center"/>
        <w:rPr>
          <w:i/>
        </w:rPr>
      </w:pPr>
    </w:p>
    <w:p w:rsidR="00CF0324" w:rsidRDefault="00124A10">
      <w:pPr>
        <w:spacing w:line="276" w:lineRule="auto"/>
        <w:ind w:firstLine="708"/>
        <w:jc w:val="both"/>
      </w:pPr>
      <w:r>
        <w:t>Стратегическая цель</w:t>
      </w:r>
      <w:r>
        <w:rPr>
          <w:b/>
        </w:rPr>
        <w:t xml:space="preserve"> - </w:t>
      </w:r>
      <w:r>
        <w:t>развитие инфраструктуры промышленности на территории района, развитие Индустриального парка «Кондинский», создание технологических цепочек действующих производств, диверсификация и обеспечение экономического роста на основе кооперации и технико-технологического обновления действующих предприятий, создание новых традиционных и (или) инновационных производств.</w:t>
      </w:r>
    </w:p>
    <w:p w:rsidR="00CF0324" w:rsidRDefault="00124A10">
      <w:pPr>
        <w:spacing w:line="276" w:lineRule="auto"/>
        <w:ind w:firstLine="540"/>
        <w:jc w:val="both"/>
      </w:pPr>
      <w:r>
        <w:t>Индустриальный парк «Кондинский» (Кондинский муниципальный район, пгт.Мортка – промышленное производство продукции и услуг деревообработки) располагается вблизи транспортных артерий (железнодорожной ветки ст.Мортка – Екатеринбург и автомобильной дороги Мортка – Урай – Ханты-Мансийск), имеет выход на логистические терминалы Югры. Направления промышленного сотрудничества: лесозаготовка, лесопиление, каркасное домостроение, утилизация отходов, производство МДФ, ЖКХ, мебельное производство, биоэнергетика.</w:t>
      </w:r>
    </w:p>
    <w:p w:rsidR="00CF0324" w:rsidRDefault="00124A10">
      <w:pPr>
        <w:spacing w:line="276" w:lineRule="auto"/>
        <w:ind w:firstLine="708"/>
        <w:jc w:val="both"/>
      </w:pPr>
      <w:r>
        <w:t>Основные задачи</w:t>
      </w:r>
      <w:r>
        <w:rPr>
          <w:b/>
        </w:rPr>
        <w:t xml:space="preserve"> </w:t>
      </w:r>
      <w:r>
        <w:t xml:space="preserve">развития промышленности: </w:t>
      </w:r>
    </w:p>
    <w:p w:rsidR="00CF0324" w:rsidRDefault="00124A10">
      <w:pPr>
        <w:spacing w:line="276" w:lineRule="auto"/>
        <w:ind w:firstLine="708"/>
        <w:jc w:val="both"/>
      </w:pPr>
      <w:r>
        <w:t>создание и развитие современной промышленной инфраструктуры, включая строительство лесовозных дорог;</w:t>
      </w:r>
    </w:p>
    <w:p w:rsidR="00CF0324" w:rsidRDefault="00124A10">
      <w:pPr>
        <w:spacing w:line="276" w:lineRule="auto"/>
        <w:ind w:firstLine="708"/>
        <w:jc w:val="both"/>
      </w:pPr>
      <w:r>
        <w:t>стимулирование инвестиционной и инновационной деятельности предприятий промышленности;</w:t>
      </w:r>
    </w:p>
    <w:p w:rsidR="00CF0324" w:rsidRDefault="00124A10">
      <w:pPr>
        <w:spacing w:line="276" w:lineRule="auto"/>
        <w:ind w:firstLine="708"/>
        <w:jc w:val="both"/>
      </w:pPr>
      <w:r>
        <w:t xml:space="preserve">обеспечение роста производительности труда; </w:t>
      </w:r>
    </w:p>
    <w:p w:rsidR="00CF0324" w:rsidRDefault="00124A10">
      <w:pPr>
        <w:spacing w:line="276" w:lineRule="auto"/>
        <w:ind w:firstLine="708"/>
        <w:jc w:val="both"/>
      </w:pPr>
      <w:r>
        <w:t xml:space="preserve">повышение конкурентоспособности продукции; </w:t>
      </w:r>
    </w:p>
    <w:p w:rsidR="00CF0324" w:rsidRDefault="00124A10">
      <w:pPr>
        <w:spacing w:line="276" w:lineRule="auto"/>
        <w:ind w:firstLine="708"/>
        <w:jc w:val="both"/>
      </w:pPr>
      <w:r>
        <w:t>модернизация и техническое перевооружение производства;</w:t>
      </w:r>
    </w:p>
    <w:p w:rsidR="00CF0324" w:rsidRDefault="00124A10">
      <w:pPr>
        <w:spacing w:line="276" w:lineRule="auto"/>
        <w:ind w:firstLine="708"/>
        <w:jc w:val="both"/>
      </w:pPr>
      <w:r>
        <w:t>создание благоприятного инвестиционного климата для развития промышленности;</w:t>
      </w:r>
    </w:p>
    <w:p w:rsidR="00CF0324" w:rsidRDefault="00124A10">
      <w:pPr>
        <w:spacing w:line="276" w:lineRule="auto"/>
        <w:ind w:firstLine="708"/>
        <w:jc w:val="both"/>
      </w:pPr>
      <w:r>
        <w:lastRenderedPageBreak/>
        <w:t>эффективное использование природных ресурсов путем увеличения глубины переработки;</w:t>
      </w:r>
    </w:p>
    <w:p w:rsidR="00CF0324" w:rsidRDefault="00124A10">
      <w:pPr>
        <w:spacing w:line="276" w:lineRule="auto"/>
        <w:ind w:firstLine="708"/>
        <w:jc w:val="both"/>
        <w:rPr>
          <w:color w:val="000000"/>
          <w:lang w:eastAsia="en-US"/>
        </w:rPr>
      </w:pPr>
      <w:r>
        <w:rPr>
          <w:color w:val="000000"/>
          <w:lang w:eastAsia="en-US"/>
        </w:rPr>
        <w:t>развитие мощностей по глубокой механической, химической и энергетической переработке древесины и увеличение вклада лесного комплекса в социально-экономическое развитие автономного округа.</w:t>
      </w:r>
    </w:p>
    <w:p w:rsidR="00CF0324" w:rsidRDefault="00124A10">
      <w:pPr>
        <w:spacing w:line="276" w:lineRule="auto"/>
        <w:ind w:firstLine="708"/>
        <w:jc w:val="both"/>
      </w:pPr>
      <w:r>
        <w:t>Сильные и слабые стороны Кондинского района с точки зрения оценки перспектив развития промышленных производств, как основы местной экономики, а также потенциальные возможности и угрозы внешней среды обобщены в таблице 6.1.</w:t>
      </w:r>
    </w:p>
    <w:p w:rsidR="00CF0324" w:rsidRDefault="00124A10">
      <w:pPr>
        <w:spacing w:line="276" w:lineRule="auto"/>
        <w:ind w:firstLine="708"/>
        <w:jc w:val="both"/>
        <w:rPr>
          <w:rFonts w:eastAsia="TimesNewRomanPSMT"/>
        </w:rPr>
      </w:pPr>
      <w:r>
        <w:rPr>
          <w:rFonts w:eastAsia="TimesNewRomanPSMT"/>
        </w:rPr>
        <w:t xml:space="preserve">Достижение поставленной цели будет обеспечено за счет формирования на базе </w:t>
      </w:r>
      <w:r>
        <w:t xml:space="preserve">Индустриального парка «Кондинский» </w:t>
      </w:r>
      <w:r>
        <w:rPr>
          <w:rFonts w:eastAsia="TimesNewRomanPSMT"/>
        </w:rPr>
        <w:t>окружного инновационного кластера, включающего вертикально-интегрированные производственно-технологические цепочки, рациональное лесопользование и лесовосстановление, глубокую переработку древесины, современную транспортную логистику, научное, инжиниринговое и кадровое обеспечение.</w:t>
      </w:r>
    </w:p>
    <w:p w:rsidR="00CF0324" w:rsidRDefault="00124A10">
      <w:pPr>
        <w:spacing w:line="276" w:lineRule="auto"/>
        <w:ind w:firstLine="708"/>
        <w:jc w:val="both"/>
        <w:rPr>
          <w:lang w:eastAsia="en-US"/>
        </w:rPr>
      </w:pPr>
      <w:r>
        <w:t>В результате сформируется эффективно функционирующая модель инновационного, устойчивого социально-ориентированного, экологически сбалансированного развития на основе использования и укрепления традиционных ресурсных конкурентных преимуществ.</w:t>
      </w:r>
      <w:r>
        <w:rPr>
          <w:lang w:eastAsia="en-US"/>
        </w:rPr>
        <w:t xml:space="preserve"> Основной акцент в развитии промышленности района в рамках формирования новых рынков высокотехнологичной продукции и развития новых индустрий будет сделан на внедрение новейших технологий, которые могут обеспечить появление продукции с принципиально новыми качествами. </w:t>
      </w:r>
    </w:p>
    <w:p w:rsidR="00CF0324" w:rsidRDefault="00CF0324">
      <w:pPr>
        <w:spacing w:line="276" w:lineRule="auto"/>
        <w:ind w:firstLine="708"/>
        <w:jc w:val="both"/>
        <w:rPr>
          <w:rFonts w:eastAsia="TimesNewRomanPSMT"/>
          <w:b/>
        </w:rPr>
      </w:pPr>
    </w:p>
    <w:p w:rsidR="00CF0324" w:rsidRDefault="00CF0324">
      <w:pPr>
        <w:spacing w:line="360" w:lineRule="auto"/>
        <w:jc w:val="both"/>
        <w:sectPr w:rsidR="00CF0324">
          <w:footerReference w:type="even" r:id="rId34"/>
          <w:footerReference w:type="default" r:id="rId35"/>
          <w:pgSz w:w="11906" w:h="16838"/>
          <w:pgMar w:top="1134" w:right="851" w:bottom="1134" w:left="1701" w:header="709" w:footer="709"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6.1.</w:t>
      </w:r>
    </w:p>
    <w:p w:rsidR="00CF0324" w:rsidRDefault="00124A10">
      <w:pPr>
        <w:spacing w:line="360" w:lineRule="auto"/>
        <w:jc w:val="center"/>
        <w:rPr>
          <w:rFonts w:eastAsia="TimesNewRomanPSMT"/>
        </w:rPr>
      </w:pPr>
      <w:r>
        <w:rPr>
          <w:rFonts w:eastAsia="TimesNewRomanPSMT"/>
        </w:rPr>
        <w:t>Матрица SWOT-анализа условий стратегического развития промышленности Кондинского района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6945"/>
      </w:tblGrid>
      <w:tr w:rsidR="00CF0324">
        <w:trPr>
          <w:trHeight w:val="77"/>
        </w:trPr>
        <w:tc>
          <w:tcPr>
            <w:tcW w:w="7905" w:type="dxa"/>
            <w:shd w:val="clear" w:color="auto" w:fill="C0C0C0"/>
            <w:vAlign w:val="center"/>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6945" w:type="dxa"/>
            <w:shd w:val="clear" w:color="auto" w:fill="C0C0C0"/>
            <w:vAlign w:val="center"/>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4080"/>
        </w:trPr>
        <w:tc>
          <w:tcPr>
            <w:tcW w:w="7905" w:type="dxa"/>
          </w:tcPr>
          <w:p w:rsidR="00CF0324" w:rsidRDefault="00124A10">
            <w:pPr>
              <w:spacing w:line="276" w:lineRule="auto"/>
              <w:jc w:val="both"/>
              <w:rPr>
                <w:rFonts w:eastAsia="TimesNewRomanPSMT"/>
              </w:rPr>
            </w:pPr>
            <w:r>
              <w:rPr>
                <w:rFonts w:eastAsia="TimesNewRomanPSMT"/>
              </w:rPr>
              <w:t>-наличие запасов природных ресурсов: углеводороды, твердые полезные ископаемые, лесные ресурсы, торф;</w:t>
            </w:r>
          </w:p>
          <w:p w:rsidR="00CF0324" w:rsidRDefault="00124A10">
            <w:pPr>
              <w:spacing w:line="276" w:lineRule="auto"/>
              <w:jc w:val="both"/>
              <w:rPr>
                <w:rFonts w:eastAsia="TimesNewRomanPSMT"/>
              </w:rPr>
            </w:pPr>
            <w:r>
              <w:rPr>
                <w:rFonts w:eastAsia="TimesNewRomanPSMT"/>
              </w:rPr>
              <w:t>-наличие потенциальных рынков сбыта: г. Екатеринбург, г. Тюмени, г.Урай;</w:t>
            </w:r>
          </w:p>
          <w:p w:rsidR="00CF0324" w:rsidRDefault="00124A10">
            <w:pPr>
              <w:spacing w:line="276" w:lineRule="auto"/>
              <w:jc w:val="both"/>
              <w:rPr>
                <w:rFonts w:eastAsia="TimesNewRomanPSMT"/>
              </w:rPr>
            </w:pPr>
            <w:r>
              <w:rPr>
                <w:rFonts w:eastAsia="TimesNewRomanPSMT"/>
              </w:rPr>
              <w:t>-наличие производственных мощностей по заготовке и переработке древесины;</w:t>
            </w:r>
          </w:p>
          <w:p w:rsidR="00CF0324" w:rsidRDefault="00124A10">
            <w:pPr>
              <w:spacing w:line="276" w:lineRule="auto"/>
              <w:jc w:val="both"/>
              <w:rPr>
                <w:rFonts w:eastAsia="TimesNewRomanPSMT"/>
              </w:rPr>
            </w:pPr>
            <w:r>
              <w:rPr>
                <w:rFonts w:eastAsia="TimesNewRomanPSMT"/>
              </w:rPr>
              <w:t>-трудовые ресурсы;</w:t>
            </w:r>
          </w:p>
          <w:p w:rsidR="00CF0324" w:rsidRDefault="00124A10">
            <w:pPr>
              <w:spacing w:line="276" w:lineRule="auto"/>
              <w:jc w:val="both"/>
              <w:rPr>
                <w:rFonts w:eastAsia="TimesNewRomanPSMT"/>
              </w:rPr>
            </w:pPr>
            <w:r>
              <w:rPr>
                <w:rFonts w:eastAsia="TimesNewRomanPSMT"/>
              </w:rPr>
              <w:t>-наличие рыбных ресурсов;</w:t>
            </w:r>
          </w:p>
          <w:p w:rsidR="00CF0324" w:rsidRDefault="00124A10">
            <w:pPr>
              <w:spacing w:line="276" w:lineRule="auto"/>
              <w:jc w:val="both"/>
              <w:rPr>
                <w:rFonts w:eastAsia="TimesNewRomanPSMT"/>
              </w:rPr>
            </w:pPr>
            <w:r>
              <w:rPr>
                <w:rFonts w:eastAsia="TimesNewRomanPSMT"/>
              </w:rPr>
              <w:t>-наличие дикоросов.</w:t>
            </w:r>
          </w:p>
          <w:p w:rsidR="00CF0324" w:rsidRDefault="00CF0324">
            <w:pPr>
              <w:jc w:val="both"/>
              <w:rPr>
                <w:rFonts w:eastAsia="TimesNewRomanPSMT"/>
                <w:color w:val="FF0000"/>
              </w:rPr>
            </w:pPr>
          </w:p>
        </w:tc>
        <w:tc>
          <w:tcPr>
            <w:tcW w:w="6945" w:type="dxa"/>
          </w:tcPr>
          <w:p w:rsidR="00CF0324" w:rsidRDefault="00124A10">
            <w:pPr>
              <w:spacing w:line="276" w:lineRule="auto"/>
              <w:jc w:val="both"/>
              <w:rPr>
                <w:rFonts w:eastAsia="TimesNewRomanPSMT"/>
              </w:rPr>
            </w:pPr>
            <w:r>
              <w:rPr>
                <w:rFonts w:eastAsia="TimesNewRomanPSMT"/>
              </w:rPr>
              <w:t>-низкая продуктивность лесных ресурсов;</w:t>
            </w:r>
          </w:p>
          <w:p w:rsidR="00CF0324" w:rsidRDefault="00124A10">
            <w:pPr>
              <w:spacing w:line="276" w:lineRule="auto"/>
              <w:jc w:val="both"/>
              <w:rPr>
                <w:rFonts w:eastAsia="TimesNewRomanPSMT"/>
              </w:rPr>
            </w:pPr>
            <w:r>
              <w:rPr>
                <w:rFonts w:eastAsia="TimesNewRomanPSMT"/>
              </w:rPr>
              <w:t>-недостаточная степень изученности топливно-энергетических  ресурсов;</w:t>
            </w:r>
          </w:p>
          <w:p w:rsidR="00CF0324" w:rsidRDefault="00124A10">
            <w:pPr>
              <w:spacing w:line="276" w:lineRule="auto"/>
              <w:jc w:val="both"/>
            </w:pPr>
            <w:r>
              <w:rPr>
                <w:rFonts w:eastAsia="TimesNewRomanPSMT"/>
              </w:rPr>
              <w:t>-изношенный парк машин и оборудования;</w:t>
            </w:r>
          </w:p>
          <w:p w:rsidR="00CF0324" w:rsidRDefault="00124A10">
            <w:pPr>
              <w:spacing w:line="276" w:lineRule="auto"/>
              <w:jc w:val="both"/>
            </w:pPr>
            <w:r>
              <w:t>-неразвитость инфраструктуры и удаленность от транспортных путей большей части территории;</w:t>
            </w:r>
          </w:p>
          <w:p w:rsidR="00CF0324" w:rsidRDefault="00124A10">
            <w:pPr>
              <w:spacing w:line="276" w:lineRule="auto"/>
              <w:jc w:val="both"/>
              <w:rPr>
                <w:rFonts w:eastAsia="TimesNewRomanPSMT"/>
                <w:bCs/>
              </w:rPr>
            </w:pPr>
            <w:r>
              <w:rPr>
                <w:rFonts w:eastAsia="TimesNewRomanPSMT"/>
                <w:bCs/>
              </w:rPr>
              <w:t>-низкий уровень диверсификации промышленного производства;</w:t>
            </w:r>
          </w:p>
          <w:p w:rsidR="00CF0324" w:rsidRDefault="00124A10">
            <w:pPr>
              <w:spacing w:line="276" w:lineRule="auto"/>
              <w:jc w:val="both"/>
              <w:rPr>
                <w:rFonts w:eastAsia="TimesNewRomanPSMT"/>
                <w:bCs/>
              </w:rPr>
            </w:pPr>
            <w:r>
              <w:rPr>
                <w:rFonts w:eastAsia="TimesNewRomanPSMT"/>
                <w:bCs/>
              </w:rPr>
              <w:t>-низкий уровень развития IT-технологий;</w:t>
            </w:r>
          </w:p>
          <w:p w:rsidR="00CF0324" w:rsidRDefault="00124A10">
            <w:pPr>
              <w:spacing w:line="276" w:lineRule="auto"/>
              <w:jc w:val="both"/>
              <w:rPr>
                <w:rFonts w:eastAsia="TimesNewRomanPSMT"/>
                <w:bCs/>
              </w:rPr>
            </w:pPr>
            <w:r>
              <w:rPr>
                <w:rFonts w:eastAsia="TimesNewRomanPSMT"/>
                <w:bCs/>
              </w:rPr>
              <w:t>-изменение структуры запасов полезных ископаемых в пользу трудноизвлекаемых запасов;</w:t>
            </w:r>
          </w:p>
          <w:p w:rsidR="00CF0324" w:rsidRDefault="00124A10">
            <w:pPr>
              <w:spacing w:line="276" w:lineRule="auto"/>
              <w:jc w:val="both"/>
              <w:rPr>
                <w:rFonts w:eastAsia="TimesNewRomanPSMT"/>
                <w:bCs/>
              </w:rPr>
            </w:pPr>
            <w:r>
              <w:rPr>
                <w:rFonts w:eastAsia="TimesNewRomanPSMT"/>
                <w:bCs/>
              </w:rPr>
              <w:t>-высокий уровень экологической нагрузки.</w:t>
            </w:r>
          </w:p>
        </w:tc>
      </w:tr>
      <w:tr w:rsidR="00CF0324">
        <w:trPr>
          <w:trHeight w:val="288"/>
        </w:trPr>
        <w:tc>
          <w:tcPr>
            <w:tcW w:w="7905"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6945"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905" w:type="dxa"/>
          </w:tcPr>
          <w:p w:rsidR="00CF0324" w:rsidRDefault="00124A10">
            <w:pPr>
              <w:spacing w:line="276" w:lineRule="auto"/>
              <w:jc w:val="both"/>
              <w:rPr>
                <w:rFonts w:eastAsia="TimesNewRomanPSMT"/>
              </w:rPr>
            </w:pPr>
            <w:r>
              <w:rPr>
                <w:rFonts w:eastAsia="TimesNewRomanPSMT"/>
              </w:rPr>
              <w:t>-реализация приоритетных инвестиционных и инновационных проектов</w:t>
            </w:r>
          </w:p>
          <w:p w:rsidR="00CF0324" w:rsidRDefault="00124A10">
            <w:pPr>
              <w:spacing w:line="276" w:lineRule="auto"/>
              <w:jc w:val="both"/>
              <w:rPr>
                <w:rFonts w:eastAsia="TimesNewRomanPSMT"/>
              </w:rPr>
            </w:pPr>
            <w:r>
              <w:rPr>
                <w:rFonts w:eastAsia="TimesNewRomanPSMT"/>
              </w:rPr>
              <w:t>Наличие региональной поддержки инвестиционных проектов в рамках «одного окна»;</w:t>
            </w:r>
          </w:p>
          <w:p w:rsidR="00CF0324" w:rsidRDefault="00124A10">
            <w:pPr>
              <w:spacing w:line="276" w:lineRule="auto"/>
              <w:jc w:val="both"/>
              <w:rPr>
                <w:rFonts w:eastAsia="TimesNewRomanPSMT"/>
              </w:rPr>
            </w:pPr>
            <w:r>
              <w:rPr>
                <w:rFonts w:eastAsia="TimesNewRomanPSMT"/>
              </w:rPr>
              <w:t>-растущий спрос на продукцию деревянного домостроения и производства мебели;</w:t>
            </w:r>
          </w:p>
          <w:p w:rsidR="00CF0324" w:rsidRDefault="00124A10">
            <w:pPr>
              <w:spacing w:line="276" w:lineRule="auto"/>
              <w:jc w:val="both"/>
              <w:rPr>
                <w:rFonts w:eastAsia="TimesNewRomanPSMT"/>
              </w:rPr>
            </w:pPr>
            <w:r>
              <w:rPr>
                <w:rFonts w:eastAsia="TimesNewRomanPSMT"/>
              </w:rPr>
              <w:t>-освоение новых технологий лесохимической и энергетической переработки древесного сырья;</w:t>
            </w:r>
          </w:p>
          <w:p w:rsidR="00CF0324" w:rsidRDefault="00124A10">
            <w:pPr>
              <w:spacing w:line="276" w:lineRule="auto"/>
              <w:jc w:val="both"/>
              <w:rPr>
                <w:rFonts w:eastAsia="TimesNewRomanPSMT"/>
              </w:rPr>
            </w:pPr>
            <w:r>
              <w:rPr>
                <w:rFonts w:eastAsia="TimesNewRomanPSMT"/>
              </w:rPr>
              <w:t>-межрегиональная и межмуниципальная  кооперация;</w:t>
            </w:r>
          </w:p>
          <w:p w:rsidR="00CF0324" w:rsidRDefault="00124A10">
            <w:pPr>
              <w:spacing w:line="276" w:lineRule="auto"/>
              <w:jc w:val="both"/>
              <w:rPr>
                <w:rFonts w:eastAsia="TimesNewRomanPSMT"/>
              </w:rPr>
            </w:pPr>
            <w:r>
              <w:rPr>
                <w:rFonts w:eastAsia="TimesNewRomanPSMT"/>
              </w:rPr>
              <w:t>-модернизация транспортной системы.</w:t>
            </w:r>
          </w:p>
        </w:tc>
        <w:tc>
          <w:tcPr>
            <w:tcW w:w="6945" w:type="dxa"/>
          </w:tcPr>
          <w:p w:rsidR="00CF0324" w:rsidRDefault="00124A10">
            <w:pPr>
              <w:spacing w:line="276" w:lineRule="auto"/>
              <w:jc w:val="both"/>
              <w:rPr>
                <w:rFonts w:eastAsia="TimesNewRomanPSMT"/>
              </w:rPr>
            </w:pPr>
            <w:r>
              <w:rPr>
                <w:rFonts w:eastAsia="TimesNewRomanPSMT"/>
              </w:rPr>
              <w:t>-сохранение высокой налоговой нагрузки на добычу нефти;</w:t>
            </w:r>
          </w:p>
          <w:p w:rsidR="00CF0324" w:rsidRDefault="00124A10">
            <w:pPr>
              <w:spacing w:line="276" w:lineRule="auto"/>
              <w:jc w:val="both"/>
              <w:rPr>
                <w:rFonts w:eastAsia="TimesNewRomanPSMT"/>
              </w:rPr>
            </w:pPr>
            <w:r>
              <w:rPr>
                <w:rFonts w:eastAsia="TimesNewRomanPSMT"/>
              </w:rPr>
              <w:t>-высокая конкуренция на рынках сбыта;</w:t>
            </w:r>
          </w:p>
          <w:p w:rsidR="00CF0324" w:rsidRDefault="00124A10">
            <w:pPr>
              <w:spacing w:line="276" w:lineRule="auto"/>
              <w:jc w:val="both"/>
              <w:rPr>
                <w:rFonts w:eastAsia="TimesNewRomanPSMT"/>
              </w:rPr>
            </w:pPr>
            <w:r>
              <w:rPr>
                <w:rFonts w:eastAsia="TimesNewRomanPSMT"/>
              </w:rPr>
              <w:t>-снижение мировых цен на нефть;</w:t>
            </w:r>
          </w:p>
          <w:p w:rsidR="00CF0324" w:rsidRDefault="00124A10">
            <w:pPr>
              <w:spacing w:line="276" w:lineRule="auto"/>
              <w:jc w:val="both"/>
              <w:rPr>
                <w:rFonts w:eastAsia="TimesNewRomanPSMT"/>
              </w:rPr>
            </w:pPr>
            <w:r>
              <w:rPr>
                <w:rFonts w:eastAsia="TimesNewRomanPSMT"/>
              </w:rPr>
              <w:t>-макроэкономическая нестабильность;</w:t>
            </w:r>
          </w:p>
          <w:p w:rsidR="00CF0324" w:rsidRDefault="00124A10">
            <w:pPr>
              <w:spacing w:line="276" w:lineRule="auto"/>
              <w:jc w:val="both"/>
              <w:rPr>
                <w:rFonts w:eastAsia="TimesNewRomanPSMT"/>
              </w:rPr>
            </w:pPr>
            <w:r>
              <w:rPr>
                <w:rFonts w:eastAsia="TimesNewRomanPSMT"/>
              </w:rPr>
              <w:t>-экономические санкции в отношении Российской Федерации.</w:t>
            </w:r>
          </w:p>
        </w:tc>
      </w:tr>
    </w:tbl>
    <w:p w:rsidR="00CF0324" w:rsidRDefault="00CF0324">
      <w:pPr>
        <w:spacing w:line="360" w:lineRule="auto"/>
        <w:jc w:val="both"/>
        <w:rPr>
          <w:rFonts w:eastAsia="TimesNewRomanPSMT"/>
          <w:color w:val="FF0000"/>
        </w:rPr>
        <w:sectPr w:rsidR="00CF0324">
          <w:pgSz w:w="16838" w:h="11906" w:orient="landscape"/>
          <w:pgMar w:top="1701" w:right="1134" w:bottom="851" w:left="1134" w:header="709" w:footer="709" w:gutter="0"/>
          <w:cols w:space="708"/>
          <w:docGrid w:linePitch="360"/>
        </w:sectPr>
      </w:pPr>
    </w:p>
    <w:p w:rsidR="00CF0324" w:rsidRDefault="00124A10">
      <w:pPr>
        <w:spacing w:line="276" w:lineRule="auto"/>
        <w:jc w:val="center"/>
        <w:rPr>
          <w:rFonts w:eastAsia="TimesNewRomanPSMT"/>
          <w:i/>
        </w:rPr>
      </w:pPr>
      <w:r>
        <w:rPr>
          <w:rFonts w:eastAsia="TimesNewRomanPSMT"/>
          <w:i/>
        </w:rPr>
        <w:lastRenderedPageBreak/>
        <w:t>Агропромышленный комплекс</w:t>
      </w:r>
    </w:p>
    <w:p w:rsidR="00CF0324" w:rsidRDefault="00124A10">
      <w:pPr>
        <w:spacing w:line="276" w:lineRule="auto"/>
        <w:ind w:firstLine="708"/>
        <w:jc w:val="both"/>
        <w:rPr>
          <w:lang w:eastAsia="en-US"/>
        </w:rPr>
      </w:pPr>
      <w:r>
        <w:rPr>
          <w:lang w:eastAsia="en-US"/>
        </w:rPr>
        <w:t>Стратегической целью развития агропромышленного комплекса Кондинского района является продовольственное самообеспечение путем создания условий для развития новых конкурентоспособных направлений агропромышленного бизнеса, повышение эффективности деятельности действующих сельхозпроизводителей и повышение вклада агропромышленного производства в экономику района, создание рабочих мест.</w:t>
      </w:r>
    </w:p>
    <w:p w:rsidR="00CF0324" w:rsidRDefault="00124A10">
      <w:pPr>
        <w:spacing w:line="276" w:lineRule="auto"/>
        <w:ind w:firstLine="708"/>
        <w:jc w:val="both"/>
        <w:rPr>
          <w:lang w:eastAsia="en-US"/>
        </w:rPr>
      </w:pPr>
      <w:r>
        <w:rPr>
          <w:lang w:eastAsia="en-US"/>
        </w:rPr>
        <w:t xml:space="preserve">Приоритетными направлениями развития агропромышленного комплекса Кондинского района являются: модернизация производства сельскохозяйственной продукции за счет использования современных технологий; налаживание и повышение эффективности взаимодействия в технологической цепочке производства и переработки сельскохозяйственной продукции; </w:t>
      </w:r>
      <w:r>
        <w:t>развитие семейного фермерства, сельскохозяйственной кооперации, расширение ассортимента продукции.</w:t>
      </w:r>
    </w:p>
    <w:p w:rsidR="00CF0324" w:rsidRDefault="00124A10">
      <w:pPr>
        <w:spacing w:line="276" w:lineRule="auto"/>
        <w:ind w:firstLine="708"/>
        <w:jc w:val="both"/>
      </w:pPr>
      <w:r>
        <w:t>В агропромышленном и рыбопромышленном производствах приоритеты обусловливаются расширением ресурсной базы, модернизацией и созданием новых перерабатывающих мощностей.</w:t>
      </w:r>
    </w:p>
    <w:p w:rsidR="00CF0324" w:rsidRDefault="00124A10">
      <w:pPr>
        <w:spacing w:line="276" w:lineRule="auto"/>
        <w:ind w:firstLine="708"/>
        <w:jc w:val="both"/>
      </w:pPr>
      <w:r>
        <w:t>В связи с невысокой рентабельностью деятельности предприятий АПК и рыбопромышленного комплекса и одновременно высокой социальной значимостью их функционирования важным приоритетом является сохранение мер государственной поддержки.</w:t>
      </w:r>
    </w:p>
    <w:p w:rsidR="00CF0324" w:rsidRDefault="00124A10">
      <w:pPr>
        <w:spacing w:line="276" w:lineRule="auto"/>
        <w:ind w:firstLine="708"/>
        <w:jc w:val="both"/>
        <w:rPr>
          <w:rFonts w:eastAsia="TimesNewRomanPSMT"/>
        </w:rPr>
      </w:pPr>
      <w:r>
        <w:rPr>
          <w:rFonts w:eastAsia="TimesNewRomanPSMT"/>
        </w:rPr>
        <w:t>Основная задача в области развития агропромышленного комплекса района заключается в обеспечении продовольственной безопасности за счет наращивания объемов, диверсификации структуры производства и переработки сельхозпродукции на базе модернизации оборудования и внедрения современных технологий.</w:t>
      </w:r>
    </w:p>
    <w:p w:rsidR="00CF0324" w:rsidRDefault="00124A10">
      <w:pPr>
        <w:spacing w:line="276" w:lineRule="auto"/>
        <w:ind w:firstLine="708"/>
        <w:jc w:val="both"/>
        <w:rPr>
          <w:rFonts w:eastAsia="TimesNewRomanPSMT"/>
        </w:rPr>
      </w:pPr>
      <w:r>
        <w:rPr>
          <w:rFonts w:eastAsia="TimesNewRomanPSMT"/>
        </w:rPr>
        <w:t>Сильные и слабые стороны с точки зрения оценки перспектив развития агропромышленного комплекса, а также потенциальные возможности и угрозы со стороны внешней среды обобщены в таблице 6.2.</w:t>
      </w:r>
    </w:p>
    <w:p w:rsidR="00CF0324" w:rsidRDefault="00124A10">
      <w:pPr>
        <w:spacing w:line="276" w:lineRule="auto"/>
        <w:ind w:firstLine="708"/>
        <w:jc w:val="both"/>
        <w:rPr>
          <w:rFonts w:eastAsia="TimesNewRomanPSMT"/>
        </w:rPr>
      </w:pPr>
      <w:r>
        <w:rPr>
          <w:rFonts w:eastAsia="TimesNewRomanPSMT"/>
        </w:rPr>
        <w:t>Эффективное развитие АПК должно быть обеспечено формированием рациональной структуры комплекса, расширением кормовой базы для развития животноводства, интенсификацией агропромышленного производства за счет повышения продуктивности животноводства и улучшения материально-ресурсного обеспечения отрасли, модернизации основных производственных фондов перерабатывающей промышленности, внедрения и распространения современных практик и технологий, увеличением объемов государственной поддержки отрасли.</w:t>
      </w:r>
    </w:p>
    <w:p w:rsidR="00CF0324" w:rsidRDefault="00CF0324">
      <w:pPr>
        <w:spacing w:line="276" w:lineRule="auto"/>
        <w:ind w:firstLine="708"/>
        <w:jc w:val="both"/>
        <w:rPr>
          <w:rFonts w:eastAsia="TimesNewRomanPSMT"/>
        </w:rPr>
        <w:sectPr w:rsidR="00CF0324">
          <w:pgSz w:w="11906" w:h="16838"/>
          <w:pgMar w:top="1134" w:right="851" w:bottom="1134" w:left="1701" w:header="709" w:footer="709" w:gutter="0"/>
          <w:cols w:space="708"/>
          <w:docGrid w:linePitch="360"/>
        </w:sectPr>
      </w:pPr>
    </w:p>
    <w:p w:rsidR="00CF0324" w:rsidRDefault="00124A10">
      <w:pPr>
        <w:spacing w:line="360" w:lineRule="auto"/>
        <w:jc w:val="right"/>
        <w:rPr>
          <w:rFonts w:eastAsia="TimesNewRomanPSMT"/>
          <w:iCs/>
        </w:rPr>
      </w:pPr>
      <w:r>
        <w:rPr>
          <w:rFonts w:eastAsia="TimesNewRomanPSMT"/>
          <w:iCs/>
        </w:rPr>
        <w:lastRenderedPageBreak/>
        <w:t>Таблица 6.2.</w:t>
      </w:r>
    </w:p>
    <w:p w:rsidR="00CF0324" w:rsidRDefault="00124A10">
      <w:pPr>
        <w:jc w:val="center"/>
        <w:rPr>
          <w:rFonts w:eastAsia="TimesNewRomanPSMT"/>
        </w:rPr>
      </w:pPr>
      <w:r>
        <w:rPr>
          <w:rFonts w:eastAsia="TimesNewRomanPSMT"/>
        </w:rPr>
        <w:t>Матрица SWOT-анализа условий стратегического развития агропромышленного комплекса</w:t>
      </w:r>
    </w:p>
    <w:p w:rsidR="00CF0324" w:rsidRDefault="00124A10">
      <w:pPr>
        <w:jc w:val="center"/>
        <w:rPr>
          <w:rFonts w:eastAsia="TimesNewRomanPSMT"/>
        </w:rPr>
      </w:pPr>
      <w:r>
        <w:rPr>
          <w:rFonts w:eastAsia="TimesNewRomanPSMT"/>
        </w:rPr>
        <w:t>Кондинского района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6945"/>
      </w:tblGrid>
      <w:tr w:rsidR="00CF0324">
        <w:trPr>
          <w:trHeight w:val="77"/>
        </w:trPr>
        <w:tc>
          <w:tcPr>
            <w:tcW w:w="7905" w:type="dxa"/>
            <w:shd w:val="clear" w:color="auto" w:fill="C0C0C0"/>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6945" w:type="dxa"/>
            <w:shd w:val="clear" w:color="auto" w:fill="C0C0C0"/>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3482"/>
        </w:trPr>
        <w:tc>
          <w:tcPr>
            <w:tcW w:w="7905" w:type="dxa"/>
          </w:tcPr>
          <w:p w:rsidR="00CF0324" w:rsidRDefault="00124A10">
            <w:pPr>
              <w:spacing w:line="276" w:lineRule="auto"/>
              <w:jc w:val="both"/>
              <w:rPr>
                <w:rFonts w:eastAsia="TimesNewRomanPSMT"/>
              </w:rPr>
            </w:pPr>
            <w:r>
              <w:rPr>
                <w:rFonts w:eastAsia="TimesNewRomanPSMT"/>
              </w:rPr>
              <w:t>-наличие рынков сбыта (в том числе: местный рынок);</w:t>
            </w:r>
          </w:p>
          <w:p w:rsidR="00CF0324" w:rsidRDefault="00124A10">
            <w:pPr>
              <w:spacing w:line="276" w:lineRule="auto"/>
              <w:jc w:val="both"/>
              <w:rPr>
                <w:rFonts w:eastAsia="TimesNewRomanPSMT"/>
              </w:rPr>
            </w:pPr>
            <w:r>
              <w:rPr>
                <w:rFonts w:eastAsia="TimesNewRomanPSMT"/>
              </w:rPr>
              <w:t>-наличие свободных земельных ресурсов для развития животноводства, пахотных земель;</w:t>
            </w:r>
          </w:p>
          <w:p w:rsidR="00CF0324" w:rsidRDefault="00124A10">
            <w:pPr>
              <w:spacing w:line="276" w:lineRule="auto"/>
              <w:jc w:val="both"/>
              <w:rPr>
                <w:rFonts w:eastAsia="TimesNewRomanPSMT"/>
              </w:rPr>
            </w:pPr>
            <w:r>
              <w:rPr>
                <w:rFonts w:eastAsia="TimesNewRomanPSMT"/>
              </w:rPr>
              <w:t>-наличие рыбных ресурсов;</w:t>
            </w:r>
          </w:p>
          <w:p w:rsidR="00CF0324" w:rsidRDefault="00124A10">
            <w:pPr>
              <w:spacing w:line="276" w:lineRule="auto"/>
              <w:jc w:val="both"/>
              <w:rPr>
                <w:rFonts w:eastAsia="TimesNewRomanPSMT"/>
              </w:rPr>
            </w:pPr>
            <w:r>
              <w:rPr>
                <w:rFonts w:eastAsia="TimesNewRomanPSMT"/>
              </w:rPr>
              <w:t>-наличие значительных запасов дикоросов;</w:t>
            </w:r>
          </w:p>
          <w:p w:rsidR="00CF0324" w:rsidRDefault="00124A10">
            <w:pPr>
              <w:spacing w:line="276" w:lineRule="auto"/>
              <w:jc w:val="both"/>
              <w:rPr>
                <w:rFonts w:eastAsia="TimesNewRomanPSMT"/>
              </w:rPr>
            </w:pPr>
            <w:r>
              <w:rPr>
                <w:rFonts w:eastAsia="TimesNewRomanPSMT"/>
              </w:rPr>
              <w:t>-наличие кормовой базы для развития животноводства.</w:t>
            </w:r>
          </w:p>
        </w:tc>
        <w:tc>
          <w:tcPr>
            <w:tcW w:w="6945" w:type="dxa"/>
          </w:tcPr>
          <w:p w:rsidR="00CF0324" w:rsidRDefault="00124A10">
            <w:pPr>
              <w:spacing w:line="276" w:lineRule="auto"/>
              <w:jc w:val="both"/>
              <w:rPr>
                <w:rFonts w:eastAsia="TimesNewRomanPSMT"/>
              </w:rPr>
            </w:pPr>
            <w:r>
              <w:rPr>
                <w:rFonts w:eastAsia="TimesNewRomanPSMT"/>
              </w:rPr>
              <w:t>-неблагоприятные природно-климатические условия;</w:t>
            </w:r>
          </w:p>
          <w:p w:rsidR="00CF0324" w:rsidRDefault="00124A10">
            <w:pPr>
              <w:spacing w:line="276" w:lineRule="auto"/>
              <w:jc w:val="both"/>
              <w:rPr>
                <w:rFonts w:eastAsia="TimesNewRomanPSMT"/>
              </w:rPr>
            </w:pPr>
            <w:r>
              <w:rPr>
                <w:rFonts w:eastAsia="TimesNewRomanPSMT"/>
              </w:rPr>
              <w:t>-технологическое отставание;</w:t>
            </w:r>
          </w:p>
          <w:p w:rsidR="00CF0324" w:rsidRDefault="00124A10">
            <w:pPr>
              <w:spacing w:line="276" w:lineRule="auto"/>
              <w:jc w:val="both"/>
              <w:rPr>
                <w:rFonts w:eastAsia="TimesNewRomanPSMT"/>
              </w:rPr>
            </w:pPr>
            <w:r>
              <w:rPr>
                <w:rFonts w:eastAsia="TimesNewRomanPSMT"/>
              </w:rPr>
              <w:t>-высокий износ оборудования и коммуникаций;</w:t>
            </w:r>
          </w:p>
          <w:p w:rsidR="00CF0324" w:rsidRDefault="00124A10">
            <w:pPr>
              <w:spacing w:line="276" w:lineRule="auto"/>
              <w:jc w:val="both"/>
              <w:rPr>
                <w:rFonts w:eastAsia="TimesNewRomanPSMT"/>
                <w:bCs/>
              </w:rPr>
            </w:pPr>
            <w:r>
              <w:rPr>
                <w:rFonts w:eastAsia="TimesNewRomanPSMT"/>
              </w:rPr>
              <w:t>-ресурсные ограничения (рост цен, тарифов, ставок арендной платы);</w:t>
            </w:r>
          </w:p>
          <w:p w:rsidR="00CF0324" w:rsidRDefault="00124A10">
            <w:pPr>
              <w:spacing w:line="276" w:lineRule="auto"/>
              <w:jc w:val="both"/>
              <w:rPr>
                <w:rFonts w:eastAsia="TimesNewRomanPSMT"/>
                <w:bCs/>
              </w:rPr>
            </w:pPr>
            <w:r>
              <w:rPr>
                <w:rFonts w:eastAsia="TimesNewRomanPSMT"/>
              </w:rPr>
              <w:t>-недостаток квалифицированных кадров;</w:t>
            </w:r>
          </w:p>
          <w:p w:rsidR="00CF0324" w:rsidRDefault="00124A10">
            <w:pPr>
              <w:spacing w:line="276" w:lineRule="auto"/>
              <w:jc w:val="both"/>
              <w:rPr>
                <w:rFonts w:eastAsia="TimesNewRomanPSMT"/>
              </w:rPr>
            </w:pPr>
            <w:r>
              <w:rPr>
                <w:rFonts w:eastAsia="TimesNewRomanPSMT"/>
                <w:bCs/>
              </w:rPr>
              <w:t>-недостаточный уровень развития транспортно-логистической                  и энергетической инфраструктур;</w:t>
            </w:r>
          </w:p>
          <w:p w:rsidR="00CF0324" w:rsidRDefault="00124A10">
            <w:pPr>
              <w:spacing w:line="276" w:lineRule="auto"/>
              <w:jc w:val="both"/>
              <w:rPr>
                <w:rFonts w:eastAsia="TimesNewRomanPSMT"/>
                <w:bCs/>
              </w:rPr>
            </w:pPr>
            <w:r>
              <w:rPr>
                <w:rFonts w:eastAsia="TimesNewRomanPSMT"/>
              </w:rPr>
              <w:t>-отсутствие потребительской кооперации, организационная разрозненность мелких сельхозпроизводителей.</w:t>
            </w:r>
          </w:p>
        </w:tc>
      </w:tr>
      <w:tr w:rsidR="00CF0324">
        <w:trPr>
          <w:trHeight w:val="288"/>
        </w:trPr>
        <w:tc>
          <w:tcPr>
            <w:tcW w:w="7905"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6945"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905" w:type="dxa"/>
          </w:tcPr>
          <w:p w:rsidR="00CF0324" w:rsidRDefault="00124A10">
            <w:pPr>
              <w:spacing w:line="276" w:lineRule="auto"/>
              <w:jc w:val="both"/>
              <w:rPr>
                <w:rFonts w:eastAsia="TimesNewRomanPSMT"/>
              </w:rPr>
            </w:pPr>
            <w:r>
              <w:rPr>
                <w:rFonts w:eastAsia="TimesNewRomanPSMT"/>
              </w:rPr>
              <w:t>-государственная поддержка агропромышленного производства;</w:t>
            </w:r>
          </w:p>
          <w:p w:rsidR="00CF0324" w:rsidRDefault="00124A10">
            <w:pPr>
              <w:spacing w:line="276" w:lineRule="auto"/>
              <w:jc w:val="both"/>
              <w:rPr>
                <w:rFonts w:eastAsia="TimesNewRomanPSMT"/>
              </w:rPr>
            </w:pPr>
            <w:r>
              <w:rPr>
                <w:rFonts w:eastAsia="TimesNewRomanPSMT"/>
              </w:rPr>
              <w:t>-межрегиональная и межмуниципальная  кооперация и конкуренция;</w:t>
            </w:r>
          </w:p>
          <w:p w:rsidR="00CF0324" w:rsidRDefault="00124A10">
            <w:pPr>
              <w:spacing w:line="276" w:lineRule="auto"/>
              <w:jc w:val="both"/>
              <w:rPr>
                <w:rFonts w:eastAsia="TimesNewRomanPSMT"/>
              </w:rPr>
            </w:pPr>
            <w:r>
              <w:rPr>
                <w:rFonts w:eastAsia="TimesNewRomanPSMT"/>
              </w:rPr>
              <w:t>-модернизация транспортной системы;</w:t>
            </w:r>
          </w:p>
          <w:p w:rsidR="00CF0324" w:rsidRDefault="00124A10">
            <w:pPr>
              <w:spacing w:line="276" w:lineRule="auto"/>
              <w:jc w:val="both"/>
              <w:rPr>
                <w:rFonts w:eastAsia="TimesNewRomanPSMT"/>
              </w:rPr>
            </w:pPr>
            <w:r>
              <w:rPr>
                <w:rFonts w:eastAsia="TimesNewRomanPSMT"/>
              </w:rPr>
              <w:t>-курс на импортозамещение;</w:t>
            </w:r>
          </w:p>
          <w:p w:rsidR="00CF0324" w:rsidRDefault="00124A10">
            <w:pPr>
              <w:spacing w:line="276" w:lineRule="auto"/>
              <w:jc w:val="both"/>
              <w:rPr>
                <w:rFonts w:eastAsia="TimesNewRomanPSMT"/>
              </w:rPr>
            </w:pPr>
            <w:r>
              <w:rPr>
                <w:rFonts w:eastAsia="TimesNewRomanPSMT"/>
              </w:rPr>
              <w:t>-гарантированный сбыт сельскохозяйственной продукции на местном рынке в бюджетные учреждения.</w:t>
            </w:r>
          </w:p>
        </w:tc>
        <w:tc>
          <w:tcPr>
            <w:tcW w:w="6945" w:type="dxa"/>
          </w:tcPr>
          <w:p w:rsidR="00CF0324" w:rsidRDefault="00124A10">
            <w:pPr>
              <w:spacing w:line="276" w:lineRule="auto"/>
              <w:jc w:val="both"/>
              <w:rPr>
                <w:rFonts w:eastAsia="TimesNewRomanPSMT"/>
              </w:rPr>
            </w:pPr>
            <w:r>
              <w:rPr>
                <w:rFonts w:eastAsia="TimesNewRomanPSMT"/>
              </w:rPr>
              <w:t>-конкуренция на рынках сбыта;</w:t>
            </w:r>
          </w:p>
          <w:p w:rsidR="00CF0324" w:rsidRDefault="00124A10">
            <w:pPr>
              <w:spacing w:line="276" w:lineRule="auto"/>
              <w:jc w:val="both"/>
              <w:rPr>
                <w:rFonts w:eastAsia="TimesNewRomanPSMT"/>
              </w:rPr>
            </w:pPr>
            <w:r>
              <w:rPr>
                <w:rFonts w:eastAsia="TimesNewRomanPSMT"/>
              </w:rPr>
              <w:t>-увеличение налоговой нагрузки;</w:t>
            </w:r>
          </w:p>
          <w:p w:rsidR="00CF0324" w:rsidRDefault="00124A10">
            <w:pPr>
              <w:spacing w:line="276" w:lineRule="auto"/>
              <w:jc w:val="both"/>
              <w:rPr>
                <w:rFonts w:eastAsia="TimesNewRomanPSMT"/>
              </w:rPr>
            </w:pPr>
            <w:r>
              <w:rPr>
                <w:rFonts w:eastAsia="TimesNewRomanPSMT"/>
              </w:rPr>
              <w:t>-обострение конкуренции между муниципальными образованиями;</w:t>
            </w:r>
          </w:p>
          <w:p w:rsidR="00CF0324" w:rsidRDefault="00124A10">
            <w:pPr>
              <w:spacing w:line="276" w:lineRule="auto"/>
              <w:jc w:val="both"/>
              <w:rPr>
                <w:rFonts w:eastAsia="TimesNewRomanPSMT"/>
              </w:rPr>
            </w:pPr>
            <w:r>
              <w:rPr>
                <w:rFonts w:eastAsia="TimesNewRomanPSMT"/>
              </w:rPr>
              <w:t>-макроэкономическая нестабильность;</w:t>
            </w:r>
          </w:p>
          <w:p w:rsidR="00CF0324" w:rsidRDefault="00124A10">
            <w:pPr>
              <w:spacing w:line="276" w:lineRule="auto"/>
              <w:jc w:val="both"/>
              <w:rPr>
                <w:rFonts w:eastAsia="TimesNewRomanPSMT"/>
              </w:rPr>
            </w:pPr>
            <w:r>
              <w:rPr>
                <w:rFonts w:eastAsia="TimesNewRomanPSMT"/>
              </w:rPr>
              <w:t>-экономические санкции в отношении РФ.</w:t>
            </w:r>
          </w:p>
        </w:tc>
      </w:tr>
    </w:tbl>
    <w:p w:rsidR="00CF0324" w:rsidRDefault="00CF0324">
      <w:pPr>
        <w:spacing w:line="360" w:lineRule="auto"/>
        <w:jc w:val="both"/>
        <w:rPr>
          <w:rFonts w:eastAsia="TimesNewRomanPSMT"/>
          <w:color w:val="FF0000"/>
        </w:rPr>
        <w:sectPr w:rsidR="00CF0324">
          <w:pgSz w:w="16838" w:h="11906" w:orient="landscape"/>
          <w:pgMar w:top="1701" w:right="1134" w:bottom="851" w:left="1134" w:header="709" w:footer="709" w:gutter="0"/>
          <w:cols w:space="708"/>
          <w:docGrid w:linePitch="360"/>
        </w:sectPr>
      </w:pPr>
    </w:p>
    <w:p w:rsidR="00CF0324" w:rsidRDefault="00124A10">
      <w:pPr>
        <w:spacing w:line="276" w:lineRule="auto"/>
        <w:ind w:firstLine="708"/>
        <w:jc w:val="both"/>
      </w:pPr>
      <w:r>
        <w:rPr>
          <w:rFonts w:eastAsia="TimesNewRomanPSMT"/>
        </w:rPr>
        <w:lastRenderedPageBreak/>
        <w:t>Поскольку сельскохозяйственное производство играет не только экономическую роль, но и выполняет социальные функции, обеспечивая занятость и самозанятость сельского населения, в стратегической перспективе предусматривается существенное увеличение роли личных подсобных хозяйств, семейных ферм в производстве продукции животноводства.</w:t>
      </w:r>
    </w:p>
    <w:p w:rsidR="00CF0324" w:rsidRDefault="00124A10">
      <w:pPr>
        <w:spacing w:line="276" w:lineRule="auto"/>
        <w:ind w:firstLine="708"/>
        <w:jc w:val="both"/>
        <w:rPr>
          <w:rFonts w:eastAsia="TimesNewRomanPSMT"/>
        </w:rPr>
      </w:pPr>
      <w:r>
        <w:rPr>
          <w:rFonts w:eastAsia="TimesNewRomanPSMT"/>
        </w:rPr>
        <w:t>Произойдет трансформация части личных подсобных хозяйств в крестьянские (фермерские) хозяйства, а также дальнейшее их развитие как формы семейного предпринимательства (семейных ферм) на основе расширения рыночных отношений с кооперативами, торговыми предприятиями в крупных городах и другими субъектами рынка.</w:t>
      </w:r>
    </w:p>
    <w:p w:rsidR="00CF0324" w:rsidRDefault="00124A10">
      <w:pPr>
        <w:spacing w:line="276" w:lineRule="auto"/>
        <w:ind w:firstLine="708"/>
        <w:jc w:val="both"/>
        <w:rPr>
          <w:rFonts w:eastAsia="TimesNewRomanPSMT"/>
        </w:rPr>
      </w:pPr>
      <w:r>
        <w:rPr>
          <w:rFonts w:eastAsia="TimesNewRomanPSMT"/>
        </w:rPr>
        <w:t>В пищевой и перерабатывающей промышленности требуется развитие и модернизация производственных мощностей и внедрение новых технологий.</w:t>
      </w:r>
    </w:p>
    <w:p w:rsidR="00CF0324" w:rsidRDefault="00124A10">
      <w:pPr>
        <w:spacing w:line="276" w:lineRule="auto"/>
        <w:ind w:firstLine="708"/>
        <w:jc w:val="both"/>
        <w:rPr>
          <w:rFonts w:eastAsia="TimesNewRomanPSMT"/>
        </w:rPr>
      </w:pPr>
      <w:r>
        <w:rPr>
          <w:rFonts w:eastAsia="TimesNewRomanPSMT"/>
        </w:rPr>
        <w:t xml:space="preserve">Качественными изменениями развития агропромышленного комплекса будет ускорение обновления технической базы агропромышленного производства путем привлечения инвестиций; строительство и реконструкция производственных объектов сельскохозяйственного назначения; создание новых производственных мощностей, использующих современные технологии в производстве сельскохозяйственной продукции; </w:t>
      </w:r>
      <w:r>
        <w:t xml:space="preserve">реконструкция, модернизация, перепрофилирование на освоение конкурентоспособных видов продукции действующих организаций сельскохозяйственного комплекса; </w:t>
      </w:r>
      <w:r>
        <w:rPr>
          <w:rFonts w:eastAsia="TimesNewRomanPSMT"/>
        </w:rPr>
        <w:t xml:space="preserve">развитие племенного животноводства; создание условий для наращивания производства и импортозамещения мяса крупного рогатого скота и молочных продуктов; </w:t>
      </w:r>
      <w:r>
        <w:rPr>
          <w:color w:val="000000"/>
          <w:lang w:eastAsia="en-US"/>
        </w:rPr>
        <w:t xml:space="preserve">развитие малых форм хозяйствования; создание новых производственных мощностей, реконструкция и техническое переоснащение рыбоперерабатывающей базы; </w:t>
      </w:r>
      <w:r>
        <w:rPr>
          <w:lang w:eastAsia="en-US"/>
        </w:rPr>
        <w:t xml:space="preserve">обеспечение воспроизводства и сохранности рыбных ресурсов; </w:t>
      </w:r>
      <w:r>
        <w:rPr>
          <w:rFonts w:eastAsia="TimesNewRomanPSMT"/>
        </w:rPr>
        <w:t>экологизация и биологизация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 улучшение жилищных условий специалистов, работающих или изъявивших желание работать в организациях агропромышленного комплекса и проживающих в сельской местности.</w:t>
      </w:r>
    </w:p>
    <w:p w:rsidR="00CF0324" w:rsidRDefault="00124A10">
      <w:pPr>
        <w:spacing w:line="276" w:lineRule="auto"/>
        <w:ind w:firstLine="708"/>
        <w:jc w:val="both"/>
        <w:rPr>
          <w:rFonts w:eastAsia="TimesNewRomanPSMT"/>
        </w:rPr>
      </w:pPr>
      <w:r>
        <w:rPr>
          <w:rFonts w:eastAsia="TimesNewRomanPSMT"/>
        </w:rPr>
        <w:t>В стратегической перспективе для достижения финансовой устойчивости организаций агропромышленного комплекса сохранятся меры государственной поддержки: субсидирование процентных ставок по краткосрочным и инвестиционным кредитам, предоставляемым в целях развития малых форм хозяйствования на селе; предоставление субсидий на компенсацию части затрат по страхованию урожая сельскохозяйственных культур, урожая и посадок многолетних насаждений многолетних насаждений. В долгосрочной перспективе сохранение принципа продовольственного самообеспечения Кондинского района, когда местные продукты питания поставляются на местный рынок, в том числе в объекты социальной сферы.</w:t>
      </w:r>
    </w:p>
    <w:p w:rsidR="00CF0324" w:rsidRDefault="00124A10">
      <w:pPr>
        <w:spacing w:line="276" w:lineRule="auto"/>
        <w:ind w:firstLine="708"/>
        <w:jc w:val="both"/>
        <w:rPr>
          <w:rFonts w:eastAsia="TimesNewRomanPSMT"/>
        </w:rPr>
      </w:pPr>
      <w:r>
        <w:rPr>
          <w:rFonts w:eastAsia="TimesNewRomanPSMT"/>
        </w:rPr>
        <w:t>Реализация долгосрочной концепции продовольственного самообеспечения в Кондинском районе позволит местным производителям продовольственной продукции создать гарантированные рынки сбыта в Кондинском районе, путем обеспечения граждан и учреждений (организаций) социальной сферы свежими качественными продуктами местного производства.</w:t>
      </w:r>
    </w:p>
    <w:p w:rsidR="00CF0324" w:rsidRDefault="00124A10">
      <w:pPr>
        <w:spacing w:line="276" w:lineRule="auto"/>
        <w:ind w:firstLine="708"/>
        <w:jc w:val="both"/>
        <w:rPr>
          <w:rFonts w:eastAsia="TimesNewRomanPSMT"/>
        </w:rPr>
      </w:pPr>
      <w:r>
        <w:rPr>
          <w:rFonts w:eastAsia="TimesNewRomanPSMT"/>
        </w:rPr>
        <w:lastRenderedPageBreak/>
        <w:t>Поддержка развития АПК со стороны органов государственной и муниципальной власти должна быть направлена на:</w:t>
      </w:r>
    </w:p>
    <w:p w:rsidR="00CF0324" w:rsidRDefault="00124A10">
      <w:pPr>
        <w:spacing w:line="276" w:lineRule="auto"/>
        <w:ind w:firstLine="708"/>
        <w:jc w:val="both"/>
        <w:rPr>
          <w:rFonts w:eastAsia="TimesNewRomanPSMT"/>
        </w:rPr>
      </w:pPr>
      <w:r>
        <w:rPr>
          <w:rFonts w:eastAsia="TimesNewRomanPSMT"/>
        </w:rPr>
        <w:t>компенсацию расходов на вовлечение земель в сельскохозяйственный оборот;</w:t>
      </w:r>
    </w:p>
    <w:p w:rsidR="00CF0324" w:rsidRDefault="00124A10">
      <w:pPr>
        <w:spacing w:line="276" w:lineRule="auto"/>
        <w:ind w:firstLine="708"/>
        <w:jc w:val="both"/>
        <w:rPr>
          <w:rFonts w:eastAsia="TimesNewRomanPSMT"/>
        </w:rPr>
      </w:pPr>
      <w:r>
        <w:rPr>
          <w:rFonts w:eastAsia="TimesNewRomanPSMT"/>
        </w:rPr>
        <w:t xml:space="preserve"> на содействие развитию транспортной и инженерной инфраструктуры в сельской местности;</w:t>
      </w:r>
    </w:p>
    <w:p w:rsidR="00CF0324" w:rsidRDefault="00124A10">
      <w:pPr>
        <w:spacing w:line="276" w:lineRule="auto"/>
        <w:ind w:firstLine="708"/>
        <w:jc w:val="both"/>
        <w:rPr>
          <w:rFonts w:eastAsia="TimesNewRomanPSMT"/>
        </w:rPr>
      </w:pPr>
      <w:r>
        <w:rPr>
          <w:rFonts w:eastAsia="TimesNewRomanPSMT"/>
        </w:rPr>
        <w:t xml:space="preserve">содействие модернизации и технологическому перевооружению организаций АПК, обеспечивающих высокое качество, сохранность и высокие потребительские свойства продукции; </w:t>
      </w:r>
    </w:p>
    <w:p w:rsidR="00CF0324" w:rsidRDefault="00124A10">
      <w:pPr>
        <w:spacing w:line="276" w:lineRule="auto"/>
        <w:ind w:firstLine="708"/>
        <w:jc w:val="both"/>
        <w:rPr>
          <w:rFonts w:eastAsia="TimesNewRomanPSMT"/>
        </w:rPr>
      </w:pPr>
      <w:r>
        <w:rPr>
          <w:rFonts w:eastAsia="TimesNewRomanPSMT"/>
        </w:rPr>
        <w:t>стимулирование развития малого и среднего предпринимательства в сельской местности, включая государственную поддержку начинающих фермеров, семейных животноводческих ферм, системы сельскохозяйственной потребительской кооперации;</w:t>
      </w:r>
    </w:p>
    <w:p w:rsidR="00CF0324" w:rsidRDefault="00124A10">
      <w:pPr>
        <w:spacing w:line="276" w:lineRule="auto"/>
        <w:ind w:firstLine="708"/>
        <w:jc w:val="both"/>
        <w:rPr>
          <w:rFonts w:eastAsia="TimesNewRomanPSMT"/>
        </w:rPr>
      </w:pPr>
      <w:r>
        <w:rPr>
          <w:rFonts w:eastAsia="TimesNewRomanPSMT"/>
        </w:rPr>
        <w:t xml:space="preserve">содействие развитию страхования при производстве сельскохозяйственной продукции; содействие кадровому обеспечению АПК; </w:t>
      </w:r>
    </w:p>
    <w:p w:rsidR="00CF0324" w:rsidRDefault="00124A10">
      <w:pPr>
        <w:spacing w:line="276" w:lineRule="auto"/>
        <w:ind w:firstLine="708"/>
        <w:jc w:val="both"/>
        <w:rPr>
          <w:rFonts w:eastAsia="TimesNewRomanPSMT"/>
        </w:rPr>
      </w:pPr>
      <w:r>
        <w:rPr>
          <w:rFonts w:eastAsia="TimesNewRomanPSMT"/>
        </w:rPr>
        <w:t>развитие консультационной помощи товаропроизводителям и переподготовка специалистов для сельского хозяйства;</w:t>
      </w:r>
    </w:p>
    <w:p w:rsidR="00CF0324" w:rsidRDefault="00124A10">
      <w:pPr>
        <w:spacing w:line="276" w:lineRule="auto"/>
        <w:ind w:firstLine="708"/>
        <w:jc w:val="both"/>
        <w:rPr>
          <w:rFonts w:eastAsia="TimesNewRomanPSMT"/>
        </w:rPr>
      </w:pPr>
      <w:r>
        <w:rPr>
          <w:rFonts w:eastAsia="TimesNewRomanPSMT"/>
        </w:rPr>
        <w:t>развитие системы сбыта продовольственных продуктов местного производства в различных форматах, в том числе с использованием торговой марки «Сделано в Кондинском районе!».</w:t>
      </w:r>
    </w:p>
    <w:p w:rsidR="00CF0324" w:rsidRDefault="00124A10">
      <w:pPr>
        <w:pStyle w:val="afff1"/>
      </w:pPr>
      <w:bookmarkStart w:id="49" w:name="_Toc49"/>
      <w:r>
        <w:t>6.2. ИНВЕСТИЦИОННАЯ ПОЛИТИКА</w:t>
      </w:r>
      <w:bookmarkEnd w:id="49"/>
    </w:p>
    <w:p w:rsidR="00CF0324" w:rsidRDefault="00124A10">
      <w:pPr>
        <w:tabs>
          <w:tab w:val="left" w:pos="709"/>
        </w:tabs>
        <w:spacing w:line="276" w:lineRule="auto"/>
        <w:jc w:val="both"/>
      </w:pPr>
      <w:r>
        <w:rPr>
          <w:rFonts w:eastAsia="TimesNewRomanPSMT"/>
        </w:rPr>
        <w:tab/>
        <w:t>Стратегическая цель инвестиционной политики Кондинского района на период до 2036 года – привлечение инвестиций, создание максимально комфортных условий для старта и ведения бизнеса на территории Кондинского района.</w:t>
      </w:r>
      <w:r>
        <w:t xml:space="preserve"> Общий вектор развития инвестиционной политики Кондинского района в долгосрочном периоде должен быть направлен на стимулирование предприятий района внедрять современные технологии производства. Территориальные приоритет инвестиционной политики заключаются в формирования и укрепления сети нескольких крупных экономических и инвестиционных центров (Междуреченский, Мортка, Кондинское) внутри общей территориальной системы расселения.</w:t>
      </w:r>
    </w:p>
    <w:p w:rsidR="00CF0324" w:rsidRDefault="00124A10">
      <w:pPr>
        <w:spacing w:line="276" w:lineRule="auto"/>
        <w:ind w:firstLine="708"/>
        <w:jc w:val="both"/>
        <w:rPr>
          <w:rFonts w:eastAsia="TimesNewRomanPSMT"/>
        </w:rPr>
      </w:pPr>
      <w:r>
        <w:rPr>
          <w:iCs/>
        </w:rPr>
        <w:t>Основные задачи, обеспечивающие достижение поставленной цели:</w:t>
      </w:r>
      <w:r>
        <w:rPr>
          <w:rFonts w:eastAsia="TimesNewRomanPSMT"/>
        </w:rPr>
        <w:t xml:space="preserve"> создание эффективной системы привлечения инвестиций путем </w:t>
      </w:r>
      <w:r>
        <w:t>установления понятных и прозрачных условий ведения инвестиционной деятельности</w:t>
      </w:r>
      <w:r>
        <w:rPr>
          <w:rFonts w:eastAsia="TimesNewRomanPSMT"/>
        </w:rPr>
        <w:t xml:space="preserve"> и развитие единой цепочки сопровождения инвестиционных проектов в рамках «одного окна», снижение сроков оказания муниципальных услуг, перевод в электронный вид, снижение административных барьеров.</w:t>
      </w:r>
    </w:p>
    <w:p w:rsidR="00CF0324" w:rsidRDefault="00124A10">
      <w:pPr>
        <w:spacing w:line="276" w:lineRule="auto"/>
        <w:ind w:firstLine="708"/>
        <w:jc w:val="both"/>
        <w:rPr>
          <w:rFonts w:eastAsia="TimesNewRomanPSMT"/>
          <w:bCs/>
        </w:rPr>
      </w:pPr>
      <w:r>
        <w:rPr>
          <w:rFonts w:eastAsia="TimesNewRomanPSMT"/>
          <w:bCs/>
        </w:rPr>
        <w:t>Для повышения инвестиционной привлекательности территории проводится внедрение муниципального инвестиционного стандарта (перечень минимальных требований к городским округам и муниципальным районам Ханты-Мансийского автономного округа – Югры, при соответствии которым будет возможна полноценная реализация системы поддержки новых инвестиционных проектов («Регионального инвестиционного стандарта»), а также реализация инвестиционных проектов в Ханты-Мансийском автономном округе – Югре).</w:t>
      </w:r>
    </w:p>
    <w:p w:rsidR="00CF0324" w:rsidRDefault="00124A10">
      <w:pPr>
        <w:spacing w:line="276" w:lineRule="auto"/>
        <w:ind w:firstLine="709"/>
        <w:jc w:val="both"/>
      </w:pPr>
      <w:r>
        <w:rPr>
          <w:bCs/>
        </w:rPr>
        <w:t>На официальном сайте органов местного самоуправления Кондинского района (</w:t>
      </w:r>
      <w:hyperlink r:id="rId36" w:history="1">
        <w:r>
          <w:rPr>
            <w:rStyle w:val="af"/>
            <w:bCs/>
            <w:lang w:val="en-US"/>
          </w:rPr>
          <w:t>www</w:t>
        </w:r>
        <w:r>
          <w:rPr>
            <w:rStyle w:val="af"/>
            <w:bCs/>
          </w:rPr>
          <w:t>.</w:t>
        </w:r>
        <w:r>
          <w:rPr>
            <w:rStyle w:val="af"/>
            <w:bCs/>
            <w:lang w:val="en-US"/>
          </w:rPr>
          <w:t>admkonda</w:t>
        </w:r>
        <w:r>
          <w:rPr>
            <w:rStyle w:val="af"/>
            <w:bCs/>
          </w:rPr>
          <w:t>.</w:t>
        </w:r>
        <w:r>
          <w:rPr>
            <w:rStyle w:val="af"/>
            <w:bCs/>
            <w:lang w:val="en-US"/>
          </w:rPr>
          <w:t>ru</w:t>
        </w:r>
      </w:hyperlink>
      <w:r>
        <w:rPr>
          <w:bCs/>
        </w:rPr>
        <w:t xml:space="preserve">) создан раздел: «Инвестиционная деятельность», где собрана актуальная информация для инвесторов, в том числе программы развития коммунальной, </w:t>
      </w:r>
      <w:r>
        <w:rPr>
          <w:bCs/>
        </w:rPr>
        <w:lastRenderedPageBreak/>
        <w:t xml:space="preserve">транспортной и социальной инфраструктуры. </w:t>
      </w:r>
      <w:r>
        <w:t>Информация об инвестиционных предложениях размещена на официальном сайте органов местного самоуправления в подразделе «Информация об инвестиционных предложениях» (</w:t>
      </w:r>
      <w:hyperlink r:id="rId37" w:history="1">
        <w:r>
          <w:rPr>
            <w:color w:val="0000FF"/>
            <w:u w:val="single"/>
          </w:rPr>
          <w:t>http://www.admkonda.ru/i</w:t>
        </w:r>
        <w:bookmarkStart w:id="50" w:name="_Hlt145944166"/>
        <w:bookmarkStart w:id="51" w:name="_Hlt145944167"/>
        <w:r>
          <w:rPr>
            <w:color w:val="0000FF"/>
            <w:u w:val="single"/>
          </w:rPr>
          <w:t>n</w:t>
        </w:r>
        <w:bookmarkEnd w:id="50"/>
        <w:bookmarkEnd w:id="51"/>
        <w:r>
          <w:rPr>
            <w:color w:val="0000FF"/>
            <w:u w:val="single"/>
          </w:rPr>
          <w:t>formatciya-ob-investitcionnykh-predlozheniyakh.html</w:t>
        </w:r>
      </w:hyperlink>
      <w:r>
        <w:rPr>
          <w:color w:val="0000FF"/>
          <w:u w:val="single"/>
        </w:rPr>
        <w:t xml:space="preserve">.). </w:t>
      </w:r>
      <w:r>
        <w:rPr>
          <w:bCs/>
        </w:rPr>
        <w:t>С целью оперативного решения вопросов, возникающих у инвесторов, создан канал прямой связи.</w:t>
      </w:r>
    </w:p>
    <w:p w:rsidR="00CF0324" w:rsidRDefault="00124A10">
      <w:pPr>
        <w:tabs>
          <w:tab w:val="left" w:pos="709"/>
        </w:tabs>
        <w:spacing w:line="276" w:lineRule="auto"/>
        <w:jc w:val="both"/>
      </w:pPr>
      <w:r>
        <w:rPr>
          <w:bCs/>
        </w:rPr>
        <w:tab/>
      </w:r>
      <w:r>
        <w:t>Для информационно-консультационного взаимодействия заключены соглашения:  между администрацией Кондинского района и бюджетным учреждением Ханты – Мансийского автономного округа – Югры «Региональный центр инвестиций»; между администрацией Кондинского района и некоммерческой организацией «Фонд развития Ханты-Мансийского автономного округа – Югры»; между администрацией Кондинского района и Департаментом экономического развития Ханты-Мансийского автономного округа – Югры.</w:t>
      </w:r>
    </w:p>
    <w:p w:rsidR="00CF0324" w:rsidRDefault="00124A10">
      <w:pPr>
        <w:tabs>
          <w:tab w:val="left" w:pos="709"/>
        </w:tabs>
        <w:spacing w:line="276" w:lineRule="auto"/>
        <w:ind w:firstLine="708"/>
        <w:jc w:val="both"/>
        <w:rPr>
          <w:bCs/>
        </w:rPr>
      </w:pPr>
      <w:r>
        <w:rPr>
          <w:bCs/>
        </w:rPr>
        <w:t>На Инвестиционной карте Югры размещается актуальная информация о реализуемых и планируемых к реализации инвестиционных проектах, свободных инвестиционных площадках, а также плане создания объектов инвестиционной инфраструктуры.</w:t>
      </w:r>
    </w:p>
    <w:p w:rsidR="00CF0324" w:rsidRDefault="00124A10">
      <w:pPr>
        <w:spacing w:line="276" w:lineRule="auto"/>
        <w:ind w:firstLine="708"/>
        <w:jc w:val="both"/>
      </w:pPr>
      <w:r>
        <w:t>В рамках исполнения Инвестиционного послания Губернатора Югры продолжается работа по привлечению частных инвестиций, созданы благоприятные условия для инвесторов (одно окно), действует система инвестиционных стимулов (имущественная, финансовая поддержка, налоговые льготы по земельному налогу, порядок о защите и поощрении капиталовложений).</w:t>
      </w:r>
    </w:p>
    <w:p w:rsidR="00CF0324" w:rsidRDefault="00124A10">
      <w:pPr>
        <w:spacing w:line="276" w:lineRule="auto"/>
        <w:ind w:firstLine="708"/>
        <w:jc w:val="both"/>
      </w:pPr>
      <w:r>
        <w:t>На 2023 год сформировано 13 инвестиционных площадок и 11 инвестиционных объектов, информация о которых размещена на инвестиционной карте Югры.</w:t>
      </w:r>
    </w:p>
    <w:p w:rsidR="00CF0324" w:rsidRDefault="00124A10">
      <w:pPr>
        <w:spacing w:line="276" w:lineRule="auto"/>
        <w:ind w:firstLine="708"/>
        <w:jc w:val="both"/>
      </w:pPr>
      <w:r>
        <w:t>В рамках механизмов государственно-частного партнерства заключено 10 контрактов: действует концессионное соглашение в сфере жилищно-коммунального комплекса, контракт жизненного цикла на выполнение комплекса работ по разработке проектной документации, строительству и содержанию подъездной дороги к с. Леуши, а также 8 энергосервисных контрактов.</w:t>
      </w:r>
    </w:p>
    <w:p w:rsidR="00CF0324" w:rsidRDefault="00124A10">
      <w:pPr>
        <w:tabs>
          <w:tab w:val="left" w:pos="709"/>
        </w:tabs>
        <w:spacing w:line="276" w:lineRule="auto"/>
        <w:jc w:val="both"/>
      </w:pPr>
      <w:r>
        <w:tab/>
        <w:t>На территории Кондинского района постановлением администрации Кондинского района от 16 января 2019 года № 48 «О Совете при главе Кондинского района по вопросам развития инвестиционной деятельности, малого и среднего предпринимательства» (с изменениями) создан Совет при главе Кондинского района по вопросам развития инвестиционной деятельности, малого и среднего предпринимательства в Кондинском районе (далее - Совет) в состав которого входят представители администрации Кондинского района (1/3 состава Совета), представители малого предпринимательства Кондинского района (2/3), из них – 9 членов некоммерческого партнерства «Союз предпринимателей Кондинского района».</w:t>
      </w:r>
    </w:p>
    <w:p w:rsidR="00CF0324" w:rsidRDefault="00124A10">
      <w:pPr>
        <w:tabs>
          <w:tab w:val="left" w:pos="709"/>
        </w:tabs>
        <w:spacing w:line="276" w:lineRule="auto"/>
        <w:jc w:val="both"/>
      </w:pPr>
      <w:r>
        <w:tab/>
        <w:t>Перспективные направления инвестиционного развития района, не связанные с нефтедобычей:</w:t>
      </w:r>
    </w:p>
    <w:p w:rsidR="00CF0324" w:rsidRDefault="00124A10">
      <w:pPr>
        <w:tabs>
          <w:tab w:val="left" w:pos="709"/>
        </w:tabs>
        <w:spacing w:line="276" w:lineRule="auto"/>
        <w:jc w:val="both"/>
      </w:pPr>
      <w:r>
        <w:tab/>
        <w:t>агропромышленный комплекс, включая рыболовство и традиционные промыслы, реализацию продукции традиционной хозяйственной деятельности коренных малочисленных народов Севера;</w:t>
      </w:r>
    </w:p>
    <w:p w:rsidR="00CF0324" w:rsidRDefault="00124A10">
      <w:pPr>
        <w:tabs>
          <w:tab w:val="left" w:pos="709"/>
        </w:tabs>
        <w:spacing w:line="276" w:lineRule="auto"/>
        <w:jc w:val="both"/>
      </w:pPr>
      <w:r>
        <w:tab/>
        <w:t>обрабатывающие производства;</w:t>
      </w:r>
    </w:p>
    <w:p w:rsidR="00CF0324" w:rsidRDefault="00124A10">
      <w:pPr>
        <w:tabs>
          <w:tab w:val="left" w:pos="709"/>
        </w:tabs>
        <w:spacing w:line="276" w:lineRule="auto"/>
        <w:jc w:val="both"/>
      </w:pPr>
      <w:r>
        <w:tab/>
        <w:t>туризм, включая инфраструктуру гостеприимства;</w:t>
      </w:r>
    </w:p>
    <w:p w:rsidR="00CF0324" w:rsidRDefault="00124A10">
      <w:pPr>
        <w:tabs>
          <w:tab w:val="left" w:pos="709"/>
        </w:tabs>
        <w:spacing w:line="276" w:lineRule="auto"/>
        <w:jc w:val="both"/>
      </w:pPr>
      <w:r>
        <w:tab/>
        <w:t>креативные индустрии;</w:t>
      </w:r>
    </w:p>
    <w:p w:rsidR="00CF0324" w:rsidRDefault="00124A10">
      <w:pPr>
        <w:tabs>
          <w:tab w:val="left" w:pos="709"/>
        </w:tabs>
        <w:spacing w:line="276" w:lineRule="auto"/>
        <w:jc w:val="both"/>
      </w:pPr>
      <w:r>
        <w:lastRenderedPageBreak/>
        <w:tab/>
        <w:t>лесопромышленный комплекс, в том числе: на базе Индустриального парка «Кондинский»;</w:t>
      </w:r>
    </w:p>
    <w:p w:rsidR="00CF0324" w:rsidRDefault="00124A10">
      <w:pPr>
        <w:tabs>
          <w:tab w:val="left" w:pos="709"/>
        </w:tabs>
        <w:spacing w:line="276" w:lineRule="auto"/>
        <w:jc w:val="both"/>
      </w:pPr>
      <w:r>
        <w:tab/>
        <w:t>промышленность строительных материалов;</w:t>
      </w:r>
    </w:p>
    <w:p w:rsidR="00CF0324" w:rsidRDefault="00124A10">
      <w:pPr>
        <w:tabs>
          <w:tab w:val="left" w:pos="709"/>
        </w:tabs>
        <w:spacing w:line="276" w:lineRule="auto"/>
        <w:jc w:val="both"/>
      </w:pPr>
      <w:r>
        <w:tab/>
        <w:t>жилищно-коммунальное хозяйство;</w:t>
      </w:r>
    </w:p>
    <w:p w:rsidR="00CF0324" w:rsidRDefault="00124A10">
      <w:pPr>
        <w:tabs>
          <w:tab w:val="left" w:pos="709"/>
        </w:tabs>
        <w:spacing w:line="276" w:lineRule="auto"/>
        <w:jc w:val="both"/>
      </w:pPr>
      <w:r>
        <w:tab/>
        <w:t>транспортная инфраструктура.</w:t>
      </w:r>
    </w:p>
    <w:p w:rsidR="00CF0324" w:rsidRDefault="00124A10">
      <w:pPr>
        <w:spacing w:line="276" w:lineRule="auto"/>
        <w:ind w:firstLine="708"/>
        <w:jc w:val="both"/>
      </w:pPr>
      <w:r>
        <w:t>На данном этапе развития района характерны следующие основные проблемы: отсутствие информации о Кондинском районе у потенциальных инвесторов, недостаточное количество подготовленных инвестиционных площадок, и др.. Сильные и слабые стороны экономического потенциала района, а также потенциальные возможности и угрозы реализации активной инвестиционной политики в Кондинском районе со стороны внешней среды обобщены в таблице 6.3.</w:t>
      </w:r>
    </w:p>
    <w:p w:rsidR="00CF0324" w:rsidRDefault="00124A10">
      <w:pPr>
        <w:spacing w:line="276" w:lineRule="auto"/>
        <w:ind w:firstLine="708"/>
        <w:jc w:val="both"/>
        <w:rPr>
          <w:rFonts w:eastAsia="TimesNewRomanPSMT"/>
        </w:rPr>
      </w:pPr>
      <w:r>
        <w:rPr>
          <w:rFonts w:eastAsia="TimesNewRomanPSMT"/>
        </w:rPr>
        <w:t xml:space="preserve">Этапы достижения стратегической цели: </w:t>
      </w:r>
    </w:p>
    <w:p w:rsidR="00CF0324" w:rsidRDefault="00124A10">
      <w:pPr>
        <w:spacing w:line="276" w:lineRule="auto"/>
        <w:ind w:firstLine="708"/>
        <w:jc w:val="both"/>
        <w:rPr>
          <w:rFonts w:eastAsia="TimesNewRomanPSMT"/>
        </w:rPr>
      </w:pPr>
      <w:r>
        <w:rPr>
          <w:rFonts w:eastAsia="TimesNewRomanPSMT"/>
        </w:rPr>
        <w:t>определение стратегических приоритетов инвестиционной</w:t>
      </w:r>
      <w:r>
        <w:t xml:space="preserve"> </w:t>
      </w:r>
      <w:r>
        <w:rPr>
          <w:rFonts w:eastAsia="TimesNewRomanPSMT"/>
        </w:rPr>
        <w:t>деятельности, своевременная актуализация;</w:t>
      </w:r>
    </w:p>
    <w:p w:rsidR="00CF0324" w:rsidRDefault="00124A10">
      <w:pPr>
        <w:spacing w:line="276" w:lineRule="auto"/>
        <w:ind w:firstLine="708"/>
        <w:jc w:val="both"/>
        <w:rPr>
          <w:rFonts w:eastAsia="TimesNewRomanPSMT"/>
        </w:rPr>
      </w:pPr>
      <w:r>
        <w:t>развитие системы управления инвестиционными процессами на основе анализа существующего ресурсного потенциала и изучения современного состояния экономических, социальных и экологических процессов;</w:t>
      </w:r>
    </w:p>
    <w:p w:rsidR="00CF0324" w:rsidRDefault="00124A10">
      <w:pPr>
        <w:spacing w:line="276" w:lineRule="auto"/>
        <w:ind w:firstLine="708"/>
        <w:jc w:val="both"/>
        <w:rPr>
          <w:rFonts w:eastAsia="TimesNewRomanPSMT"/>
        </w:rPr>
      </w:pPr>
      <w:r>
        <w:t>увеличение объема и повышение эффективности использования инвестиций, привлекаемых в развитие района из различных источников (участие в федеральных целевых программах, государственных программах автономного округа, конкурсах, грантах, а также негосударственные источники финансирования – средства предприятий и организаций, населения);</w:t>
      </w:r>
      <w:r>
        <w:rPr>
          <w:rFonts w:eastAsia="TimesNewRomanPSMT"/>
        </w:rPr>
        <w:t xml:space="preserve"> </w:t>
      </w:r>
    </w:p>
    <w:p w:rsidR="00CF0324" w:rsidRDefault="00124A10">
      <w:pPr>
        <w:spacing w:line="276" w:lineRule="auto"/>
        <w:ind w:firstLine="708"/>
        <w:jc w:val="both"/>
        <w:rPr>
          <w:rFonts w:eastAsia="TimesNewRomanPSMT"/>
        </w:rPr>
      </w:pPr>
      <w:r>
        <w:t>содействие реализации перспективных инвестиционных проектов, реализуемых хозяйствующими субъектами в инфраструктурных, социальных и производственных сферах, отвечающих задачам и основным направлениям данной Стратегии;</w:t>
      </w:r>
    </w:p>
    <w:p w:rsidR="00CF0324" w:rsidRDefault="00124A10">
      <w:pPr>
        <w:spacing w:line="276" w:lineRule="auto"/>
        <w:ind w:firstLine="708"/>
        <w:jc w:val="both"/>
        <w:rPr>
          <w:rFonts w:eastAsia="TimesNewRomanPSMT"/>
        </w:rPr>
      </w:pPr>
      <w:r>
        <w:t>создание максимально комфортных условий для инвестиционной деятельности на территории Кондинского района, поиск новых инвесторов.</w:t>
      </w:r>
    </w:p>
    <w:p w:rsidR="00CF0324" w:rsidRDefault="00124A10">
      <w:pPr>
        <w:spacing w:line="276" w:lineRule="auto"/>
        <w:ind w:firstLine="708"/>
        <w:jc w:val="both"/>
        <w:rPr>
          <w:rFonts w:eastAsia="TimesNewRomanPSMT"/>
        </w:rPr>
      </w:pPr>
      <w:r>
        <w:t xml:space="preserve">Достижение поставленной цели может быть обеспечено путем совершенствования механизма привлечения инвестиций в район; формирования инвестиционной инфраструктуры района; повышением инвестиционной привлекательности при использовании </w:t>
      </w:r>
      <w:r>
        <w:rPr>
          <w:bCs/>
        </w:rPr>
        <w:t>практики активного межрегионального сотрудничества района с другими территориями Ханты-Мансийского автономного округа – Югры и территориями других регионов страны</w:t>
      </w:r>
      <w:r>
        <w:t xml:space="preserve">; активной поддержкой администрацией района эффективных инвестиционных проектов по производству конкурентоспособной продукции; </w:t>
      </w:r>
      <w:r>
        <w:rPr>
          <w:rFonts w:eastAsia="TimesNewRomanPSMT"/>
          <w:bCs/>
        </w:rPr>
        <w:t>использования высвобождаемых производственных площадок предприятий для размещения новых высокоэффективных производств и предприятий малого бизнеса;</w:t>
      </w:r>
      <w:r>
        <w:t xml:space="preserve"> </w:t>
      </w:r>
      <w:r>
        <w:rPr>
          <w:rFonts w:eastAsia="TimesNewRomanPSMT"/>
          <w:bCs/>
        </w:rPr>
        <w:t>формирование земельных участков (инвестиционных площадок) с готовой дорожной и инженерной инфраструктурой для реализации инвестиционных проектов;</w:t>
      </w:r>
      <w:r>
        <w:t xml:space="preserve"> </w:t>
      </w:r>
      <w:r>
        <w:rPr>
          <w:rFonts w:eastAsia="TimesNewRomanPSMT"/>
        </w:rPr>
        <w:t>создания и использования для ведения бизнеса подготовленных инвестиционных площадок, в том числе: продвижения площадки - Индустриальный парк «Кондинский», призванных предоставить разнопрофильным</w:t>
      </w:r>
      <w:r>
        <w:t xml:space="preserve"> </w:t>
      </w:r>
      <w:r>
        <w:rPr>
          <w:rFonts w:eastAsia="TimesNewRomanPSMT"/>
        </w:rPr>
        <w:t>предприятиям возможности для комфортной и эффективной работы;</w:t>
      </w:r>
      <w:r>
        <w:t xml:space="preserve"> </w:t>
      </w:r>
      <w:r>
        <w:rPr>
          <w:rFonts w:eastAsia="TimesNewRomanPSMT"/>
        </w:rPr>
        <w:t>периодической актуализацией перечня перспективных площадок с инфраструктурой, реестра земельных участков;</w:t>
      </w:r>
      <w:r>
        <w:t xml:space="preserve"> </w:t>
      </w:r>
      <w:r>
        <w:rPr>
          <w:rFonts w:eastAsia="TimesNewRomanPSMT"/>
        </w:rPr>
        <w:t xml:space="preserve">создания условий для системного перехода малого и среднего бизнеса в режим инновационного развития (стимулирование малых предприятий к повышению инновационной активности, продвижению продукции </w:t>
      </w:r>
      <w:r>
        <w:rPr>
          <w:rFonts w:eastAsia="TimesNewRomanPSMT"/>
        </w:rPr>
        <w:lastRenderedPageBreak/>
        <w:t>на межрегиональные рынки);</w:t>
      </w:r>
      <w:r>
        <w:t xml:space="preserve"> </w:t>
      </w:r>
      <w:r>
        <w:rPr>
          <w:rFonts w:eastAsia="TimesNewRomanPSMT"/>
        </w:rPr>
        <w:t>привлечения частного капитала к спортивным, культурным и туристическим мероприятиям, проводимым на территории района;</w:t>
      </w:r>
      <w:r>
        <w:t xml:space="preserve"> </w:t>
      </w:r>
      <w:r>
        <w:rPr>
          <w:rFonts w:eastAsia="TimesNewRomanPSMT"/>
        </w:rPr>
        <w:t>активного участия района в государственных программах автономного округа; сокращение административных барьеров и управленческих рисков при реализации инвестиционных проектов.</w:t>
      </w:r>
    </w:p>
    <w:p w:rsidR="00CF0324" w:rsidRDefault="00124A10">
      <w:pPr>
        <w:spacing w:line="276" w:lineRule="auto"/>
        <w:ind w:firstLine="708"/>
        <w:jc w:val="both"/>
        <w:rPr>
          <w:rFonts w:eastAsia="TimesNewRomanPSMT"/>
        </w:rPr>
      </w:pPr>
      <w:r>
        <w:rPr>
          <w:rFonts w:eastAsia="TimesNewRomanPSMT"/>
        </w:rPr>
        <w:t>Основные инвестиционные проекты района указаны в разделе 10 «</w:t>
      </w:r>
      <w:r>
        <w:t xml:space="preserve">Флагманские проекты развития Кондинского района </w:t>
      </w:r>
      <w:r>
        <w:rPr>
          <w:bCs/>
        </w:rPr>
        <w:t xml:space="preserve">Ханты-Мансийского автономного округа – Югры </w:t>
      </w:r>
      <w:r>
        <w:t>на период до 2036 года» настоящей Статегии-2036.</w:t>
      </w:r>
    </w:p>
    <w:p w:rsidR="00CF0324" w:rsidRDefault="00CF0324">
      <w:pPr>
        <w:spacing w:line="360" w:lineRule="auto"/>
        <w:jc w:val="both"/>
      </w:pPr>
    </w:p>
    <w:p w:rsidR="00CF0324" w:rsidRDefault="00CF0324">
      <w:pPr>
        <w:spacing w:line="360" w:lineRule="auto"/>
        <w:jc w:val="both"/>
        <w:rPr>
          <w:rFonts w:eastAsia="TimesNewRomanPSMT"/>
          <w:bCs/>
        </w:rPr>
        <w:sectPr w:rsidR="00CF0324">
          <w:pgSz w:w="11906" w:h="16838"/>
          <w:pgMar w:top="1134" w:right="850" w:bottom="1134" w:left="1701" w:header="708" w:footer="708"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6.3.</w:t>
      </w:r>
    </w:p>
    <w:p w:rsidR="00CF0324" w:rsidRDefault="00124A10">
      <w:pPr>
        <w:jc w:val="center"/>
        <w:rPr>
          <w:rFonts w:eastAsia="TimesNewRomanPSMT"/>
        </w:rPr>
      </w:pPr>
      <w:r>
        <w:rPr>
          <w:rFonts w:eastAsia="TimesNewRomanPSMT"/>
        </w:rPr>
        <w:t>Матрица SWOT- анализа условий реализации инвестиционной политики Кондинского района</w:t>
      </w:r>
    </w:p>
    <w:p w:rsidR="00CF0324" w:rsidRDefault="00124A10">
      <w:pPr>
        <w:jc w:val="center"/>
        <w:rPr>
          <w:rFonts w:eastAsia="TimesNewRomanPSMT"/>
        </w:rPr>
      </w:pPr>
      <w:r>
        <w:rPr>
          <w:rFonts w:eastAsia="TimesNewRomanPSMT"/>
        </w:rPr>
        <w:t>в долгосрочной перспективе</w:t>
      </w:r>
    </w:p>
    <w:tbl>
      <w:tblPr>
        <w:tblW w:w="1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48"/>
        <w:gridCol w:w="7560"/>
      </w:tblGrid>
      <w:tr w:rsidR="00CF0324">
        <w:trPr>
          <w:trHeight w:val="77"/>
        </w:trPr>
        <w:tc>
          <w:tcPr>
            <w:tcW w:w="6948" w:type="dxa"/>
            <w:shd w:val="clear" w:color="auto" w:fill="C0C0C0"/>
          </w:tcPr>
          <w:p w:rsidR="00CF0324" w:rsidRDefault="00124A10">
            <w:pPr>
              <w:jc w:val="both"/>
              <w:rPr>
                <w:rFonts w:eastAsia="TimesNewRomanPSMT"/>
                <w:b/>
                <w:sz w:val="22"/>
                <w:szCs w:val="22"/>
              </w:rPr>
            </w:pPr>
            <w:r>
              <w:rPr>
                <w:rFonts w:eastAsia="TimesNewRomanPSMT"/>
                <w:b/>
                <w:sz w:val="22"/>
                <w:szCs w:val="22"/>
              </w:rPr>
              <w:t>Конкурентные преимущества (сильные стороны)</w:t>
            </w:r>
          </w:p>
        </w:tc>
        <w:tc>
          <w:tcPr>
            <w:tcW w:w="7560" w:type="dxa"/>
            <w:shd w:val="clear" w:color="auto" w:fill="C0C0C0"/>
          </w:tcPr>
          <w:p w:rsidR="00CF0324" w:rsidRDefault="00124A10">
            <w:pPr>
              <w:jc w:val="both"/>
              <w:rPr>
                <w:rFonts w:eastAsia="TimesNewRomanPSMT"/>
                <w:b/>
                <w:sz w:val="22"/>
                <w:szCs w:val="22"/>
              </w:rPr>
            </w:pPr>
            <w:r>
              <w:rPr>
                <w:rFonts w:eastAsia="TimesNewRomanPSMT"/>
                <w:b/>
                <w:sz w:val="22"/>
                <w:szCs w:val="22"/>
              </w:rPr>
              <w:t>Внутренние сдерживающие факторы (слабые стороны)</w:t>
            </w:r>
          </w:p>
        </w:tc>
      </w:tr>
      <w:tr w:rsidR="00CF0324">
        <w:trPr>
          <w:trHeight w:val="4152"/>
        </w:trPr>
        <w:tc>
          <w:tcPr>
            <w:tcW w:w="6948" w:type="dxa"/>
          </w:tcPr>
          <w:p w:rsidR="00CF0324" w:rsidRDefault="00124A10">
            <w:pPr>
              <w:jc w:val="both"/>
              <w:rPr>
                <w:rFonts w:eastAsia="TimesNewRomanPSMT"/>
                <w:sz w:val="22"/>
                <w:szCs w:val="22"/>
              </w:rPr>
            </w:pPr>
            <w:r>
              <w:rPr>
                <w:rFonts w:eastAsia="TimesNewRomanPSMT"/>
                <w:sz w:val="22"/>
                <w:szCs w:val="22"/>
              </w:rPr>
              <w:t>-наличие свободных земельных ресурсов, обеспеченность сельхозугодиями (</w:t>
            </w:r>
            <w:r>
              <w:rPr>
                <w:sz w:val="22"/>
                <w:szCs w:val="22"/>
              </w:rPr>
              <w:t>в районе сосредоточено 60% посевных площадей округа);</w:t>
            </w:r>
          </w:p>
          <w:p w:rsidR="00CF0324" w:rsidRDefault="00124A10">
            <w:pPr>
              <w:jc w:val="both"/>
              <w:rPr>
                <w:sz w:val="22"/>
                <w:szCs w:val="22"/>
              </w:rPr>
            </w:pPr>
            <w:r>
              <w:rPr>
                <w:sz w:val="22"/>
                <w:szCs w:val="22"/>
              </w:rPr>
              <w:t>-наличие месторождений полезных ископаемых (торф, нефть и др.);</w:t>
            </w:r>
          </w:p>
          <w:p w:rsidR="00CF0324" w:rsidRDefault="00124A10">
            <w:pPr>
              <w:jc w:val="both"/>
              <w:rPr>
                <w:sz w:val="22"/>
                <w:szCs w:val="22"/>
              </w:rPr>
            </w:pPr>
            <w:r>
              <w:rPr>
                <w:sz w:val="22"/>
                <w:szCs w:val="22"/>
              </w:rPr>
              <w:t>-наличие запасов лесных ресурсов, н</w:t>
            </w:r>
            <w:r>
              <w:rPr>
                <w:rFonts w:eastAsia="TimesNewRomanPSMT"/>
                <w:sz w:val="22"/>
                <w:szCs w:val="22"/>
              </w:rPr>
              <w:t>аличие производственных мощностей по заготовке и переработке древесины;</w:t>
            </w:r>
          </w:p>
          <w:p w:rsidR="00CF0324" w:rsidRDefault="00124A10">
            <w:pPr>
              <w:jc w:val="both"/>
              <w:rPr>
                <w:sz w:val="22"/>
                <w:szCs w:val="22"/>
              </w:rPr>
            </w:pPr>
            <w:r>
              <w:rPr>
                <w:sz w:val="22"/>
                <w:szCs w:val="22"/>
              </w:rPr>
              <w:t>-значительные запасы биоресурсов (дикоросы – большие запасы в районе ягод, грибов, орехов; богатый животный мир района, разнообразная ихтиофауна);</w:t>
            </w:r>
          </w:p>
          <w:p w:rsidR="00CF0324" w:rsidRDefault="00124A10">
            <w:pPr>
              <w:jc w:val="both"/>
              <w:rPr>
                <w:sz w:val="22"/>
                <w:szCs w:val="22"/>
              </w:rPr>
            </w:pPr>
            <w:r>
              <w:rPr>
                <w:sz w:val="22"/>
                <w:szCs w:val="22"/>
              </w:rPr>
              <w:t>-в районе густая сеть рек (самая большая река – Конда, основные ее крупные притоки: Юконда, Большой Тап, Кума);</w:t>
            </w:r>
          </w:p>
          <w:p w:rsidR="00CF0324" w:rsidRDefault="00124A10">
            <w:pPr>
              <w:jc w:val="both"/>
              <w:rPr>
                <w:sz w:val="22"/>
                <w:szCs w:val="22"/>
              </w:rPr>
            </w:pPr>
            <w:r>
              <w:rPr>
                <w:rFonts w:eastAsia="TimesNewRomanPSMT"/>
                <w:sz w:val="22"/>
                <w:szCs w:val="22"/>
              </w:rPr>
              <w:t>-наличие коммуникационной инфраструктуры;</w:t>
            </w:r>
            <w:r>
              <w:rPr>
                <w:sz w:val="22"/>
                <w:szCs w:val="22"/>
              </w:rPr>
              <w:t xml:space="preserve"> </w:t>
            </w:r>
          </w:p>
          <w:p w:rsidR="00CF0324" w:rsidRDefault="00124A10">
            <w:pPr>
              <w:jc w:val="both"/>
              <w:rPr>
                <w:sz w:val="22"/>
                <w:szCs w:val="22"/>
              </w:rPr>
            </w:pPr>
            <w:r>
              <w:rPr>
                <w:sz w:val="22"/>
                <w:szCs w:val="22"/>
              </w:rPr>
              <w:t>-наличие 13</w:t>
            </w:r>
            <w:r>
              <w:rPr>
                <w:b/>
                <w:color w:val="C00000"/>
                <w:sz w:val="22"/>
                <w:szCs w:val="22"/>
              </w:rPr>
              <w:t xml:space="preserve"> </w:t>
            </w:r>
            <w:r>
              <w:rPr>
                <w:sz w:val="22"/>
                <w:szCs w:val="22"/>
              </w:rPr>
              <w:t>инвестиционных площадок (со всеми разрешительными документами) и обеспеченных инженерной и транспортной инфраструктурой;</w:t>
            </w:r>
          </w:p>
          <w:p w:rsidR="00CF0324" w:rsidRDefault="00124A10">
            <w:pPr>
              <w:jc w:val="both"/>
              <w:rPr>
                <w:sz w:val="22"/>
                <w:szCs w:val="22"/>
              </w:rPr>
            </w:pPr>
            <w:r>
              <w:rPr>
                <w:rFonts w:eastAsia="TimesNewRomanPSMT"/>
                <w:sz w:val="22"/>
                <w:szCs w:val="22"/>
              </w:rPr>
              <w:t>-внедрение муниципального инвестиционного стандарта.</w:t>
            </w:r>
          </w:p>
        </w:tc>
        <w:tc>
          <w:tcPr>
            <w:tcW w:w="7560" w:type="dxa"/>
          </w:tcPr>
          <w:p w:rsidR="00CF0324" w:rsidRDefault="00124A10">
            <w:pPr>
              <w:jc w:val="both"/>
              <w:rPr>
                <w:sz w:val="22"/>
                <w:szCs w:val="22"/>
              </w:rPr>
            </w:pPr>
            <w:r>
              <w:rPr>
                <w:sz w:val="22"/>
                <w:szCs w:val="22"/>
              </w:rPr>
              <w:t>-отсутствие информации об Кондинском районе у потенциальных инвесторов и его возможностях;</w:t>
            </w:r>
          </w:p>
          <w:p w:rsidR="00CF0324" w:rsidRDefault="00124A10">
            <w:pPr>
              <w:jc w:val="both"/>
              <w:rPr>
                <w:rFonts w:eastAsia="TimesNewRomanPSMT"/>
                <w:sz w:val="22"/>
                <w:szCs w:val="22"/>
              </w:rPr>
            </w:pPr>
            <w:r>
              <w:rPr>
                <w:sz w:val="22"/>
                <w:szCs w:val="22"/>
              </w:rPr>
              <w:t>-недостаточное количество подготовленных инвестиционных площадок</w:t>
            </w:r>
            <w:r>
              <w:rPr>
                <w:rFonts w:eastAsia="TimesNewRomanPSMT"/>
                <w:sz w:val="22"/>
                <w:szCs w:val="22"/>
              </w:rPr>
              <w:t>;</w:t>
            </w:r>
          </w:p>
          <w:p w:rsidR="00CF0324" w:rsidRDefault="00124A10">
            <w:pPr>
              <w:jc w:val="both"/>
              <w:rPr>
                <w:rFonts w:eastAsia="TimesNewRomanPSMT"/>
                <w:sz w:val="22"/>
                <w:szCs w:val="22"/>
              </w:rPr>
            </w:pPr>
            <w:r>
              <w:rPr>
                <w:rFonts w:eastAsia="TimesNewRomanPSMT"/>
                <w:sz w:val="22"/>
                <w:szCs w:val="22"/>
              </w:rPr>
              <w:t>-ресурсные ограничения (рост цен, тарифов, ставок арендной платы);</w:t>
            </w:r>
          </w:p>
          <w:p w:rsidR="00CF0324" w:rsidRDefault="00124A10">
            <w:pPr>
              <w:jc w:val="both"/>
              <w:rPr>
                <w:sz w:val="22"/>
                <w:szCs w:val="22"/>
              </w:rPr>
            </w:pPr>
            <w:r>
              <w:rPr>
                <w:rFonts w:eastAsia="TimesNewRomanPSMT"/>
                <w:sz w:val="22"/>
                <w:szCs w:val="22"/>
              </w:rPr>
              <w:t>-сложная логистика транспортной инфраструктуры района;</w:t>
            </w:r>
          </w:p>
          <w:p w:rsidR="00CF0324" w:rsidRDefault="00124A10">
            <w:pPr>
              <w:jc w:val="both"/>
              <w:rPr>
                <w:rFonts w:eastAsia="TimesNewRomanPSMT"/>
                <w:bCs/>
                <w:sz w:val="22"/>
                <w:szCs w:val="22"/>
              </w:rPr>
            </w:pPr>
            <w:r>
              <w:rPr>
                <w:rFonts w:eastAsia="TimesNewRomanPSMT"/>
                <w:bCs/>
                <w:sz w:val="22"/>
                <w:szCs w:val="22"/>
              </w:rPr>
              <w:t>-недостаточный уровень развития энергетической инфраструктуры;</w:t>
            </w:r>
          </w:p>
          <w:p w:rsidR="00CF0324" w:rsidRDefault="00124A10">
            <w:pPr>
              <w:jc w:val="both"/>
              <w:rPr>
                <w:rFonts w:eastAsia="TimesNewRomanPSMT"/>
                <w:bCs/>
                <w:sz w:val="22"/>
                <w:szCs w:val="22"/>
              </w:rPr>
            </w:pPr>
            <w:r>
              <w:rPr>
                <w:rFonts w:eastAsia="TimesNewRomanPSMT"/>
                <w:sz w:val="22"/>
                <w:szCs w:val="22"/>
              </w:rPr>
              <w:t>-недостаток высококвалифицированных кадров;</w:t>
            </w:r>
          </w:p>
          <w:p w:rsidR="00CF0324" w:rsidRDefault="00124A10">
            <w:pPr>
              <w:jc w:val="both"/>
              <w:rPr>
                <w:sz w:val="22"/>
                <w:szCs w:val="22"/>
              </w:rPr>
            </w:pPr>
            <w:r>
              <w:rPr>
                <w:rFonts w:eastAsia="TimesNewRomanPSMT"/>
                <w:sz w:val="22"/>
                <w:szCs w:val="22"/>
              </w:rPr>
              <w:t>-ограниченность рынков сбыта.</w:t>
            </w:r>
          </w:p>
        </w:tc>
      </w:tr>
      <w:tr w:rsidR="00CF0324">
        <w:trPr>
          <w:trHeight w:val="77"/>
        </w:trPr>
        <w:tc>
          <w:tcPr>
            <w:tcW w:w="6948" w:type="dxa"/>
            <w:shd w:val="clear" w:color="auto" w:fill="C0C0C0"/>
            <w:vAlign w:val="center"/>
          </w:tcPr>
          <w:p w:rsidR="00CF0324" w:rsidRDefault="00124A10">
            <w:pPr>
              <w:jc w:val="both"/>
              <w:rPr>
                <w:rFonts w:eastAsia="TimesNewRomanPSMT"/>
                <w:b/>
                <w:sz w:val="22"/>
                <w:szCs w:val="22"/>
              </w:rPr>
            </w:pPr>
            <w:r>
              <w:rPr>
                <w:rFonts w:eastAsia="TimesNewRomanPSMT"/>
                <w:b/>
                <w:sz w:val="22"/>
                <w:szCs w:val="22"/>
              </w:rPr>
              <w:t>Возможности внешней среды</w:t>
            </w:r>
          </w:p>
        </w:tc>
        <w:tc>
          <w:tcPr>
            <w:tcW w:w="7560" w:type="dxa"/>
            <w:shd w:val="clear" w:color="auto" w:fill="C0C0C0"/>
            <w:vAlign w:val="center"/>
          </w:tcPr>
          <w:p w:rsidR="00CF0324" w:rsidRDefault="00124A10">
            <w:pPr>
              <w:jc w:val="both"/>
              <w:rPr>
                <w:rFonts w:eastAsia="TimesNewRomanPSMT"/>
                <w:b/>
                <w:sz w:val="22"/>
                <w:szCs w:val="22"/>
              </w:rPr>
            </w:pPr>
            <w:r>
              <w:rPr>
                <w:rFonts w:eastAsia="TimesNewRomanPSMT"/>
                <w:b/>
                <w:sz w:val="22"/>
                <w:szCs w:val="22"/>
              </w:rPr>
              <w:t>Угрозы со стороны внешней среды</w:t>
            </w:r>
          </w:p>
        </w:tc>
      </w:tr>
      <w:tr w:rsidR="00CF0324">
        <w:tc>
          <w:tcPr>
            <w:tcW w:w="6948" w:type="dxa"/>
          </w:tcPr>
          <w:p w:rsidR="00CF0324" w:rsidRDefault="00124A10">
            <w:pPr>
              <w:jc w:val="both"/>
              <w:rPr>
                <w:rFonts w:eastAsia="TimesNewRomanPSMT"/>
                <w:sz w:val="22"/>
                <w:szCs w:val="22"/>
              </w:rPr>
            </w:pPr>
            <w:r>
              <w:rPr>
                <w:rFonts w:eastAsia="TimesNewRomanPSMT"/>
                <w:sz w:val="22"/>
                <w:szCs w:val="22"/>
              </w:rPr>
              <w:t>-реализация государственных программ развития Ханты-Мансийского автономного округа-Югры;</w:t>
            </w:r>
          </w:p>
          <w:p w:rsidR="00CF0324" w:rsidRDefault="00124A10">
            <w:pPr>
              <w:jc w:val="both"/>
              <w:rPr>
                <w:rFonts w:eastAsia="TimesNewRomanPSMT"/>
                <w:sz w:val="22"/>
                <w:szCs w:val="22"/>
              </w:rPr>
            </w:pPr>
            <w:r>
              <w:rPr>
                <w:rFonts w:eastAsia="TimesNewRomanPSMT"/>
                <w:sz w:val="22"/>
                <w:szCs w:val="22"/>
              </w:rPr>
              <w:t>-межрегиональная и межмуниципальная кооперация;</w:t>
            </w:r>
          </w:p>
          <w:p w:rsidR="00CF0324" w:rsidRDefault="00124A10">
            <w:pPr>
              <w:jc w:val="both"/>
              <w:rPr>
                <w:rFonts w:eastAsia="TimesNewRomanPSMT"/>
                <w:sz w:val="22"/>
                <w:szCs w:val="22"/>
              </w:rPr>
            </w:pPr>
            <w:r>
              <w:rPr>
                <w:rFonts w:eastAsia="TimesNewRomanPSMT"/>
                <w:sz w:val="22"/>
                <w:szCs w:val="22"/>
              </w:rPr>
              <w:t>-внедрение муниципального инвестиционного стандарта деятельности органов местного самоуправления по обеспечению благоприятного инвестиционного климата.</w:t>
            </w:r>
          </w:p>
        </w:tc>
        <w:tc>
          <w:tcPr>
            <w:tcW w:w="7560" w:type="dxa"/>
          </w:tcPr>
          <w:p w:rsidR="00CF0324" w:rsidRDefault="00124A10">
            <w:pPr>
              <w:jc w:val="both"/>
              <w:rPr>
                <w:rFonts w:eastAsia="TimesNewRomanPSMT"/>
                <w:sz w:val="22"/>
                <w:szCs w:val="22"/>
              </w:rPr>
            </w:pPr>
            <w:r>
              <w:rPr>
                <w:rFonts w:eastAsia="TimesNewRomanPSMT"/>
                <w:sz w:val="22"/>
                <w:szCs w:val="22"/>
              </w:rPr>
              <w:t>-отток населения в другие районы (Урай, Тюменскую и Свердловскую  области);</w:t>
            </w:r>
          </w:p>
          <w:p w:rsidR="00CF0324" w:rsidRDefault="00124A10">
            <w:pPr>
              <w:jc w:val="both"/>
              <w:rPr>
                <w:rFonts w:eastAsia="TimesNewRomanPSMT"/>
                <w:sz w:val="22"/>
                <w:szCs w:val="22"/>
              </w:rPr>
            </w:pPr>
            <w:r>
              <w:rPr>
                <w:rFonts w:eastAsia="TimesNewRomanPSMT"/>
                <w:sz w:val="22"/>
                <w:szCs w:val="22"/>
              </w:rPr>
              <w:t>-обострение конкуренции между муниципальными образованиями автономного округа;</w:t>
            </w:r>
          </w:p>
          <w:p w:rsidR="00CF0324" w:rsidRDefault="00124A10">
            <w:pPr>
              <w:jc w:val="both"/>
              <w:rPr>
                <w:rFonts w:eastAsia="TimesNewRomanPSMT"/>
                <w:sz w:val="22"/>
                <w:szCs w:val="22"/>
              </w:rPr>
            </w:pPr>
            <w:r>
              <w:rPr>
                <w:rFonts w:eastAsia="TimesNewRomanPSMT"/>
                <w:sz w:val="22"/>
                <w:szCs w:val="22"/>
              </w:rPr>
              <w:t xml:space="preserve">-макроэкономическая нестабильность; </w:t>
            </w:r>
          </w:p>
          <w:p w:rsidR="00CF0324" w:rsidRDefault="00124A10">
            <w:pPr>
              <w:jc w:val="both"/>
              <w:rPr>
                <w:sz w:val="22"/>
                <w:szCs w:val="22"/>
              </w:rPr>
            </w:pPr>
            <w:r>
              <w:rPr>
                <w:rFonts w:eastAsia="TimesNewRomanPSMT"/>
                <w:sz w:val="22"/>
                <w:szCs w:val="22"/>
              </w:rPr>
              <w:t>-возможные и</w:t>
            </w:r>
            <w:r>
              <w:rPr>
                <w:sz w:val="22"/>
                <w:szCs w:val="22"/>
              </w:rPr>
              <w:t>зменения федерального и регионального законодательства в части вопросов, связанных с осуществлением промышленной, инвестиционной, научно-технической и инновационной политики.</w:t>
            </w:r>
          </w:p>
        </w:tc>
      </w:tr>
    </w:tbl>
    <w:p w:rsidR="00CF0324" w:rsidRDefault="00CF0324">
      <w:pPr>
        <w:spacing w:line="360" w:lineRule="auto"/>
        <w:jc w:val="both"/>
        <w:rPr>
          <w:rFonts w:eastAsia="TimesNewRomanPSMT"/>
        </w:rPr>
        <w:sectPr w:rsidR="00CF0324">
          <w:footerReference w:type="even" r:id="rId38"/>
          <w:footerReference w:type="default" r:id="rId39"/>
          <w:pgSz w:w="16838" w:h="11906" w:orient="landscape"/>
          <w:pgMar w:top="1701" w:right="1134" w:bottom="284" w:left="1134" w:header="709" w:footer="709" w:gutter="0"/>
          <w:cols w:space="708"/>
          <w:docGrid w:linePitch="360"/>
        </w:sectPr>
      </w:pPr>
    </w:p>
    <w:p w:rsidR="00CF0324" w:rsidRDefault="00124A10">
      <w:pPr>
        <w:pStyle w:val="afff1"/>
      </w:pPr>
      <w:bookmarkStart w:id="52" w:name="_Toc50"/>
      <w:r>
        <w:lastRenderedPageBreak/>
        <w:t>6.3. МОДЕРНИЗАЦИЯ ЖИЛИЩНО-КОММУНАЛЬНОГО ХОЗЯЙСТВА</w:t>
      </w:r>
      <w:bookmarkEnd w:id="52"/>
    </w:p>
    <w:p w:rsidR="00CF0324" w:rsidRDefault="00124A10">
      <w:pPr>
        <w:spacing w:line="276" w:lineRule="auto"/>
        <w:ind w:firstLine="708"/>
        <w:jc w:val="both"/>
      </w:pPr>
      <w:r>
        <w:t xml:space="preserve">Стратегическими целями развития отрасли ЖКХ Кондинского района являются: улучшение технического состояния жилого фонда, коммунальных объектов и сооружений, внедрение современных технологий; формирование конкурентной среды в сфере предоставления жилищно-коммунальных услуг; переселение граждан из жилого фонда, признанного ветхим и аварийным; создание условий для привлечения частных инвестиций в целях обеспечения населенных пунктов коммунальной инфраструктурой; формирование системы энергосбережения и энергоэффективности отраслей жилищно-коммунального комплекса; повышение уровня квалификации работников жилищно-коммунального комплекса; </w:t>
      </w:r>
      <w:r>
        <w:rPr>
          <w:spacing w:val="4"/>
        </w:rPr>
        <w:t xml:space="preserve">повышение эффективности и финансовой устойчивости предприятий и организаций </w:t>
      </w:r>
      <w:r>
        <w:t>жилищно-коммунального комплекса</w:t>
      </w:r>
      <w:r>
        <w:rPr>
          <w:spacing w:val="4"/>
        </w:rPr>
        <w:t>.</w:t>
      </w:r>
    </w:p>
    <w:p w:rsidR="00CF0324" w:rsidRDefault="00124A10">
      <w:pPr>
        <w:spacing w:line="276" w:lineRule="auto"/>
        <w:ind w:firstLine="708"/>
        <w:jc w:val="both"/>
      </w:pPr>
      <w:r>
        <w:t>Достижение поставленных целей предполагает решение следующих задач:</w:t>
      </w:r>
    </w:p>
    <w:p w:rsidR="00CF0324" w:rsidRDefault="00124A10">
      <w:pPr>
        <w:spacing w:line="276" w:lineRule="auto"/>
        <w:ind w:firstLine="708"/>
        <w:jc w:val="both"/>
      </w:pPr>
      <w:r>
        <w:t>В жилищной сфере:</w:t>
      </w:r>
      <w:r>
        <w:rPr>
          <w:b/>
        </w:rPr>
        <w:t xml:space="preserve"> </w:t>
      </w:r>
      <w:r>
        <w:t xml:space="preserve">снижение общего количества ветхого и аварийного жилья; </w:t>
      </w:r>
      <w:r>
        <w:rPr>
          <w:color w:val="000000"/>
          <w:spacing w:val="3"/>
        </w:rPr>
        <w:t>переселение</w:t>
      </w:r>
      <w:r>
        <w:t xml:space="preserve"> граждан из ветхого и аварийного жилого фонда; </w:t>
      </w:r>
      <w:r>
        <w:rPr>
          <w:spacing w:val="1"/>
        </w:rPr>
        <w:t xml:space="preserve">внедрение мероприятий по энергосбережению </w:t>
      </w:r>
      <w:r>
        <w:t xml:space="preserve">при эксплуатации и ремонте жилищного фонда; учет фактического потребления жилищных услуг; </w:t>
      </w:r>
      <w:r>
        <w:rPr>
          <w:color w:val="000000"/>
          <w:spacing w:val="3"/>
        </w:rPr>
        <w:t xml:space="preserve">организация общественного самоуправления в жилищной сфере; </w:t>
      </w:r>
      <w:r>
        <w:t>повышение квалификации специалистов и работников жилищной сферы; формирование государственно-частного партнерств в области жилищного хозяйства.</w:t>
      </w:r>
    </w:p>
    <w:p w:rsidR="00CF0324" w:rsidRDefault="00124A10">
      <w:pPr>
        <w:spacing w:line="276" w:lineRule="auto"/>
        <w:ind w:firstLine="708"/>
        <w:jc w:val="both"/>
      </w:pPr>
      <w:r>
        <w:t>В коммунальном комплексе:</w:t>
      </w:r>
      <w:r>
        <w:rPr>
          <w:b/>
        </w:rPr>
        <w:t xml:space="preserve"> </w:t>
      </w:r>
      <w:r>
        <w:t xml:space="preserve">модернизация коммунальной инфраструктуры с применением </w:t>
      </w:r>
      <w:r>
        <w:rPr>
          <w:spacing w:val="1"/>
        </w:rPr>
        <w:t xml:space="preserve">современных технологий; </w:t>
      </w:r>
      <w:r>
        <w:t>комплексное развитие систем коммунальной инфраструктуры; повышение качества предоставления коммунальных услуг, снижение их стоимости; повышение уровня рационального использования топлива и энергии с широким внедрением энергосберегающих технологий, материалов и (или) оборудования высокого класса энергетической эффективности; привлечение инвесторов для реализации проектов развития коммунальной инфраструктуры; формирование и развитие системы государственно-частного партнерства в коммунальном комплексе, в рамках заключения концессионных соглашений.</w:t>
      </w:r>
    </w:p>
    <w:p w:rsidR="00CF0324" w:rsidRDefault="00124A10">
      <w:pPr>
        <w:spacing w:line="276" w:lineRule="auto"/>
        <w:ind w:firstLine="708"/>
        <w:jc w:val="both"/>
        <w:rPr>
          <w:color w:val="000000"/>
          <w:lang w:eastAsia="ar-SA"/>
        </w:rPr>
      </w:pPr>
      <w:r>
        <w:t>В сфере благоустройства:</w:t>
      </w:r>
      <w:r>
        <w:rPr>
          <w:b/>
        </w:rPr>
        <w:t xml:space="preserve"> </w:t>
      </w:r>
      <w:r>
        <w:rPr>
          <w:bCs/>
        </w:rPr>
        <w:t>улучшение условий проживания жителей и благоустройства жилищного фонда</w:t>
      </w:r>
      <w:r>
        <w:t xml:space="preserve">; снижение негативного воздействия на окружающую среду; </w:t>
      </w:r>
      <w:r>
        <w:rPr>
          <w:color w:val="000000"/>
          <w:lang w:eastAsia="ar-SA"/>
        </w:rPr>
        <w:t>модернизация системы переработки и утилизации отходов потребления, организация комплексной переработки отходов.</w:t>
      </w:r>
    </w:p>
    <w:p w:rsidR="00CF0324" w:rsidRDefault="00124A10">
      <w:pPr>
        <w:spacing w:line="276" w:lineRule="auto"/>
        <w:ind w:firstLine="708"/>
        <w:jc w:val="both"/>
      </w:pPr>
      <w:r>
        <w:t>Сильные и слабые стороны, угрозы, риски и возможности развитию отрасли ЖКХ Кондинского района представлены в таблице 6.4.</w:t>
      </w:r>
    </w:p>
    <w:p w:rsidR="00CF0324" w:rsidRDefault="00124A10">
      <w:pPr>
        <w:spacing w:line="276" w:lineRule="auto"/>
        <w:ind w:firstLine="708"/>
        <w:jc w:val="both"/>
      </w:pPr>
      <w:r>
        <w:t>В период реализации Стратегии целесообразно реализовывать следующие мероприятия по созданию эффективного жилищно-коммунального комплекса:</w:t>
      </w:r>
    </w:p>
    <w:p w:rsidR="00CF0324" w:rsidRDefault="00124A10">
      <w:pPr>
        <w:spacing w:line="276" w:lineRule="auto"/>
        <w:jc w:val="both"/>
        <w:rPr>
          <w:b/>
        </w:rPr>
      </w:pPr>
      <w:r>
        <w:rPr>
          <w:b/>
        </w:rPr>
        <w:t>1. Осуществление ремонта многоквартирных домов.</w:t>
      </w:r>
    </w:p>
    <w:p w:rsidR="00CF0324" w:rsidRDefault="00124A10">
      <w:pPr>
        <w:spacing w:line="276" w:lineRule="auto"/>
        <w:ind w:firstLine="708"/>
        <w:jc w:val="both"/>
      </w:pPr>
      <w:r>
        <w:t>Так в рамках реализации окружной программы осуществления капитального ремонта многоквартирных домов ежегодно предусмотрено проведение ремонтных работ в 10-15 многогоквартирных домах Кондинского района</w:t>
      </w:r>
      <w:r>
        <w:rPr>
          <w:vertAlign w:val="superscript"/>
        </w:rPr>
        <w:footnoteReference w:id="47"/>
      </w:r>
      <w:r>
        <w:t>: пгт. Междуреческий; пгт. Мортка; с. Болчары пгт. Кондинское; в пгт. Куминский; в д. Ушья.</w:t>
      </w:r>
    </w:p>
    <w:p w:rsidR="00CF0324" w:rsidRDefault="00CF0324">
      <w:pPr>
        <w:spacing w:line="276" w:lineRule="auto"/>
        <w:jc w:val="both"/>
        <w:sectPr w:rsidR="00CF0324">
          <w:footerReference w:type="even" r:id="rId40"/>
          <w:footerReference w:type="default" r:id="rId41"/>
          <w:pgSz w:w="11906" w:h="16838"/>
          <w:pgMar w:top="1134" w:right="850" w:bottom="1134" w:left="1701" w:header="708" w:footer="708"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6.4.</w:t>
      </w:r>
    </w:p>
    <w:p w:rsidR="00CF0324" w:rsidRDefault="00124A10">
      <w:pPr>
        <w:jc w:val="center"/>
        <w:rPr>
          <w:rFonts w:eastAsia="TimesNewRomanPSMT"/>
        </w:rPr>
      </w:pPr>
      <w:r>
        <w:rPr>
          <w:rFonts w:eastAsia="TimesNewRomanPSMT"/>
        </w:rPr>
        <w:t xml:space="preserve">Матрица SWOT-анализа развития жилищно-коммунального комплекса </w:t>
      </w:r>
      <w:r>
        <w:rPr>
          <w:rFonts w:eastAsia="TimesNewRomanPSMT"/>
          <w:iCs/>
        </w:rPr>
        <w:t>Кондинского района</w:t>
      </w:r>
    </w:p>
    <w:p w:rsidR="00CF0324" w:rsidRDefault="00124A10">
      <w:pPr>
        <w:jc w:val="center"/>
        <w:rPr>
          <w:rFonts w:eastAsia="TimesNewRomanPSMT"/>
        </w:rPr>
      </w:pPr>
      <w:r>
        <w:rPr>
          <w:rFonts w:eastAsia="TimesNewRomanPSMT"/>
        </w:rPr>
        <w:t>в долгосрочной перспективе</w:t>
      </w:r>
    </w:p>
    <w:tbl>
      <w:tblPr>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1"/>
        <w:gridCol w:w="7427"/>
      </w:tblGrid>
      <w:tr w:rsidR="00CF0324">
        <w:trPr>
          <w:trHeight w:val="77"/>
        </w:trPr>
        <w:tc>
          <w:tcPr>
            <w:tcW w:w="7621" w:type="dxa"/>
            <w:shd w:val="clear" w:color="auto" w:fill="C0C0C0"/>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7427" w:type="dxa"/>
            <w:shd w:val="clear" w:color="auto" w:fill="C0C0C0"/>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1266"/>
        </w:trPr>
        <w:tc>
          <w:tcPr>
            <w:tcW w:w="7621" w:type="dxa"/>
          </w:tcPr>
          <w:p w:rsidR="00CF0324" w:rsidRDefault="00124A10">
            <w:pPr>
              <w:jc w:val="both"/>
              <w:rPr>
                <w:lang w:eastAsia="en-US"/>
              </w:rPr>
            </w:pPr>
            <w:r>
              <w:rPr>
                <w:lang w:eastAsia="en-US"/>
              </w:rPr>
              <w:t>-наличие частных организаций, осуществляющих коммунальное обслуживание населения;</w:t>
            </w:r>
          </w:p>
          <w:p w:rsidR="00CF0324" w:rsidRDefault="00124A10">
            <w:pPr>
              <w:jc w:val="both"/>
              <w:rPr>
                <w:lang w:eastAsia="en-US"/>
              </w:rPr>
            </w:pPr>
            <w:r>
              <w:rPr>
                <w:lang w:eastAsia="en-US"/>
              </w:rPr>
              <w:t>-наличие развитой сети централизованного теплоснабжения населенных пунктов (в том числе: в сельской местности);</w:t>
            </w:r>
          </w:p>
          <w:p w:rsidR="00CF0324" w:rsidRDefault="00124A10">
            <w:pPr>
              <w:jc w:val="both"/>
              <w:rPr>
                <w:lang w:eastAsia="en-US"/>
              </w:rPr>
            </w:pPr>
            <w:r>
              <w:rPr>
                <w:lang w:eastAsia="en-US"/>
              </w:rPr>
              <w:t>-наличие нескольких видов топлива (уголь, попутный газ, дрова);</w:t>
            </w:r>
          </w:p>
          <w:p w:rsidR="00CF0324" w:rsidRDefault="00124A10">
            <w:pPr>
              <w:jc w:val="both"/>
              <w:rPr>
                <w:lang w:eastAsia="en-US"/>
              </w:rPr>
            </w:pPr>
            <w:r>
              <w:rPr>
                <w:lang w:eastAsia="en-US"/>
              </w:rPr>
              <w:t>-собственная сырьевая база (дрова, щепа);</w:t>
            </w:r>
          </w:p>
          <w:p w:rsidR="00CF0324" w:rsidRDefault="00124A10">
            <w:pPr>
              <w:jc w:val="both"/>
              <w:rPr>
                <w:lang w:eastAsia="en-US"/>
              </w:rPr>
            </w:pPr>
            <w:r>
              <w:rPr>
                <w:lang w:eastAsia="en-US"/>
              </w:rPr>
              <w:t>-глобальная электрификация района;</w:t>
            </w:r>
          </w:p>
          <w:p w:rsidR="00CF0324" w:rsidRDefault="00124A10">
            <w:pPr>
              <w:jc w:val="both"/>
              <w:rPr>
                <w:lang w:eastAsia="en-US"/>
              </w:rPr>
            </w:pPr>
            <w:r>
              <w:rPr>
                <w:lang w:eastAsia="en-US"/>
              </w:rPr>
              <w:t>-стабильное выделение средств на ремонт сетей ЖКХ, организованный «зимний завоз» топлива.</w:t>
            </w:r>
          </w:p>
          <w:p w:rsidR="00CF0324" w:rsidRDefault="00CF0324">
            <w:pPr>
              <w:jc w:val="both"/>
              <w:rPr>
                <w:lang w:eastAsia="en-US"/>
              </w:rPr>
            </w:pPr>
          </w:p>
        </w:tc>
        <w:tc>
          <w:tcPr>
            <w:tcW w:w="7427" w:type="dxa"/>
          </w:tcPr>
          <w:p w:rsidR="00CF0324" w:rsidRDefault="00124A10">
            <w:pPr>
              <w:jc w:val="both"/>
              <w:rPr>
                <w:lang w:eastAsia="en-US"/>
              </w:rPr>
            </w:pPr>
            <w:r>
              <w:rPr>
                <w:lang w:eastAsia="en-US"/>
              </w:rPr>
              <w:t>-низкая энергоэффективность сферы ЖКХ;</w:t>
            </w:r>
          </w:p>
          <w:p w:rsidR="00CF0324" w:rsidRDefault="00124A10">
            <w:pPr>
              <w:jc w:val="both"/>
              <w:rPr>
                <w:lang w:eastAsia="en-US"/>
              </w:rPr>
            </w:pPr>
            <w:r>
              <w:rPr>
                <w:lang w:eastAsia="en-US"/>
              </w:rPr>
              <w:t>-высокий уровень износа сетей ЖКХ;</w:t>
            </w:r>
          </w:p>
          <w:p w:rsidR="00CF0324" w:rsidRDefault="00124A10">
            <w:pPr>
              <w:jc w:val="both"/>
              <w:rPr>
                <w:lang w:eastAsia="en-US"/>
              </w:rPr>
            </w:pPr>
            <w:r>
              <w:rPr>
                <w:lang w:eastAsia="en-US"/>
              </w:rPr>
              <w:t>-высокие тарифы за энергопотребление;</w:t>
            </w:r>
          </w:p>
          <w:p w:rsidR="00CF0324" w:rsidRDefault="00124A10">
            <w:pPr>
              <w:jc w:val="both"/>
              <w:rPr>
                <w:lang w:eastAsia="en-US"/>
              </w:rPr>
            </w:pPr>
            <w:r>
              <w:rPr>
                <w:lang w:eastAsia="en-US"/>
              </w:rPr>
              <w:t>-недостаточность средств бюджета района для масштабной модернизации ЖКХ;</w:t>
            </w:r>
          </w:p>
          <w:p w:rsidR="00CF0324" w:rsidRDefault="00124A10">
            <w:pPr>
              <w:jc w:val="both"/>
              <w:rPr>
                <w:lang w:eastAsia="en-US"/>
              </w:rPr>
            </w:pPr>
            <w:r>
              <w:rPr>
                <w:lang w:eastAsia="en-US"/>
              </w:rPr>
              <w:t>-убыточность предприятий в сфере ЖКХ;</w:t>
            </w:r>
          </w:p>
          <w:p w:rsidR="00CF0324" w:rsidRDefault="00124A10">
            <w:pPr>
              <w:jc w:val="both"/>
              <w:rPr>
                <w:lang w:eastAsia="en-US"/>
              </w:rPr>
            </w:pPr>
            <w:r>
              <w:rPr>
                <w:lang w:eastAsia="en-US"/>
              </w:rPr>
              <w:t>-слабое развитие предприятий малого и среднего бизнеса                                и их незаинтересованность в ведении бизнеса в сфере ЖКХ;</w:t>
            </w:r>
          </w:p>
          <w:p w:rsidR="00CF0324" w:rsidRDefault="00124A10">
            <w:pPr>
              <w:jc w:val="both"/>
              <w:rPr>
                <w:lang w:eastAsia="en-US"/>
              </w:rPr>
            </w:pPr>
            <w:r>
              <w:rPr>
                <w:lang w:eastAsia="en-US"/>
              </w:rPr>
              <w:t>-большая протяженность коммуникаций, обуславливающая значительные потери при транспортировке тепла;</w:t>
            </w:r>
          </w:p>
          <w:p w:rsidR="00CF0324" w:rsidRDefault="00124A10">
            <w:pPr>
              <w:jc w:val="both"/>
              <w:rPr>
                <w:lang w:eastAsia="en-US"/>
              </w:rPr>
            </w:pPr>
            <w:r>
              <w:t>-недостаточная профессиональная подготовка сотрудников                             и работников предприятий и организаций жилищно-коммунального комплекса.</w:t>
            </w:r>
          </w:p>
        </w:tc>
      </w:tr>
      <w:tr w:rsidR="00CF0324">
        <w:trPr>
          <w:trHeight w:val="288"/>
        </w:trPr>
        <w:tc>
          <w:tcPr>
            <w:tcW w:w="7621"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7427"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621" w:type="dxa"/>
          </w:tcPr>
          <w:p w:rsidR="00CF0324" w:rsidRDefault="00124A10">
            <w:pPr>
              <w:jc w:val="both"/>
              <w:rPr>
                <w:rFonts w:eastAsia="TimesNewRomanPSMT"/>
              </w:rPr>
            </w:pPr>
            <w:r>
              <w:t>-субсидирование потребностей развития ЖКХ района со стороны Ханты-Мансийского автономного округа – Югры;</w:t>
            </w:r>
          </w:p>
          <w:p w:rsidR="00CF0324" w:rsidRDefault="00124A10">
            <w:pPr>
              <w:jc w:val="both"/>
              <w:rPr>
                <w:rFonts w:eastAsia="TimesNewRomanPSMT"/>
              </w:rPr>
            </w:pPr>
            <w:r>
              <w:rPr>
                <w:rFonts w:eastAsia="TimesNewRomanPSMT"/>
              </w:rPr>
              <w:t xml:space="preserve">-участие в реализации государственных программ </w:t>
            </w:r>
            <w:r>
              <w:t xml:space="preserve">Ханты-Мансийского автономного округа – Югры </w:t>
            </w:r>
            <w:r>
              <w:rPr>
                <w:rFonts w:eastAsia="TimesNewRomanPSMT"/>
              </w:rPr>
              <w:t xml:space="preserve"> и Российской Федерации;</w:t>
            </w:r>
          </w:p>
          <w:p w:rsidR="00CF0324" w:rsidRDefault="00124A10">
            <w:pPr>
              <w:jc w:val="both"/>
              <w:rPr>
                <w:rFonts w:eastAsia="TimesNewRomanPSMT"/>
              </w:rPr>
            </w:pPr>
            <w:r>
              <w:rPr>
                <w:rFonts w:eastAsia="TimesNewRomanPSMT"/>
              </w:rPr>
              <w:t>-эффективная тарифная политика;</w:t>
            </w:r>
          </w:p>
          <w:p w:rsidR="00CF0324" w:rsidRDefault="00124A10">
            <w:pPr>
              <w:jc w:val="both"/>
              <w:rPr>
                <w:rFonts w:eastAsia="TimesNewRomanPSMT"/>
              </w:rPr>
            </w:pPr>
            <w:r>
              <w:rPr>
                <w:rFonts w:eastAsia="TimesNewRomanPSMT"/>
              </w:rPr>
              <w:t>-снижение цен на топливно-энергетические ресурсы на международном рынке.</w:t>
            </w:r>
          </w:p>
        </w:tc>
        <w:tc>
          <w:tcPr>
            <w:tcW w:w="7427" w:type="dxa"/>
          </w:tcPr>
          <w:p w:rsidR="00CF0324" w:rsidRDefault="00124A10">
            <w:pPr>
              <w:jc w:val="both"/>
              <w:rPr>
                <w:rFonts w:eastAsia="TimesNewRomanPSMT"/>
              </w:rPr>
            </w:pPr>
            <w:r>
              <w:rPr>
                <w:rFonts w:eastAsia="TimesNewRomanPSMT"/>
              </w:rPr>
              <w:t>-макроэкономическая нестабильность;</w:t>
            </w:r>
          </w:p>
          <w:p w:rsidR="00CF0324" w:rsidRDefault="00124A10">
            <w:pPr>
              <w:jc w:val="both"/>
              <w:rPr>
                <w:rFonts w:eastAsia="TimesNewRomanPSMT"/>
              </w:rPr>
            </w:pPr>
            <w:r>
              <w:rPr>
                <w:rFonts w:eastAsia="TimesNewRomanPSMT"/>
              </w:rPr>
              <w:t>-изменение тарифной политики;</w:t>
            </w:r>
          </w:p>
          <w:p w:rsidR="00CF0324" w:rsidRDefault="00124A10">
            <w:pPr>
              <w:jc w:val="both"/>
              <w:rPr>
                <w:rFonts w:eastAsia="TimesNewRomanPSMT"/>
              </w:rPr>
            </w:pPr>
            <w:r>
              <w:rPr>
                <w:rFonts w:eastAsia="TimesNewRomanPSMT"/>
              </w:rPr>
              <w:t>-рост цен на топливно-энергетические ресурсы.</w:t>
            </w:r>
          </w:p>
        </w:tc>
      </w:tr>
    </w:tbl>
    <w:p w:rsidR="00CF0324" w:rsidRDefault="00CF0324">
      <w:pPr>
        <w:spacing w:line="360" w:lineRule="auto"/>
        <w:jc w:val="both"/>
        <w:rPr>
          <w:rFonts w:eastAsia="TimesNewRomanPSMT"/>
          <w:color w:val="FF0000"/>
        </w:rPr>
        <w:sectPr w:rsidR="00CF0324">
          <w:pgSz w:w="16838" w:h="11906" w:orient="landscape"/>
          <w:pgMar w:top="1701" w:right="1134" w:bottom="851" w:left="1134" w:header="709" w:footer="709" w:gutter="0"/>
          <w:cols w:space="708"/>
          <w:docGrid w:linePitch="360"/>
        </w:sectPr>
      </w:pPr>
    </w:p>
    <w:p w:rsidR="00CF0324" w:rsidRDefault="00124A10">
      <w:pPr>
        <w:spacing w:line="276" w:lineRule="auto"/>
        <w:jc w:val="both"/>
      </w:pPr>
      <w:r>
        <w:rPr>
          <w:b/>
        </w:rPr>
        <w:lastRenderedPageBreak/>
        <w:t xml:space="preserve">2. Повышение энергоэффективности в сфере ЖКХ, </w:t>
      </w:r>
      <w:r>
        <w:t xml:space="preserve">в том числе: </w:t>
      </w:r>
    </w:p>
    <w:p w:rsidR="00CF0324" w:rsidRDefault="00124A10">
      <w:pPr>
        <w:spacing w:line="276" w:lineRule="auto"/>
        <w:ind w:firstLine="708"/>
        <w:jc w:val="both"/>
        <w:rPr>
          <w:lang w:eastAsia="en-US"/>
        </w:rPr>
      </w:pPr>
      <w:r>
        <w:rPr>
          <w:lang w:eastAsia="en-US"/>
        </w:rPr>
        <w:t>использование технологий и материалов при модернизации сетей ЖКХ, обеспечивающих рост энергоэффективности производства;</w:t>
      </w:r>
    </w:p>
    <w:p w:rsidR="00CF0324" w:rsidRDefault="00124A10">
      <w:pPr>
        <w:spacing w:line="276" w:lineRule="auto"/>
        <w:ind w:firstLine="708"/>
        <w:jc w:val="both"/>
        <w:rPr>
          <w:lang w:eastAsia="en-US"/>
        </w:rPr>
      </w:pPr>
      <w:r>
        <w:rPr>
          <w:lang w:eastAsia="en-US"/>
        </w:rPr>
        <w:t>повышение энергоэффективности потребителей топливно-энергетических ресурсов за счет проведения текущего и капитального ремонта, утепления швов, подъездов;</w:t>
      </w:r>
    </w:p>
    <w:p w:rsidR="00CF0324" w:rsidRDefault="00124A10">
      <w:pPr>
        <w:spacing w:line="276" w:lineRule="auto"/>
        <w:ind w:firstLine="708"/>
        <w:jc w:val="both"/>
        <w:rPr>
          <w:lang w:eastAsia="en-US"/>
        </w:rPr>
      </w:pPr>
      <w:r>
        <w:rPr>
          <w:lang w:eastAsia="en-US"/>
        </w:rPr>
        <w:t>интенсивное обновление основных производственных фондов на базе новых энерго- и ресурсосберегающих технологий и оборудования;</w:t>
      </w:r>
    </w:p>
    <w:p w:rsidR="00CF0324" w:rsidRDefault="00124A10">
      <w:pPr>
        <w:spacing w:line="276" w:lineRule="auto"/>
        <w:ind w:firstLine="708"/>
        <w:jc w:val="both"/>
        <w:rPr>
          <w:lang w:eastAsia="en-US"/>
        </w:rPr>
      </w:pPr>
      <w:r>
        <w:rPr>
          <w:lang w:eastAsia="en-US"/>
        </w:rPr>
        <w:t>комплексное оснащение промышленных и частных потребителей услуг ЖКХ средствами учета, контроля и регулирования энергоносителей;</w:t>
      </w:r>
    </w:p>
    <w:p w:rsidR="00CF0324" w:rsidRDefault="00124A10">
      <w:pPr>
        <w:spacing w:line="276" w:lineRule="auto"/>
        <w:ind w:firstLine="708"/>
        <w:jc w:val="both"/>
        <w:rPr>
          <w:lang w:eastAsia="en-US"/>
        </w:rPr>
      </w:pPr>
      <w:r>
        <w:rPr>
          <w:lang w:eastAsia="en-US"/>
        </w:rPr>
        <w:t>модернизация и автоматизация котельных, перевод их на альтерантивные виды топлива. Так, в с. Болчары</w:t>
      </w:r>
      <w:r>
        <w:rPr>
          <w:rFonts w:eastAsia="TimesNewRomanPSMT"/>
        </w:rPr>
        <w:t xml:space="preserve"> реконструкция котельной с переходом на использование каменного угля (дров, щепы)  запланирована в 2024-2025 гг</w:t>
      </w:r>
      <w:r>
        <w:rPr>
          <w:lang w:eastAsia="en-US"/>
        </w:rPr>
        <w:t>.; а в последующем при реализации проекта строительство газопровода Цингалы-Болчары перевод котельной на природный газ, в пгт. Междуреченский запланирована модернизация двух котельных.</w:t>
      </w:r>
    </w:p>
    <w:p w:rsidR="00CF0324" w:rsidRDefault="00124A10">
      <w:pPr>
        <w:spacing w:line="276" w:lineRule="auto"/>
        <w:jc w:val="both"/>
        <w:rPr>
          <w:lang w:eastAsia="en-US"/>
        </w:rPr>
      </w:pPr>
      <w:r>
        <w:rPr>
          <w:lang w:eastAsia="en-US"/>
        </w:rPr>
        <w:t>.</w:t>
      </w:r>
    </w:p>
    <w:p w:rsidR="00CF0324" w:rsidRDefault="00124A10">
      <w:pPr>
        <w:spacing w:line="276" w:lineRule="auto"/>
        <w:jc w:val="both"/>
        <w:rPr>
          <w:rFonts w:eastAsia="TimesNewRomanPSMT"/>
          <w:b/>
        </w:rPr>
      </w:pPr>
      <w:r>
        <w:rPr>
          <w:rFonts w:eastAsia="TimesNewRomanPSMT"/>
          <w:b/>
        </w:rPr>
        <w:t>3. Реконструкция систем водоотведения, канализации и отчистки сточных вод.</w:t>
      </w:r>
    </w:p>
    <w:p w:rsidR="00CF0324" w:rsidRDefault="00124A10">
      <w:pPr>
        <w:spacing w:line="276" w:lineRule="auto"/>
        <w:ind w:firstLine="708"/>
        <w:jc w:val="both"/>
        <w:rPr>
          <w:rFonts w:eastAsia="TimesNewRomanPSMT"/>
        </w:rPr>
      </w:pPr>
      <w:r>
        <w:rPr>
          <w:rFonts w:eastAsia="TimesNewRomanPSMT"/>
        </w:rPr>
        <w:t>В рамках реализации мероприятий данного направления в краткосрочном периоде планируется строительство системы водоотведения с очистными сооружениями хозяйственно-бытовых сточных вод в пгт. Кондинское (2023 - 2024 гг.).</w:t>
      </w:r>
    </w:p>
    <w:p w:rsidR="00CF0324" w:rsidRDefault="00124A10">
      <w:pPr>
        <w:spacing w:line="276" w:lineRule="auto"/>
        <w:ind w:firstLine="708"/>
        <w:jc w:val="both"/>
      </w:pPr>
      <w:r>
        <w:rPr>
          <w:lang w:eastAsia="en-US"/>
        </w:rPr>
        <w:t xml:space="preserve">В долгосрочном периоде до 2050 года будет осуществляться поэтапное </w:t>
      </w:r>
      <w:r>
        <w:rPr>
          <w:color w:val="000000"/>
          <w:lang w:eastAsia="en-US"/>
        </w:rPr>
        <w:t xml:space="preserve">строительство локальных канализационных очистных сооружений в </w:t>
      </w:r>
      <w:r>
        <w:t>пгт.Междуреченский, пгт. Кондинское, пгт. Куминский, пгт. Луговой, с. Болчары, с. Алтай.</w:t>
      </w:r>
    </w:p>
    <w:p w:rsidR="00CF0324" w:rsidRDefault="00124A10">
      <w:pPr>
        <w:spacing w:line="276" w:lineRule="auto"/>
        <w:ind w:firstLine="708"/>
        <w:jc w:val="both"/>
        <w:rPr>
          <w:lang w:eastAsia="en-US"/>
        </w:rPr>
      </w:pPr>
      <w:r>
        <w:t>В рамках мероприятий программы «Чистая вода» планируется подготовка проектов санитарно-защитных зон на котельные в в пгт. Междуреченский, пгт. Кондинское, пгт. Куминский, пгт. Луговой, пгт. Мортка, с. Болчары, п. Лиственичный, с. Леуши, д. Ушья, д. Шугур, с. Чантырья.</w:t>
      </w:r>
    </w:p>
    <w:p w:rsidR="00CF0324" w:rsidRDefault="00124A10">
      <w:pPr>
        <w:spacing w:line="276" w:lineRule="auto"/>
        <w:jc w:val="both"/>
        <w:rPr>
          <w:rFonts w:eastAsia="PT Sans+FPEF"/>
          <w:b/>
          <w:color w:val="000000"/>
        </w:rPr>
      </w:pPr>
      <w:r>
        <w:rPr>
          <w:rFonts w:eastAsia="PT Sans+FPEF"/>
          <w:b/>
          <w:color w:val="000000"/>
        </w:rPr>
        <w:t>4. Развитие газификации населенных пунктов.</w:t>
      </w:r>
    </w:p>
    <w:p w:rsidR="00CF0324" w:rsidRDefault="00124A10">
      <w:pPr>
        <w:spacing w:line="276" w:lineRule="auto"/>
        <w:ind w:firstLine="708"/>
        <w:jc w:val="both"/>
      </w:pPr>
      <w:r>
        <w:t xml:space="preserve">На первом этапе среднесрочного периода реализации настоящей Стратегии запланированы продолжится подключение к сетям газоснабжения жителей п. Мулымья. Решение вопроса газификации других населенных пунктов района рассматривается на уровне округа, ведутся расчеты потенциального потребления газа. </w:t>
      </w:r>
    </w:p>
    <w:p w:rsidR="00CF0324" w:rsidRDefault="00124A10">
      <w:pPr>
        <w:spacing w:line="276" w:lineRule="auto"/>
        <w:ind w:firstLine="708"/>
        <w:jc w:val="both"/>
      </w:pPr>
      <w:r>
        <w:t>В долгосрочной перспективе возможна газификация района, рассматриваются варианты получения газа — от газопровода газоснабжения Ханты-Мансийска и Ханты-Мансийского района, вторым вариантом газоснабжения может стать подача газа от системы магистральных газопроводов «Уренгой-Челябинск», по третьему сценарию газоснабжения Кондинского района газ может прийти от газопровода - отвода газораспределительной станции (далее –ГРС) Велижаны — ГРС Тавда.</w:t>
      </w:r>
    </w:p>
    <w:p w:rsidR="00CF0324" w:rsidRDefault="00124A10">
      <w:pPr>
        <w:spacing w:line="276" w:lineRule="auto"/>
        <w:jc w:val="both"/>
        <w:rPr>
          <w:rFonts w:eastAsia="TimesNewRomanPSMT"/>
          <w:b/>
        </w:rPr>
      </w:pPr>
      <w:r>
        <w:rPr>
          <w:rFonts w:eastAsia="TimesNewRomanPSMT"/>
          <w:b/>
        </w:rPr>
        <w:t>5.Строительство и модернизация сетей водоснабжения.</w:t>
      </w:r>
    </w:p>
    <w:p w:rsidR="00CF0324" w:rsidRDefault="00124A10">
      <w:pPr>
        <w:spacing w:line="276" w:lineRule="auto"/>
        <w:ind w:firstLine="708"/>
        <w:jc w:val="both"/>
        <w:rPr>
          <w:rFonts w:eastAsia="TimesNewRomanPSMT"/>
        </w:rPr>
      </w:pPr>
      <w:r>
        <w:rPr>
          <w:rFonts w:eastAsia="TimesNewRomanPSMT"/>
        </w:rPr>
        <w:t xml:space="preserve">В рамках среднесрочного планирования модернизации системы водоснабжения необходимо предусмотреть: </w:t>
      </w:r>
      <w:r>
        <w:rPr>
          <w:lang w:eastAsia="en-US"/>
        </w:rPr>
        <w:t>строительство сетей водоснабжения в пгт. Междуреченский, пгт. Луговой, с. Болчары, с. Леуши, а также капитальный ремонт, с заменой ветхих сетей, во всех населенных пунктах района; проведение капитального ремонта с заменой ветхого оборудования водоочистных и канализационных очистных сооружений в д. Ушья; капитальный ремонт водозаборных скважин в п. Половинка.</w:t>
      </w:r>
    </w:p>
    <w:p w:rsidR="00CF0324" w:rsidRDefault="00124A10">
      <w:pPr>
        <w:spacing w:line="276" w:lineRule="auto"/>
        <w:ind w:firstLine="708"/>
        <w:jc w:val="both"/>
        <w:rPr>
          <w:lang w:eastAsia="en-US"/>
        </w:rPr>
      </w:pPr>
      <w:r>
        <w:rPr>
          <w:lang w:eastAsia="en-US"/>
        </w:rPr>
        <w:lastRenderedPageBreak/>
        <w:t>В долгосрочной перспективе необходимо реализовать следующие проекты: строительство водоочистных сооружений и сетей водоснабжения в п. Половинка, п. Ягодный</w:t>
      </w:r>
      <w:r>
        <w:rPr>
          <w:rFonts w:eastAsia="TimesNewRomanPSMT"/>
        </w:rPr>
        <w:t>.</w:t>
      </w:r>
    </w:p>
    <w:p w:rsidR="00CF0324" w:rsidRDefault="00124A10">
      <w:pPr>
        <w:spacing w:line="276" w:lineRule="auto"/>
        <w:jc w:val="both"/>
        <w:rPr>
          <w:rFonts w:eastAsia="TimesNewRomanPSMT"/>
          <w:b/>
        </w:rPr>
      </w:pPr>
      <w:r>
        <w:rPr>
          <w:rFonts w:eastAsia="TimesNewRomanPSMT"/>
          <w:b/>
        </w:rPr>
        <w:t xml:space="preserve">6. Модернизация системы теплоснабжения района, </w:t>
      </w:r>
      <w:r>
        <w:rPr>
          <w:rFonts w:eastAsia="TimesNewRomanPSMT"/>
        </w:rPr>
        <w:t>включает:</w:t>
      </w:r>
    </w:p>
    <w:p w:rsidR="00CF0324" w:rsidRDefault="00124A10">
      <w:pPr>
        <w:spacing w:line="276" w:lineRule="auto"/>
        <w:jc w:val="both"/>
        <w:rPr>
          <w:lang w:eastAsia="en-US"/>
        </w:rPr>
      </w:pPr>
      <w:r>
        <w:rPr>
          <w:rFonts w:eastAsia="TimesNewRomanPSMT"/>
        </w:rPr>
        <w:t>модернизацию сетей и сокращение их протяженности за счет поэтапного перевода частного сектора на автономное теплоснабжение;</w:t>
      </w:r>
    </w:p>
    <w:p w:rsidR="00CF0324" w:rsidRDefault="00124A10">
      <w:pPr>
        <w:spacing w:line="276" w:lineRule="auto"/>
        <w:jc w:val="both"/>
        <w:rPr>
          <w:rFonts w:eastAsia="TimesNewRomanPSMT"/>
          <w:b/>
        </w:rPr>
      </w:pPr>
      <w:r>
        <w:rPr>
          <w:lang w:eastAsia="en-US"/>
        </w:rPr>
        <w:t>приоритетную реализацию проектов по строительству новых объектов социально-культурного назначения на основе использования децентрализованных (объектовых) автоматизированных систем водо- и теплоснабжения;</w:t>
      </w:r>
    </w:p>
    <w:p w:rsidR="00CF0324" w:rsidRDefault="00124A10">
      <w:pPr>
        <w:spacing w:line="276" w:lineRule="auto"/>
        <w:jc w:val="both"/>
      </w:pPr>
      <w:r>
        <w:rPr>
          <w:color w:val="000000"/>
        </w:rPr>
        <w:t>реализацию проектов по снижению удельной величины потребления тепловой энергии на 1 м</w:t>
      </w:r>
      <w:r>
        <w:rPr>
          <w:color w:val="000000"/>
          <w:vertAlign w:val="superscript"/>
        </w:rPr>
        <w:t>2</w:t>
      </w:r>
      <w:r>
        <w:rPr>
          <w:color w:val="000000"/>
        </w:rPr>
        <w:t xml:space="preserve"> общей площади в год за счет сокращения потерь  в теплосетях. </w:t>
      </w:r>
    </w:p>
    <w:p w:rsidR="00CF0324" w:rsidRDefault="00124A10">
      <w:pPr>
        <w:pStyle w:val="afff1"/>
      </w:pPr>
      <w:bookmarkStart w:id="53" w:name="_Toc51"/>
      <w:r>
        <w:t>6.4. РЫНОК ТОВАРОВ И УСЛУГ</w:t>
      </w:r>
      <w:bookmarkEnd w:id="53"/>
    </w:p>
    <w:p w:rsidR="00CF0324" w:rsidRDefault="00124A10">
      <w:pPr>
        <w:spacing w:line="276" w:lineRule="auto"/>
        <w:ind w:firstLine="540"/>
        <w:jc w:val="both"/>
      </w:pPr>
      <w:r>
        <w:t>Стратегической целью развития потребительского рынка Кондинского района является развитие сети торговли, общественного питания для качественного удовлетворения потребностей населения в товарах и услугах.</w:t>
      </w:r>
    </w:p>
    <w:p w:rsidR="00CF0324" w:rsidRDefault="00124A10">
      <w:pPr>
        <w:spacing w:line="276" w:lineRule="auto"/>
        <w:ind w:firstLine="708"/>
        <w:jc w:val="both"/>
        <w:rPr>
          <w:rFonts w:eastAsia="TimesNewRomanPSMT"/>
        </w:rPr>
      </w:pPr>
      <w:r>
        <w:rPr>
          <w:rFonts w:eastAsia="TimesNewRomanPSMT"/>
        </w:rPr>
        <w:t xml:space="preserve">Достижение поставленной цели предполагает решение следующих задач: </w:t>
      </w:r>
    </w:p>
    <w:p w:rsidR="00CF0324" w:rsidRDefault="00124A10">
      <w:pPr>
        <w:spacing w:line="276" w:lineRule="auto"/>
        <w:ind w:firstLine="708"/>
        <w:jc w:val="both"/>
        <w:rPr>
          <w:rFonts w:eastAsia="TimesNewRomanPSMT"/>
        </w:rPr>
      </w:pPr>
      <w:r>
        <w:rPr>
          <w:rFonts w:eastAsia="TimesNewRomanPSMT"/>
        </w:rPr>
        <w:t>количественное и качественное развитие предприятий розничной торговли, общественного питания и формирование современной культуры потребления, внедрение новых форматов обслуживания;</w:t>
      </w:r>
    </w:p>
    <w:p w:rsidR="00CF0324" w:rsidRDefault="00124A10">
      <w:pPr>
        <w:ind w:firstLine="540"/>
        <w:jc w:val="both"/>
      </w:pPr>
      <w:r>
        <w:t>повышение уровня обеспеченности населения торговыми площадями и посадочными местами в объектах общественного питания в отдельных городских и сельских поселениях;</w:t>
      </w:r>
    </w:p>
    <w:p w:rsidR="00CF0324" w:rsidRDefault="00124A10">
      <w:pPr>
        <w:spacing w:line="276" w:lineRule="auto"/>
        <w:ind w:firstLine="540"/>
        <w:jc w:val="both"/>
        <w:rPr>
          <w:rFonts w:eastAsia="TimesNewRomanPSMT"/>
        </w:rPr>
      </w:pPr>
      <w:r>
        <w:rPr>
          <w:rFonts w:eastAsia="TimesNewRomanPSMT"/>
        </w:rPr>
        <w:t xml:space="preserve">стимулирование развития торговли в отдаленных населенных пунктах; </w:t>
      </w:r>
    </w:p>
    <w:p w:rsidR="00CF0324" w:rsidRDefault="00124A10">
      <w:pPr>
        <w:spacing w:line="276" w:lineRule="auto"/>
        <w:ind w:firstLine="540"/>
        <w:jc w:val="both"/>
        <w:rPr>
          <w:rFonts w:eastAsia="TimesNewRomanPSMT"/>
        </w:rPr>
      </w:pPr>
      <w:r>
        <w:rPr>
          <w:rFonts w:eastAsia="TimesNewRomanPSMT"/>
        </w:rPr>
        <w:t xml:space="preserve">количественное и качественное развитие предприятий бытового обслуживания населения; </w:t>
      </w:r>
    </w:p>
    <w:p w:rsidR="00CF0324" w:rsidRDefault="00124A10">
      <w:pPr>
        <w:spacing w:line="276" w:lineRule="auto"/>
        <w:ind w:firstLine="708"/>
        <w:jc w:val="both"/>
        <w:rPr>
          <w:rFonts w:eastAsia="TimesNewRomanPSMT"/>
        </w:rPr>
      </w:pPr>
      <w:r>
        <w:rPr>
          <w:rFonts w:eastAsia="TimesNewRomanPSMT"/>
        </w:rPr>
        <w:t>развитие системы менеджмента качества в сфере рынка товаров и услуг;</w:t>
      </w:r>
    </w:p>
    <w:p w:rsidR="00CF0324" w:rsidRDefault="00124A10">
      <w:pPr>
        <w:spacing w:line="276" w:lineRule="auto"/>
        <w:ind w:firstLine="708"/>
        <w:jc w:val="both"/>
        <w:rPr>
          <w:rFonts w:eastAsia="TimesNewRomanPSMT"/>
        </w:rPr>
      </w:pPr>
      <w:r>
        <w:rPr>
          <w:rFonts w:eastAsia="TimesNewRomanPSMT"/>
        </w:rPr>
        <w:t>увеличение оборота розничной торговли, общественного питания и бытового обслуживания населения.</w:t>
      </w:r>
    </w:p>
    <w:p w:rsidR="00CF0324" w:rsidRDefault="00124A10">
      <w:pPr>
        <w:spacing w:line="276" w:lineRule="auto"/>
        <w:ind w:firstLine="708"/>
        <w:jc w:val="both"/>
        <w:rPr>
          <w:rFonts w:eastAsia="TimesNewRomanPSMT"/>
        </w:rPr>
      </w:pPr>
      <w:r>
        <w:rPr>
          <w:rFonts w:eastAsia="TimesNewRomanPSMT"/>
        </w:rPr>
        <w:t>Сильные и слабые стороны Кондинского района с точки зрения оценки перспектив развития потребительского рынка района, а также потенциальные возможности и угрозы со стороны внешней среды обобщены в таблице 6.5.</w:t>
      </w:r>
    </w:p>
    <w:p w:rsidR="00CF0324" w:rsidRDefault="00124A10">
      <w:pPr>
        <w:spacing w:line="276" w:lineRule="auto"/>
        <w:ind w:firstLine="708"/>
        <w:jc w:val="both"/>
        <w:rPr>
          <w:rFonts w:eastAsia="TimesNewRomanPSMT"/>
        </w:rPr>
      </w:pPr>
      <w:r>
        <w:t xml:space="preserve">Состояние торговли Кондинского района можно охарактеризовать как стабильное, имеющее устойчивые тенденции дальнейшего динамичного развития. </w:t>
      </w:r>
    </w:p>
    <w:p w:rsidR="00CF0324" w:rsidRDefault="00CF0324">
      <w:pPr>
        <w:spacing w:line="276" w:lineRule="auto"/>
        <w:rPr>
          <w:rFonts w:eastAsia="TimesNewRomanPSMT"/>
        </w:rPr>
      </w:pPr>
    </w:p>
    <w:p w:rsidR="00CF0324" w:rsidRDefault="00CF0324">
      <w:pPr>
        <w:rPr>
          <w:rFonts w:eastAsia="TimesNewRomanPSMT"/>
        </w:rPr>
        <w:sectPr w:rsidR="00CF0324">
          <w:pgSz w:w="11906" w:h="16838"/>
          <w:pgMar w:top="1134" w:right="851" w:bottom="1134" w:left="1701" w:header="709" w:footer="709"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6.5.</w:t>
      </w:r>
    </w:p>
    <w:p w:rsidR="00CF0324" w:rsidRDefault="00124A10">
      <w:pPr>
        <w:jc w:val="center"/>
        <w:rPr>
          <w:rFonts w:eastAsia="TimesNewRomanPSMT"/>
        </w:rPr>
      </w:pPr>
      <w:r>
        <w:rPr>
          <w:rFonts w:eastAsia="TimesNewRomanPSMT"/>
        </w:rPr>
        <w:t>Матрица SWOT-анализа условий развития рынка товаров и услуг Кондинского района</w:t>
      </w:r>
    </w:p>
    <w:p w:rsidR="00CF0324" w:rsidRDefault="00124A10">
      <w:pPr>
        <w:jc w:val="center"/>
        <w:rPr>
          <w:rFonts w:eastAsia="TimesNewRomanPSMT"/>
        </w:rPr>
      </w:pPr>
      <w:r>
        <w:rPr>
          <w:rFonts w:eastAsia="TimesNewRomanPSMT"/>
        </w:rPr>
        <w:t>в долгосрочной перспективе</w:t>
      </w:r>
    </w:p>
    <w:p w:rsidR="00CF0324" w:rsidRDefault="00CF0324">
      <w:pPr>
        <w:jc w:val="center"/>
        <w:rPr>
          <w:rFonts w:eastAsia="TimesNewRomanPSMT"/>
        </w:rPr>
      </w:pPr>
    </w:p>
    <w:tbl>
      <w:tblPr>
        <w:tblpPr w:leftFromText="180" w:rightFromText="180" w:vertAnchor="text" w:tblpX="108" w:tblpY="1"/>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71"/>
        <w:gridCol w:w="7371"/>
      </w:tblGrid>
      <w:tr w:rsidR="00CF0324">
        <w:trPr>
          <w:trHeight w:val="77"/>
        </w:trPr>
        <w:tc>
          <w:tcPr>
            <w:tcW w:w="7371" w:type="dxa"/>
            <w:shd w:val="clear" w:color="auto" w:fill="C0C0C0"/>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7371" w:type="dxa"/>
            <w:shd w:val="clear" w:color="auto" w:fill="C0C0C0"/>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4281"/>
        </w:trPr>
        <w:tc>
          <w:tcPr>
            <w:tcW w:w="7371" w:type="dxa"/>
          </w:tcPr>
          <w:p w:rsidR="00CF0324" w:rsidRDefault="00124A10">
            <w:pPr>
              <w:spacing w:line="276" w:lineRule="auto"/>
              <w:jc w:val="both"/>
              <w:rPr>
                <w:rFonts w:eastAsia="TimesNewRomanPSMT"/>
              </w:rPr>
            </w:pPr>
            <w:r>
              <w:rPr>
                <w:rFonts w:eastAsia="TimesNewRomanPSMT"/>
              </w:rPr>
              <w:t>-наличие неудовлетворенного спроса на товары и услуги;</w:t>
            </w:r>
          </w:p>
          <w:p w:rsidR="00CF0324" w:rsidRDefault="00124A10">
            <w:pPr>
              <w:spacing w:line="276" w:lineRule="auto"/>
              <w:jc w:val="both"/>
              <w:rPr>
                <w:rFonts w:eastAsia="TimesNewRomanPSMT"/>
              </w:rPr>
            </w:pPr>
            <w:r>
              <w:rPr>
                <w:rFonts w:eastAsia="TimesNewRomanPSMT"/>
              </w:rPr>
              <w:t>-наличие крупных торговых сетей Магнит, Монетка, Пятерочка, КрасноеБелое;</w:t>
            </w:r>
          </w:p>
          <w:p w:rsidR="00CF0324" w:rsidRDefault="00124A10">
            <w:pPr>
              <w:spacing w:line="276" w:lineRule="auto"/>
              <w:jc w:val="both"/>
              <w:rPr>
                <w:rFonts w:eastAsia="TimesNewRomanPSMT"/>
              </w:rPr>
            </w:pPr>
            <w:r>
              <w:rPr>
                <w:rFonts w:eastAsia="TimesNewRomanPSMT"/>
              </w:rPr>
              <w:t>-наличие маркетплейсов Озон, Валберис, СимаЛэнд;</w:t>
            </w:r>
          </w:p>
          <w:p w:rsidR="00CF0324" w:rsidRDefault="00124A10">
            <w:pPr>
              <w:spacing w:line="276" w:lineRule="auto"/>
              <w:jc w:val="both"/>
              <w:rPr>
                <w:rFonts w:eastAsia="TimesNewRomanPSMT"/>
              </w:rPr>
            </w:pPr>
            <w:r>
              <w:rPr>
                <w:rFonts w:eastAsia="TimesNewRomanPSMT"/>
              </w:rPr>
              <w:t>-развитая информационно-коммуникационная инфраструктура, имеется доступ в Интернет;</w:t>
            </w:r>
          </w:p>
          <w:p w:rsidR="00CF0324" w:rsidRDefault="00124A10">
            <w:pPr>
              <w:spacing w:line="276" w:lineRule="auto"/>
              <w:jc w:val="both"/>
              <w:rPr>
                <w:rFonts w:eastAsia="TimesNewRomanPSMT"/>
              </w:rPr>
            </w:pPr>
            <w:r>
              <w:rPr>
                <w:rFonts w:eastAsia="TimesNewRomanPSMT"/>
              </w:rPr>
              <w:t>-наличие</w:t>
            </w:r>
            <w:r>
              <w:t xml:space="preserve"> </w:t>
            </w:r>
            <w:r>
              <w:rPr>
                <w:rFonts w:eastAsia="TimesNewRomanPSMT"/>
              </w:rPr>
              <w:t>муниципальной программы поддержки и развития малого и среднего предпринимательства.</w:t>
            </w:r>
          </w:p>
          <w:p w:rsidR="00CF0324" w:rsidRDefault="00CF0324">
            <w:pPr>
              <w:jc w:val="both"/>
              <w:rPr>
                <w:rFonts w:eastAsia="TimesNewRomanPSMT"/>
              </w:rPr>
            </w:pPr>
          </w:p>
        </w:tc>
        <w:tc>
          <w:tcPr>
            <w:tcW w:w="7371" w:type="dxa"/>
          </w:tcPr>
          <w:p w:rsidR="00CF0324" w:rsidRDefault="00124A10">
            <w:pPr>
              <w:spacing w:line="276" w:lineRule="auto"/>
              <w:jc w:val="both"/>
              <w:rPr>
                <w:rFonts w:eastAsia="TimesNewRomanPSMT"/>
              </w:rPr>
            </w:pPr>
            <w:r>
              <w:rPr>
                <w:rFonts w:eastAsia="TimesNewRomanPSMT"/>
              </w:rPr>
              <w:t>-неразвитая транспортная инфраструктура и низкие темпы ее развития;</w:t>
            </w:r>
          </w:p>
          <w:p w:rsidR="00CF0324" w:rsidRDefault="00124A10">
            <w:pPr>
              <w:spacing w:line="276" w:lineRule="auto"/>
              <w:jc w:val="both"/>
              <w:rPr>
                <w:rFonts w:eastAsia="TimesNewRomanPSMT"/>
              </w:rPr>
            </w:pPr>
            <w:r>
              <w:rPr>
                <w:rFonts w:eastAsia="TimesNewRomanPSMT"/>
              </w:rPr>
              <w:t>-слабое развитие собственного производства потребительских товаров;</w:t>
            </w:r>
          </w:p>
          <w:p w:rsidR="00CF0324" w:rsidRDefault="00124A10">
            <w:pPr>
              <w:spacing w:line="276" w:lineRule="auto"/>
              <w:jc w:val="both"/>
              <w:rPr>
                <w:rFonts w:eastAsia="TimesNewRomanPSMT"/>
                <w:bCs/>
              </w:rPr>
            </w:pPr>
            <w:r>
              <w:rPr>
                <w:rFonts w:eastAsia="TimesNewRomanPSMT"/>
              </w:rPr>
              <w:t>-ресурсные ограничения (рост цен, тарифов, ставок арендной платы);</w:t>
            </w:r>
          </w:p>
          <w:p w:rsidR="00CF0324" w:rsidRDefault="00124A10">
            <w:pPr>
              <w:spacing w:line="276" w:lineRule="auto"/>
              <w:jc w:val="both"/>
              <w:rPr>
                <w:rFonts w:eastAsia="TimesNewRomanPSMT"/>
                <w:bCs/>
              </w:rPr>
            </w:pPr>
            <w:r>
              <w:rPr>
                <w:rFonts w:eastAsia="TimesNewRomanPSMT"/>
                <w:bCs/>
              </w:rPr>
              <w:t>-неравномерность территориального распределения населения;</w:t>
            </w:r>
          </w:p>
          <w:p w:rsidR="00CF0324" w:rsidRDefault="00124A10">
            <w:pPr>
              <w:spacing w:line="276" w:lineRule="auto"/>
              <w:jc w:val="both"/>
              <w:rPr>
                <w:rFonts w:eastAsia="TimesNewRomanPSMT"/>
                <w:bCs/>
              </w:rPr>
            </w:pPr>
            <w:r>
              <w:rPr>
                <w:rFonts w:eastAsia="TimesNewRomanPSMT"/>
              </w:rPr>
              <w:t>-недостаток квалифицированных кадров;</w:t>
            </w:r>
          </w:p>
          <w:p w:rsidR="00CF0324" w:rsidRDefault="00124A10">
            <w:pPr>
              <w:spacing w:line="276" w:lineRule="auto"/>
              <w:jc w:val="both"/>
              <w:rPr>
                <w:rFonts w:eastAsia="TimesNewRomanPSMT"/>
                <w:bCs/>
              </w:rPr>
            </w:pPr>
            <w:r>
              <w:rPr>
                <w:rFonts w:eastAsia="TimesNewRomanPSMT"/>
              </w:rPr>
              <w:t>-использование неэффективных стратегий управления субъектами предпринимательства, в том числе маркетинговых.</w:t>
            </w:r>
          </w:p>
        </w:tc>
      </w:tr>
      <w:tr w:rsidR="00CF0324">
        <w:trPr>
          <w:trHeight w:val="288"/>
        </w:trPr>
        <w:tc>
          <w:tcPr>
            <w:tcW w:w="7371"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7371"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371" w:type="dxa"/>
          </w:tcPr>
          <w:p w:rsidR="00CF0324" w:rsidRDefault="00124A10">
            <w:pPr>
              <w:spacing w:line="276" w:lineRule="auto"/>
              <w:jc w:val="both"/>
              <w:rPr>
                <w:rFonts w:eastAsia="TimesNewRomanPSMT"/>
              </w:rPr>
            </w:pPr>
            <w:r>
              <w:rPr>
                <w:rFonts w:eastAsia="TimesNewRomanPSMT"/>
              </w:rPr>
              <w:t>-развитие крупных торговых сетей, маркетплейсов в отдаленных населенных пунктах района;</w:t>
            </w:r>
          </w:p>
          <w:p w:rsidR="00CF0324" w:rsidRDefault="00124A10">
            <w:pPr>
              <w:spacing w:line="276" w:lineRule="auto"/>
              <w:jc w:val="both"/>
              <w:rPr>
                <w:rFonts w:eastAsia="TimesNewRomanPSMT"/>
              </w:rPr>
            </w:pPr>
            <w:r>
              <w:rPr>
                <w:rFonts w:eastAsia="TimesNewRomanPSMT"/>
              </w:rPr>
              <w:t>-создание оптовых продовольственных рынков;</w:t>
            </w:r>
          </w:p>
          <w:p w:rsidR="00CF0324" w:rsidRDefault="00124A10">
            <w:pPr>
              <w:spacing w:line="276" w:lineRule="auto"/>
              <w:jc w:val="both"/>
              <w:rPr>
                <w:rFonts w:eastAsia="TimesNewRomanPSMT"/>
              </w:rPr>
            </w:pPr>
            <w:r>
              <w:rPr>
                <w:rFonts w:eastAsia="TimesNewRomanPSMT"/>
              </w:rPr>
              <w:t>-межрегиональная и межмуниципальная кооперация.</w:t>
            </w:r>
          </w:p>
          <w:p w:rsidR="00CF0324" w:rsidRDefault="00CF0324">
            <w:pPr>
              <w:jc w:val="both"/>
              <w:rPr>
                <w:rFonts w:eastAsia="TimesNewRomanPSMT"/>
              </w:rPr>
            </w:pPr>
          </w:p>
        </w:tc>
        <w:tc>
          <w:tcPr>
            <w:tcW w:w="7371" w:type="dxa"/>
          </w:tcPr>
          <w:p w:rsidR="00CF0324" w:rsidRDefault="00124A10">
            <w:pPr>
              <w:spacing w:line="276" w:lineRule="auto"/>
              <w:jc w:val="both"/>
              <w:rPr>
                <w:rFonts w:eastAsia="TimesNewRomanPSMT"/>
              </w:rPr>
            </w:pPr>
            <w:r>
              <w:rPr>
                <w:rFonts w:eastAsia="TimesNewRomanPSMT"/>
              </w:rPr>
              <w:t>-увеличение налоговой нагрузки;</w:t>
            </w:r>
          </w:p>
          <w:p w:rsidR="00CF0324" w:rsidRDefault="00124A10">
            <w:pPr>
              <w:spacing w:line="276" w:lineRule="auto"/>
              <w:jc w:val="both"/>
              <w:rPr>
                <w:rFonts w:eastAsia="TimesNewRomanPSMT"/>
              </w:rPr>
            </w:pPr>
            <w:r>
              <w:rPr>
                <w:rFonts w:eastAsia="TimesNewRomanPSMT"/>
              </w:rPr>
              <w:t>-обострение конкуренции между муниципальными образованиями Ханты-Мансийского автономного округа – Югры;</w:t>
            </w:r>
          </w:p>
          <w:p w:rsidR="00CF0324" w:rsidRDefault="00124A10">
            <w:pPr>
              <w:spacing w:line="276" w:lineRule="auto"/>
              <w:jc w:val="both"/>
              <w:rPr>
                <w:rFonts w:eastAsia="TimesNewRomanPSMT"/>
              </w:rPr>
            </w:pPr>
            <w:r>
              <w:rPr>
                <w:rFonts w:eastAsia="TimesNewRomanPSMT"/>
              </w:rPr>
              <w:t>-макроэкономическая нестабильность;</w:t>
            </w:r>
          </w:p>
          <w:p w:rsidR="00CF0324" w:rsidRDefault="00124A10">
            <w:pPr>
              <w:spacing w:line="276" w:lineRule="auto"/>
              <w:jc w:val="both"/>
              <w:rPr>
                <w:rFonts w:eastAsia="TimesNewRomanPSMT"/>
              </w:rPr>
            </w:pPr>
            <w:r>
              <w:rPr>
                <w:rFonts w:eastAsia="TimesNewRomanPSMT"/>
              </w:rPr>
              <w:t>-экономические санкции в отношении Российской Федерации.</w:t>
            </w:r>
          </w:p>
        </w:tc>
      </w:tr>
    </w:tbl>
    <w:p w:rsidR="00CF0324" w:rsidRDefault="00CF0324">
      <w:pPr>
        <w:spacing w:line="360" w:lineRule="auto"/>
        <w:jc w:val="both"/>
        <w:sectPr w:rsidR="00CF0324">
          <w:footerReference w:type="even" r:id="rId42"/>
          <w:footerReference w:type="default" r:id="rId43"/>
          <w:pgSz w:w="16838" w:h="11906" w:orient="landscape"/>
          <w:pgMar w:top="1701" w:right="1134" w:bottom="851" w:left="1134" w:header="709" w:footer="709" w:gutter="0"/>
          <w:cols w:space="708"/>
          <w:docGrid w:linePitch="360"/>
        </w:sectPr>
      </w:pPr>
    </w:p>
    <w:p w:rsidR="00CF0324" w:rsidRDefault="00124A10">
      <w:pPr>
        <w:spacing w:line="276" w:lineRule="auto"/>
        <w:ind w:firstLine="708"/>
        <w:jc w:val="both"/>
      </w:pPr>
      <w:r>
        <w:lastRenderedPageBreak/>
        <w:t xml:space="preserve">Обеспеченность населения Кондинского района торговыми площадями на 01.01.2023 г. составила 19 295,5 кв.м. (141% по сравнению с нормативом), в том числе, торговая площадь для продажи продовольственных товаров – 6 264,3 кв.м. (133%), непродовольственных товаров – </w:t>
      </w:r>
      <w:r>
        <w:rPr>
          <w:bCs/>
        </w:rPr>
        <w:t>13031,2</w:t>
      </w:r>
      <w:r>
        <w:t xml:space="preserve"> (144%).</w:t>
      </w:r>
    </w:p>
    <w:p w:rsidR="00CF0324" w:rsidRDefault="00124A10">
      <w:pPr>
        <w:spacing w:line="276" w:lineRule="auto"/>
        <w:ind w:firstLine="708"/>
        <w:jc w:val="both"/>
      </w:pPr>
      <w:r>
        <w:t>Из десяти городских и сельских поселений Кондинского района в 6 поселениях района (городские поселения Междуреченский, Мортка, Луговой, Кондинское, сельское поселение Болчары, Шугур) обеспеченность торговыми площадями выше минимального норматива.</w:t>
      </w:r>
    </w:p>
    <w:p w:rsidR="00CF0324" w:rsidRDefault="00124A10">
      <w:pPr>
        <w:spacing w:line="276" w:lineRule="auto"/>
        <w:ind w:firstLine="708"/>
        <w:jc w:val="both"/>
      </w:pPr>
      <w:r>
        <w:t>Обеспеченность торговыми площадями населения городского поселения городского поселения Куминский 75%, сельского поселения Леуши – 58%, сельского поселения Мулымья – 68%; сельского поселения Половинка – 60%. Низкая обеспеченность торговыми площадями в данных населенных пунктах обусловлена высокой конкуренцией со стороны торговых сетей, расположенных в г. Урай и пгт.Междуреченский.</w:t>
      </w:r>
    </w:p>
    <w:p w:rsidR="00CF0324" w:rsidRDefault="00124A10">
      <w:pPr>
        <w:spacing w:line="276" w:lineRule="auto"/>
        <w:ind w:firstLine="708"/>
        <w:jc w:val="both"/>
      </w:pPr>
      <w:r>
        <w:t>В последние годы усилилась конкуренция на потребительском рынке со стороны маркетплэйсов, так в 2022-2023 годах в 5 населенных пунктах района: пгт. Междуреченский, пгт. Мортка, п. Половина, п. Мулымья и с. Леуши открылось 9 пунктов выдачи Валдбериз, 3 пункта выдачи Озон в пгт. Междуреченский.</w:t>
      </w:r>
    </w:p>
    <w:p w:rsidR="00CF0324" w:rsidRDefault="00124A10">
      <w:pPr>
        <w:spacing w:line="276" w:lineRule="auto"/>
        <w:ind w:firstLine="708"/>
        <w:jc w:val="both"/>
      </w:pPr>
      <w:r>
        <w:t>Благодаря расширению зоны обслуживания маркетплейсами жители района получили доступ к товарам, представленным на данных площадках.</w:t>
      </w:r>
    </w:p>
    <w:p w:rsidR="00CF0324" w:rsidRDefault="00124A10">
      <w:pPr>
        <w:spacing w:line="276" w:lineRule="auto"/>
        <w:ind w:firstLine="708"/>
        <w:jc w:val="both"/>
        <w:rPr>
          <w:rFonts w:eastAsia="TimesNewRomanPSMT"/>
        </w:rPr>
      </w:pPr>
      <w:r>
        <w:rPr>
          <w:rFonts w:eastAsia="TimesNewRomanPSMT"/>
        </w:rPr>
        <w:t xml:space="preserve">По-прежнему остро стоит вопрос по обеспеченности объектами общественного питания и бытового обслуживания, прежде всего сельского населения. </w:t>
      </w:r>
    </w:p>
    <w:p w:rsidR="00CF0324" w:rsidRDefault="00124A10">
      <w:pPr>
        <w:spacing w:line="276" w:lineRule="auto"/>
        <w:ind w:firstLine="708"/>
        <w:jc w:val="both"/>
        <w:rPr>
          <w:rFonts w:eastAsia="TimesNewRomanPSMT"/>
        </w:rPr>
      </w:pPr>
      <w:r>
        <w:rPr>
          <w:rFonts w:eastAsia="TimesNewRomanPSMT"/>
        </w:rPr>
        <w:t xml:space="preserve">На 01.01.2023 года на территории района функционировало 77 объектов бытового обслуживания, оказывающих населению услуги по ремонту и пошиву обуви и одежды (7 объектов), ремонту бытовой техники (4), техническому обслуживанию и ремонту транспортных средств (11), изготовлению и ремонту мебели (3), оказанию парикмахерских услуг (30), ритуальных услуг (3). Имеющиеся объекты сосредоточены, в основном </w:t>
      </w:r>
      <w:r>
        <w:t xml:space="preserve">на территориях пгт. Междуреченский, пгт. Мортка, пгт. Кондинское, пгт. Куминский. </w:t>
      </w:r>
      <w:r>
        <w:rPr>
          <w:rFonts w:eastAsia="TimesNewRomanPSMT"/>
        </w:rPr>
        <w:t>В сельской местности, в связи с отсутствием комплексных приемных пунктов бытового обслуживания, доступность бытовых услуг ограничена. В числе объектов бытового обслуживания района 1 баня с единовременной вместимостью 25 чел.</w:t>
      </w:r>
    </w:p>
    <w:p w:rsidR="00CF0324" w:rsidRDefault="00124A10">
      <w:pPr>
        <w:spacing w:line="276" w:lineRule="auto"/>
        <w:ind w:firstLine="708"/>
        <w:jc w:val="both"/>
        <w:rPr>
          <w:rFonts w:eastAsia="TimesNewRomanPSMT"/>
        </w:rPr>
      </w:pPr>
      <w:r>
        <w:rPr>
          <w:rFonts w:eastAsia="TimesNewRomanPSMT"/>
        </w:rPr>
        <w:t xml:space="preserve">В сфере туризма наблюдается наличие дефицита квалифицированных трудовых ресурсов, несоответствие состояния материально-технической базы объектов услуг гостеприимства задачам развития туризма и отдыха. Развитие туризма на территории района требует более современных подходов строительство баз отдыха с полным комплексом благоустройства, создания условий для отдыха с детьми, предоставление </w:t>
      </w:r>
      <w:r>
        <w:rPr>
          <w:rFonts w:eastAsia="TimesNewRomanPSMT"/>
          <w:lang w:val="en-US"/>
        </w:rPr>
        <w:t>SPA</w:t>
      </w:r>
      <w:r>
        <w:rPr>
          <w:rFonts w:eastAsia="TimesNewRomanPSMT"/>
        </w:rPr>
        <w:t xml:space="preserve"> – услуг. Создание эко отелей, арт-резиденций, глэмпингов, позволяющих насладится красотой нетронутой природы в комфортных условиях.</w:t>
      </w:r>
    </w:p>
    <w:p w:rsidR="00CF0324" w:rsidRDefault="00124A10">
      <w:pPr>
        <w:spacing w:line="276" w:lineRule="auto"/>
        <w:ind w:firstLine="708"/>
        <w:jc w:val="both"/>
        <w:rPr>
          <w:rFonts w:eastAsia="TimesNewRomanPSMT"/>
        </w:rPr>
      </w:pPr>
      <w:r>
        <w:rPr>
          <w:rFonts w:eastAsia="TimesNewRomanPSMT"/>
        </w:rPr>
        <w:t>Достижение поставленной цели может быть обеспечено реализацией следующих приоритетных направлений:</w:t>
      </w:r>
    </w:p>
    <w:p w:rsidR="00CF0324" w:rsidRDefault="00124A10">
      <w:pPr>
        <w:spacing w:line="276" w:lineRule="auto"/>
        <w:ind w:firstLine="708"/>
        <w:jc w:val="both"/>
        <w:rPr>
          <w:rFonts w:eastAsia="TimesNewRomanPSMT"/>
        </w:rPr>
      </w:pPr>
      <w:r>
        <w:rPr>
          <w:rFonts w:eastAsia="TimesNewRomanPSMT"/>
        </w:rPr>
        <w:t>развитие придорожной торговли, малой нестационарной мобильной торговли;</w:t>
      </w:r>
    </w:p>
    <w:p w:rsidR="00CF0324" w:rsidRDefault="00124A10">
      <w:pPr>
        <w:spacing w:line="276" w:lineRule="auto"/>
        <w:ind w:firstLine="708"/>
        <w:jc w:val="both"/>
        <w:rPr>
          <w:rFonts w:eastAsia="TimesNewRomanPSMT"/>
        </w:rPr>
      </w:pPr>
      <w:r>
        <w:rPr>
          <w:rFonts w:eastAsia="TimesNewRomanPSMT"/>
        </w:rPr>
        <w:t>содействие продвижению промышленных и продовольственных товаров местных производителей, в том числе путем их представления на выставках и ярмарках, маркетплейсах, электронных торговых площадках;</w:t>
      </w:r>
    </w:p>
    <w:p w:rsidR="00CF0324" w:rsidRDefault="00124A10">
      <w:pPr>
        <w:spacing w:line="276" w:lineRule="auto"/>
        <w:ind w:firstLine="708"/>
        <w:jc w:val="both"/>
        <w:rPr>
          <w:rFonts w:eastAsia="TimesNewRomanPSMT"/>
        </w:rPr>
      </w:pPr>
      <w:r>
        <w:rPr>
          <w:rFonts w:eastAsia="TimesNewRomanPSMT"/>
        </w:rPr>
        <w:t>развитие транспортно-логистической инфраструктуры;</w:t>
      </w:r>
    </w:p>
    <w:p w:rsidR="00CF0324" w:rsidRDefault="00124A10">
      <w:pPr>
        <w:spacing w:line="276" w:lineRule="auto"/>
        <w:ind w:firstLine="708"/>
        <w:jc w:val="both"/>
        <w:rPr>
          <w:rFonts w:eastAsia="TimesNewRomanPSMT"/>
        </w:rPr>
      </w:pPr>
      <w:r>
        <w:rPr>
          <w:rFonts w:eastAsia="TimesNewRomanPSMT"/>
        </w:rPr>
        <w:lastRenderedPageBreak/>
        <w:t>развитие института самозанятых, создание в населенных пунктах района мест для размещения самозанятых граждан оказывающих услуги по бытовому обслуживанию;</w:t>
      </w:r>
    </w:p>
    <w:p w:rsidR="00CF0324" w:rsidRDefault="00124A10">
      <w:pPr>
        <w:spacing w:line="276" w:lineRule="auto"/>
        <w:ind w:firstLine="708"/>
        <w:jc w:val="both"/>
        <w:rPr>
          <w:rFonts w:eastAsia="TimesNewRomanPSMT"/>
        </w:rPr>
      </w:pPr>
      <w:r>
        <w:rPr>
          <w:rFonts w:eastAsia="TimesNewRomanPSMT"/>
        </w:rPr>
        <w:t>привлечение средств грантовой поддержки, заемных средств институтов развития предпринимательской среды для создания современных туристских продуктов;</w:t>
      </w:r>
    </w:p>
    <w:p w:rsidR="00CF0324" w:rsidRDefault="00124A10">
      <w:pPr>
        <w:spacing w:line="276" w:lineRule="auto"/>
        <w:ind w:firstLine="708"/>
        <w:jc w:val="both"/>
        <w:rPr>
          <w:rFonts w:eastAsia="TimesNewRomanPSMT"/>
        </w:rPr>
      </w:pPr>
      <w:r>
        <w:rPr>
          <w:rFonts w:eastAsia="TimesNewRomanPSMT"/>
        </w:rPr>
        <w:t>применение современных маркетинговых стратегий, позиционирующих Кондинский район как экологически чистый край сочетающий в себе красоту дикой природы и качественный сервис при предоставлении туристских услуг.</w:t>
      </w:r>
    </w:p>
    <w:p w:rsidR="00CF0324" w:rsidRDefault="00124A10">
      <w:pPr>
        <w:pStyle w:val="afff1"/>
      </w:pPr>
      <w:bookmarkStart w:id="54" w:name="_Toc52"/>
      <w:r>
        <w:t>6.5. МАЛОЕ И СРЕДНЕЕ ПРЕДПРИНИМАТЕЛЬСТВО</w:t>
      </w:r>
      <w:bookmarkEnd w:id="54"/>
    </w:p>
    <w:p w:rsidR="00CF0324" w:rsidRDefault="00124A10">
      <w:pPr>
        <w:spacing w:line="276" w:lineRule="auto"/>
        <w:ind w:firstLine="708"/>
        <w:jc w:val="both"/>
      </w:pPr>
      <w:r>
        <w:t>Стратегической целью развития малого и среднего предпринимательства в Кондинском районе является увеличение количества субъектов предпринимательства, создание новых рабочих мест, обеспечение занятости и рост уровня доходов населения, насыщение потребительского рынка товарами и услугами и пополнение доходов местного бюджета.</w:t>
      </w:r>
    </w:p>
    <w:p w:rsidR="00CF0324" w:rsidRDefault="00124A10">
      <w:pPr>
        <w:spacing w:line="276" w:lineRule="auto"/>
        <w:ind w:firstLine="708"/>
        <w:jc w:val="both"/>
        <w:rPr>
          <w:b/>
        </w:rPr>
      </w:pPr>
      <w:r>
        <w:rPr>
          <w:rFonts w:eastAsia="TimesNewRomanPSMT"/>
        </w:rPr>
        <w:t>Достижение поставленной цели предполагает решение следующих задач:</w:t>
      </w:r>
      <w:r>
        <w:rPr>
          <w:b/>
        </w:rPr>
        <w:t xml:space="preserve"> </w:t>
      </w:r>
    </w:p>
    <w:p w:rsidR="00CF0324" w:rsidRDefault="00124A10">
      <w:pPr>
        <w:spacing w:line="276" w:lineRule="auto"/>
        <w:ind w:firstLine="540"/>
        <w:jc w:val="both"/>
      </w:pPr>
      <w:r>
        <w:t>совершенствование комплекса мер по сопровождению развития и роста оборота вновь зарегистрированных субъектов МСП и самозанятых граждан;</w:t>
      </w:r>
    </w:p>
    <w:p w:rsidR="00CF0324" w:rsidRDefault="00124A10">
      <w:pPr>
        <w:spacing w:line="276" w:lineRule="auto"/>
        <w:ind w:firstLine="540"/>
        <w:jc w:val="both"/>
      </w:pPr>
      <w:r>
        <w:t>дальнейшее развитие различных форм малого и среднего предпринимательства путем совершенствования поддержки в рамках муниципальной программы;</w:t>
      </w:r>
    </w:p>
    <w:p w:rsidR="00CF0324" w:rsidRDefault="00124A10">
      <w:pPr>
        <w:shd w:val="clear" w:color="auto" w:fill="FFFFFF"/>
        <w:spacing w:line="276" w:lineRule="auto"/>
        <w:ind w:firstLine="708"/>
        <w:jc w:val="both"/>
        <w:rPr>
          <w:color w:val="1A1A1A"/>
          <w:sz w:val="23"/>
          <w:szCs w:val="23"/>
        </w:rPr>
      </w:pPr>
      <w:r>
        <w:rPr>
          <w:color w:val="1A1A1A"/>
          <w:sz w:val="23"/>
          <w:szCs w:val="23"/>
        </w:rPr>
        <w:t>улучшение условий ведения предпринимательской деятельности, в том числе содействие развитию малого и среднего предпринимательства, включая социальное предпринимательство;</w:t>
      </w:r>
    </w:p>
    <w:p w:rsidR="00CF0324" w:rsidRDefault="00124A10">
      <w:pPr>
        <w:spacing w:line="276" w:lineRule="auto"/>
        <w:ind w:firstLine="708"/>
        <w:jc w:val="both"/>
        <w:rPr>
          <w:rFonts w:eastAsia="TimesNewRomanPSMT"/>
        </w:rPr>
      </w:pPr>
      <w:r>
        <w:rPr>
          <w:rFonts w:eastAsia="TimesNewRomanPSMT"/>
        </w:rPr>
        <w:t>увеличение доли занятых в сфере малого и среднего предпринимательства, включая самозанятых граждан;</w:t>
      </w:r>
    </w:p>
    <w:p w:rsidR="00CF0324" w:rsidRDefault="00124A10">
      <w:pPr>
        <w:spacing w:line="276" w:lineRule="auto"/>
        <w:ind w:firstLine="708"/>
        <w:jc w:val="both"/>
        <w:rPr>
          <w:b/>
        </w:rPr>
      </w:pPr>
      <w:r>
        <w:rPr>
          <w:rFonts w:eastAsia="TimesNewRomanPSMT"/>
        </w:rPr>
        <w:t>увеличение оборота товаров и услуг, предоставляемых малыми и средними предприятиями.</w:t>
      </w:r>
    </w:p>
    <w:p w:rsidR="00CF0324" w:rsidRDefault="00124A10">
      <w:pPr>
        <w:spacing w:line="276" w:lineRule="auto"/>
        <w:ind w:firstLine="708"/>
        <w:jc w:val="both"/>
        <w:rPr>
          <w:rFonts w:eastAsia="TimesNewRomanPSMT"/>
        </w:rPr>
      </w:pPr>
      <w:r>
        <w:rPr>
          <w:rFonts w:eastAsia="TimesNewRomanPSMT"/>
        </w:rPr>
        <w:t>Сильные и слабые стороны Кондинского района с точки зрения оценки перспектив развития малого и среднего предпринимательства, а также потенциальные возможности и угрозы со стороны внешней среды в таблице 6.6.</w:t>
      </w:r>
    </w:p>
    <w:p w:rsidR="00CF0324" w:rsidRDefault="00124A10">
      <w:pPr>
        <w:spacing w:line="276" w:lineRule="auto"/>
        <w:ind w:firstLine="708"/>
        <w:jc w:val="both"/>
        <w:rPr>
          <w:rFonts w:eastAsia="TimesNewRomanPSMT"/>
        </w:rPr>
      </w:pPr>
      <w:r>
        <w:rPr>
          <w:rFonts w:eastAsia="TimesNewRomanPSMT"/>
        </w:rPr>
        <w:t>Достижение поставленной цели может быть обеспечено реализацией следующих приоритетных направлений:</w:t>
      </w:r>
    </w:p>
    <w:p w:rsidR="00CF0324" w:rsidRDefault="00124A10">
      <w:pPr>
        <w:spacing w:line="276" w:lineRule="auto"/>
        <w:ind w:firstLine="708"/>
        <w:jc w:val="both"/>
        <w:rPr>
          <w:rFonts w:eastAsia="TimesNewRomanPSMT"/>
        </w:rPr>
      </w:pPr>
      <w:r>
        <w:rPr>
          <w:rFonts w:eastAsia="TimesNewRomanPSMT"/>
        </w:rPr>
        <w:t>обеспечение стабильных условий ведения предпринимательской деятельности через совершенствование нормативных документов, мониторинга и информационного сопровождения деятельности субъектов малого и среднего предпринимательства, сокращение административных барьеров, обеспечение доступа к объектам инфраструктуры;</w:t>
      </w:r>
    </w:p>
    <w:p w:rsidR="00CF0324" w:rsidRDefault="00124A10">
      <w:pPr>
        <w:spacing w:line="276" w:lineRule="auto"/>
        <w:ind w:firstLine="708"/>
        <w:jc w:val="both"/>
        <w:rPr>
          <w:rFonts w:eastAsia="TimesNewRomanPSMT"/>
        </w:rPr>
      </w:pPr>
      <w:r>
        <w:rPr>
          <w:rFonts w:eastAsia="TimesNewRomanPSMT"/>
        </w:rPr>
        <w:t>укрепление позиций малого бизнеса в приоритетных для района видах экономической деятельности за счет стимулирования интеграции с крупными предприятиями, в том числе за счет заключения офсетных контрактов, развития механизмов субконтрактации, поддержки кластерных инициатив, других форм интеграции и партнерств;</w:t>
      </w:r>
    </w:p>
    <w:p w:rsidR="00CF0324" w:rsidRDefault="00124A10">
      <w:pPr>
        <w:spacing w:line="276" w:lineRule="auto"/>
        <w:ind w:firstLine="708"/>
        <w:jc w:val="both"/>
        <w:rPr>
          <w:rFonts w:eastAsia="TimesNewRomanPSMT"/>
        </w:rPr>
      </w:pPr>
      <w:r>
        <w:rPr>
          <w:rFonts w:eastAsia="TimesNewRomanPSMT"/>
        </w:rPr>
        <w:t>содействие развитию кадрового потенциала предпринимательства – повышению уровня знаний, информированности будущих и действующих субъектов предпринимательской деятельности;</w:t>
      </w:r>
    </w:p>
    <w:p w:rsidR="00CF0324" w:rsidRDefault="00124A10">
      <w:pPr>
        <w:spacing w:line="276" w:lineRule="auto"/>
        <w:ind w:firstLine="708"/>
        <w:jc w:val="both"/>
        <w:rPr>
          <w:rFonts w:eastAsia="TimesNewRomanPSMT"/>
        </w:rPr>
      </w:pPr>
      <w:r>
        <w:rPr>
          <w:rFonts w:eastAsia="TimesNewRomanPSMT"/>
        </w:rPr>
        <w:lastRenderedPageBreak/>
        <w:t>содействие продвижению производимых предпринимателями товаров и услуг на региональные, национальные и международные рынки;</w:t>
      </w:r>
    </w:p>
    <w:p w:rsidR="00CF0324" w:rsidRDefault="00124A10">
      <w:pPr>
        <w:spacing w:line="276" w:lineRule="auto"/>
        <w:ind w:firstLine="708"/>
        <w:jc w:val="both"/>
        <w:rPr>
          <w:rFonts w:eastAsia="TimesNewRomanPSMT"/>
        </w:rPr>
      </w:pPr>
      <w:r>
        <w:rPr>
          <w:rFonts w:eastAsia="TimesNewRomanPSMT"/>
        </w:rPr>
        <w:t>реализация специальных программ поддержки социального, инновационного и молодежного предпринимательства.</w:t>
      </w:r>
    </w:p>
    <w:p w:rsidR="00CF0324" w:rsidRDefault="00124A10">
      <w:pPr>
        <w:spacing w:line="276" w:lineRule="auto"/>
        <w:ind w:firstLine="708"/>
        <w:jc w:val="both"/>
        <w:rPr>
          <w:lang w:eastAsia="en-US"/>
        </w:rPr>
      </w:pPr>
      <w:r>
        <w:rPr>
          <w:rFonts w:eastAsia="TimesNewRomanPSMT"/>
          <w:lang w:eastAsia="en-US"/>
        </w:rPr>
        <w:t xml:space="preserve">В развитии малого и среднего предпринимательства приоритетными для Кондинского района являются все виды бизнеса, как лесозаготовки и деревообработка, малоэтажное жилищное строительство; оказание транспортных услуг; сервисное обслуживание оборудования; производство продуктов питания; </w:t>
      </w:r>
      <w:r>
        <w:rPr>
          <w:lang w:eastAsia="en-US"/>
        </w:rPr>
        <w:t>заготовка и переработка дикоросов; вылов и переработка рыбы, туристический бизнес, социальное предпринимательство, креативные индустрии и др.</w:t>
      </w:r>
    </w:p>
    <w:p w:rsidR="00CF0324" w:rsidRDefault="00CF0324">
      <w:pPr>
        <w:spacing w:line="360" w:lineRule="auto"/>
        <w:jc w:val="both"/>
        <w:rPr>
          <w:rFonts w:eastAsia="TimesNewRomanPSMT"/>
        </w:rPr>
        <w:sectPr w:rsidR="00CF0324">
          <w:pgSz w:w="11906" w:h="16838"/>
          <w:pgMar w:top="1134" w:right="851" w:bottom="1134" w:left="1701" w:header="709" w:footer="709"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6.6.</w:t>
      </w:r>
    </w:p>
    <w:p w:rsidR="00CF0324" w:rsidRDefault="00124A10">
      <w:pPr>
        <w:spacing w:line="360" w:lineRule="auto"/>
        <w:jc w:val="center"/>
        <w:rPr>
          <w:rFonts w:eastAsia="TimesNewRomanPSMT"/>
        </w:rPr>
      </w:pPr>
      <w:r>
        <w:rPr>
          <w:rFonts w:eastAsia="TimesNewRomanPSMT"/>
        </w:rPr>
        <w:t>Матрица SWOT-анализа условий для развития малого и среднего предпринимательства Кондинского района в долгосрочной перспективе</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55"/>
        <w:gridCol w:w="6945"/>
      </w:tblGrid>
      <w:tr w:rsidR="00CF0324">
        <w:trPr>
          <w:trHeight w:val="77"/>
        </w:trPr>
        <w:tc>
          <w:tcPr>
            <w:tcW w:w="7655" w:type="dxa"/>
            <w:shd w:val="clear" w:color="auto" w:fill="C0C0C0"/>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6945" w:type="dxa"/>
            <w:shd w:val="clear" w:color="auto" w:fill="C0C0C0"/>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5108"/>
        </w:trPr>
        <w:tc>
          <w:tcPr>
            <w:tcW w:w="7655" w:type="dxa"/>
          </w:tcPr>
          <w:p w:rsidR="00CF0324" w:rsidRDefault="00124A10">
            <w:pPr>
              <w:spacing w:line="276" w:lineRule="auto"/>
              <w:jc w:val="both"/>
              <w:rPr>
                <w:rFonts w:eastAsia="TimesNewRomanPSMT"/>
              </w:rPr>
            </w:pPr>
            <w:r>
              <w:rPr>
                <w:rFonts w:eastAsia="TimesNewRomanPSMT"/>
              </w:rPr>
              <w:t>-наличие природных ресурсов;</w:t>
            </w:r>
          </w:p>
          <w:p w:rsidR="00CF0324" w:rsidRDefault="00124A10">
            <w:pPr>
              <w:spacing w:line="276" w:lineRule="auto"/>
              <w:jc w:val="both"/>
              <w:rPr>
                <w:rFonts w:eastAsia="TimesNewRomanPSMT"/>
              </w:rPr>
            </w:pPr>
            <w:r>
              <w:rPr>
                <w:rFonts w:eastAsia="TimesNewRomanPSMT"/>
              </w:rPr>
              <w:t>-наличие неудовлетворенного спроса на товары и услуги;</w:t>
            </w:r>
          </w:p>
          <w:p w:rsidR="00CF0324" w:rsidRDefault="00124A10">
            <w:pPr>
              <w:spacing w:line="276" w:lineRule="auto"/>
              <w:jc w:val="both"/>
              <w:rPr>
                <w:rFonts w:eastAsia="TimesNewRomanPSMT"/>
              </w:rPr>
            </w:pPr>
            <w:r>
              <w:rPr>
                <w:rFonts w:eastAsia="TimesNewRomanPSMT"/>
              </w:rPr>
              <w:t>-наличие финансовых и страховых институтов;</w:t>
            </w:r>
          </w:p>
          <w:p w:rsidR="00CF0324" w:rsidRDefault="00124A10">
            <w:pPr>
              <w:spacing w:line="276" w:lineRule="auto"/>
              <w:jc w:val="both"/>
              <w:rPr>
                <w:rFonts w:eastAsia="TimesNewRomanPSMT"/>
              </w:rPr>
            </w:pPr>
            <w:r>
              <w:rPr>
                <w:rFonts w:eastAsia="TimesNewRomanPSMT"/>
              </w:rPr>
              <w:t>-наличие объектов коммунальной, транспортной и социальной инфраструктуры;</w:t>
            </w:r>
          </w:p>
          <w:p w:rsidR="00CF0324" w:rsidRDefault="00124A10">
            <w:pPr>
              <w:spacing w:line="276" w:lineRule="auto"/>
              <w:jc w:val="both"/>
              <w:rPr>
                <w:rFonts w:eastAsia="TimesNewRomanPSMT"/>
              </w:rPr>
            </w:pPr>
            <w:r>
              <w:rPr>
                <w:rFonts w:eastAsia="TimesNewRomanPSMT"/>
              </w:rPr>
              <w:t>-наличие объектов культурного наследия и рекреационных ресурсов для развития туризма;</w:t>
            </w:r>
          </w:p>
          <w:p w:rsidR="00CF0324" w:rsidRDefault="00124A10">
            <w:pPr>
              <w:spacing w:line="276" w:lineRule="auto"/>
              <w:jc w:val="both"/>
              <w:rPr>
                <w:rFonts w:eastAsia="TimesNewRomanPSMT"/>
              </w:rPr>
            </w:pPr>
            <w:r>
              <w:rPr>
                <w:rFonts w:eastAsia="TimesNewRomanPSMT"/>
              </w:rPr>
              <w:t>-наличие трудовых ресурсов;</w:t>
            </w:r>
          </w:p>
          <w:p w:rsidR="00CF0324" w:rsidRDefault="00124A10">
            <w:pPr>
              <w:spacing w:line="276" w:lineRule="auto"/>
              <w:jc w:val="both"/>
              <w:rPr>
                <w:rFonts w:eastAsia="TimesNewRomanPSMT"/>
              </w:rPr>
            </w:pPr>
            <w:r>
              <w:rPr>
                <w:rFonts w:eastAsia="TimesNewRomanPSMT"/>
              </w:rPr>
              <w:t>-наличие</w:t>
            </w:r>
            <w:r>
              <w:t xml:space="preserve"> </w:t>
            </w:r>
            <w:r>
              <w:rPr>
                <w:rFonts w:eastAsia="TimesNewRomanPSMT"/>
              </w:rPr>
              <w:t xml:space="preserve">муниципальной программы: </w:t>
            </w:r>
            <w:r>
              <w:t>«Развитие малого и среднего предпринимательства».</w:t>
            </w:r>
          </w:p>
          <w:p w:rsidR="00CF0324" w:rsidRDefault="00CF0324">
            <w:pPr>
              <w:spacing w:line="276" w:lineRule="auto"/>
              <w:jc w:val="both"/>
              <w:rPr>
                <w:rFonts w:eastAsia="TimesNewRomanPSMT"/>
              </w:rPr>
            </w:pPr>
          </w:p>
        </w:tc>
        <w:tc>
          <w:tcPr>
            <w:tcW w:w="6945" w:type="dxa"/>
          </w:tcPr>
          <w:p w:rsidR="00CF0324" w:rsidRDefault="00124A10">
            <w:pPr>
              <w:spacing w:line="276" w:lineRule="auto"/>
              <w:jc w:val="both"/>
              <w:rPr>
                <w:rFonts w:eastAsia="TimesNewRomanPSMT"/>
              </w:rPr>
            </w:pPr>
            <w:r>
              <w:rPr>
                <w:rFonts w:eastAsia="TimesNewRomanPSMT"/>
              </w:rPr>
              <w:t>-суровые природно-климатические условия;</w:t>
            </w:r>
          </w:p>
          <w:p w:rsidR="00CF0324" w:rsidRDefault="00124A10">
            <w:pPr>
              <w:spacing w:line="276" w:lineRule="auto"/>
              <w:jc w:val="both"/>
              <w:rPr>
                <w:rFonts w:eastAsia="TimesNewRomanPSMT"/>
              </w:rPr>
            </w:pPr>
            <w:r>
              <w:rPr>
                <w:rFonts w:eastAsia="TimesNewRomanPSMT"/>
              </w:rPr>
              <w:t>-неразвитая транспортная инфраструктура и низкие темпы ее развития;</w:t>
            </w:r>
          </w:p>
          <w:p w:rsidR="00CF0324" w:rsidRDefault="00124A10">
            <w:pPr>
              <w:spacing w:line="276" w:lineRule="auto"/>
              <w:jc w:val="both"/>
              <w:rPr>
                <w:rFonts w:eastAsia="TimesNewRomanPSMT"/>
              </w:rPr>
            </w:pPr>
            <w:r>
              <w:rPr>
                <w:rFonts w:eastAsia="TimesNewRomanPSMT"/>
              </w:rPr>
              <w:t>-неизученный спрос населения на товары и услуги;</w:t>
            </w:r>
          </w:p>
          <w:p w:rsidR="00CF0324" w:rsidRDefault="00124A10">
            <w:pPr>
              <w:spacing w:line="276" w:lineRule="auto"/>
              <w:jc w:val="both"/>
              <w:rPr>
                <w:rFonts w:eastAsia="TimesNewRomanPSMT"/>
              </w:rPr>
            </w:pPr>
            <w:r>
              <w:rPr>
                <w:rFonts w:eastAsia="TimesNewRomanPSMT"/>
              </w:rPr>
              <w:t>-высокая степень физического и морального износа основных фондов, устаревшие технологии;</w:t>
            </w:r>
          </w:p>
          <w:p w:rsidR="00CF0324" w:rsidRDefault="00124A10">
            <w:pPr>
              <w:spacing w:line="276" w:lineRule="auto"/>
              <w:jc w:val="both"/>
              <w:rPr>
                <w:rFonts w:eastAsia="TimesNewRomanPSMT"/>
                <w:bCs/>
              </w:rPr>
            </w:pPr>
            <w:r>
              <w:rPr>
                <w:rFonts w:eastAsia="TimesNewRomanPSMT"/>
              </w:rPr>
              <w:t>-ресурсные ограничения (рост цен, тарифов, ставок арендной платы);</w:t>
            </w:r>
          </w:p>
          <w:p w:rsidR="00CF0324" w:rsidRDefault="00124A10">
            <w:pPr>
              <w:spacing w:line="276" w:lineRule="auto"/>
              <w:jc w:val="both"/>
              <w:rPr>
                <w:rFonts w:eastAsia="TimesNewRomanPSMT"/>
                <w:bCs/>
              </w:rPr>
            </w:pPr>
            <w:r>
              <w:rPr>
                <w:rFonts w:eastAsia="TimesNewRomanPSMT"/>
              </w:rPr>
              <w:t>-недостаток квалифицированных кадров;</w:t>
            </w:r>
          </w:p>
          <w:p w:rsidR="00CF0324" w:rsidRDefault="00124A10">
            <w:pPr>
              <w:spacing w:line="276" w:lineRule="auto"/>
              <w:jc w:val="both"/>
              <w:rPr>
                <w:rFonts w:eastAsia="TimesNewRomanPSMT"/>
                <w:bCs/>
              </w:rPr>
            </w:pPr>
            <w:r>
              <w:rPr>
                <w:rFonts w:eastAsia="TimesNewRomanPSMT"/>
              </w:rPr>
              <w:t>-использование неэффективных стратегий управления, в том числе маркетинговых.</w:t>
            </w:r>
          </w:p>
        </w:tc>
      </w:tr>
      <w:tr w:rsidR="00CF0324">
        <w:trPr>
          <w:trHeight w:val="288"/>
        </w:trPr>
        <w:tc>
          <w:tcPr>
            <w:tcW w:w="7655"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6945"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655" w:type="dxa"/>
          </w:tcPr>
          <w:p w:rsidR="00CF0324" w:rsidRDefault="00124A10">
            <w:pPr>
              <w:jc w:val="both"/>
              <w:rPr>
                <w:rFonts w:eastAsia="TimesNewRomanPSMT"/>
              </w:rPr>
            </w:pPr>
            <w:r>
              <w:rPr>
                <w:rFonts w:eastAsia="TimesNewRomanPSMT"/>
              </w:rPr>
              <w:t xml:space="preserve">-возможности обучения и привлечения финансовых ресурсов на стадии становления бизнеса используя единую платформу Мой Бизнес </w:t>
            </w:r>
            <w:hyperlink r:id="rId44" w:history="1">
              <w:r>
                <w:rPr>
                  <w:rStyle w:val="af"/>
                  <w:rFonts w:eastAsia="TimesNewRomanPSMT"/>
                </w:rPr>
                <w:t>https://www.бизнесюгры.рф/</w:t>
              </w:r>
            </w:hyperlink>
          </w:p>
          <w:p w:rsidR="00CF0324" w:rsidRDefault="00CF0324">
            <w:pPr>
              <w:jc w:val="both"/>
              <w:rPr>
                <w:rFonts w:eastAsia="TimesNewRomanPSMT"/>
              </w:rPr>
            </w:pPr>
          </w:p>
          <w:p w:rsidR="00CF0324" w:rsidRDefault="00124A10">
            <w:pPr>
              <w:jc w:val="both"/>
              <w:rPr>
                <w:rFonts w:eastAsia="TimesNewRomanPSMT"/>
              </w:rPr>
            </w:pPr>
            <w:r>
              <w:rPr>
                <w:rFonts w:eastAsia="TimesNewRomanPSMT"/>
              </w:rPr>
              <w:t xml:space="preserve"> </w:t>
            </w:r>
          </w:p>
        </w:tc>
        <w:tc>
          <w:tcPr>
            <w:tcW w:w="6945" w:type="dxa"/>
          </w:tcPr>
          <w:p w:rsidR="00CF0324" w:rsidRDefault="00124A10">
            <w:pPr>
              <w:jc w:val="both"/>
              <w:rPr>
                <w:rFonts w:eastAsia="TimesNewRomanPSMT"/>
              </w:rPr>
            </w:pPr>
            <w:r>
              <w:rPr>
                <w:rFonts w:eastAsia="TimesNewRomanPSMT"/>
              </w:rPr>
              <w:t>-макроэкономическая нестабильность;</w:t>
            </w:r>
          </w:p>
          <w:p w:rsidR="00CF0324" w:rsidRDefault="00124A10">
            <w:pPr>
              <w:jc w:val="both"/>
              <w:rPr>
                <w:rFonts w:eastAsia="TimesNewRomanPSMT"/>
              </w:rPr>
            </w:pPr>
            <w:r>
              <w:rPr>
                <w:rFonts w:eastAsia="TimesNewRomanPSMT"/>
              </w:rPr>
              <w:t>-увеличение налоговой нагрузки;</w:t>
            </w:r>
          </w:p>
          <w:p w:rsidR="00CF0324" w:rsidRDefault="00124A10">
            <w:pPr>
              <w:jc w:val="both"/>
              <w:rPr>
                <w:rFonts w:eastAsia="TimesNewRomanPSMT"/>
              </w:rPr>
            </w:pPr>
            <w:r>
              <w:rPr>
                <w:rFonts w:eastAsia="TimesNewRomanPSMT"/>
              </w:rPr>
              <w:t>-вывоз населением денежных средств в Тюменскую и Свердловскую области, в г. Урай;</w:t>
            </w:r>
          </w:p>
          <w:p w:rsidR="00CF0324" w:rsidRDefault="00124A10">
            <w:pPr>
              <w:jc w:val="both"/>
              <w:rPr>
                <w:rFonts w:eastAsia="TimesNewRomanPSMT"/>
              </w:rPr>
            </w:pPr>
            <w:r>
              <w:rPr>
                <w:rFonts w:eastAsia="TimesNewRomanPSMT"/>
              </w:rPr>
              <w:t xml:space="preserve">-обострение конкуренции между муниципальными образованиями Ханты - Мансийского автономного округа – Югры </w:t>
            </w:r>
          </w:p>
          <w:p w:rsidR="00CF0324" w:rsidRDefault="00124A10">
            <w:pPr>
              <w:jc w:val="both"/>
              <w:rPr>
                <w:rFonts w:eastAsia="TimesNewRomanPSMT"/>
              </w:rPr>
            </w:pPr>
            <w:r>
              <w:rPr>
                <w:rFonts w:eastAsia="TimesNewRomanPSMT"/>
              </w:rPr>
              <w:t>Экономические санкции в отношении Российской Федерации.</w:t>
            </w:r>
          </w:p>
        </w:tc>
      </w:tr>
    </w:tbl>
    <w:p w:rsidR="00CF0324" w:rsidRDefault="00CF0324">
      <w:pPr>
        <w:spacing w:line="360" w:lineRule="auto"/>
        <w:jc w:val="both"/>
        <w:rPr>
          <w:rFonts w:eastAsia="TimesNewRomanPSMT"/>
        </w:rPr>
        <w:sectPr w:rsidR="00CF0324">
          <w:pgSz w:w="16838" w:h="11906" w:orient="landscape"/>
          <w:pgMar w:top="1701" w:right="1134" w:bottom="851" w:left="1134" w:header="709" w:footer="709" w:gutter="0"/>
          <w:cols w:space="708"/>
          <w:docGrid w:linePitch="360"/>
        </w:sectPr>
      </w:pPr>
    </w:p>
    <w:p w:rsidR="00CF0324" w:rsidRDefault="00124A10">
      <w:pPr>
        <w:pStyle w:val="afff1"/>
      </w:pPr>
      <w:bookmarkStart w:id="55" w:name="_Toc53"/>
      <w:r>
        <w:lastRenderedPageBreak/>
        <w:t>6.6. ИНФОРМАЦИОННОЕ ОБЩЕСТВО</w:t>
      </w:r>
      <w:bookmarkEnd w:id="55"/>
    </w:p>
    <w:p w:rsidR="00CF0324" w:rsidRDefault="00124A10">
      <w:pPr>
        <w:spacing w:line="276" w:lineRule="auto"/>
        <w:ind w:firstLine="709"/>
        <w:jc w:val="both"/>
      </w:pPr>
      <w:r>
        <w:t>Основная концепция формирования информационного общества в Кондинском районе – создание условий для развития общества знаний, повышение благосостояния и качества жизни жителей района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и муниципальных услуг для граждан.</w:t>
      </w:r>
    </w:p>
    <w:p w:rsidR="00CF0324" w:rsidRDefault="00124A10">
      <w:pPr>
        <w:widowControl w:val="0"/>
        <w:tabs>
          <w:tab w:val="left" w:pos="993"/>
        </w:tabs>
        <w:spacing w:line="276" w:lineRule="auto"/>
        <w:ind w:firstLine="709"/>
        <w:jc w:val="both"/>
        <w:rPr>
          <w:lang w:eastAsia="en-US"/>
        </w:rPr>
      </w:pPr>
      <w:r>
        <w:rPr>
          <w:rFonts w:eastAsia="Calibri"/>
        </w:rPr>
        <w:t xml:space="preserve">Приоритетной задачей политики района является обеспечение </w:t>
      </w:r>
      <w:r>
        <w:t>информационной доступности, доступности социальных услуг для жителей малых и средних поселений на островных территориях района.</w:t>
      </w:r>
    </w:p>
    <w:p w:rsidR="00CF0324" w:rsidRDefault="00124A10">
      <w:pPr>
        <w:widowControl w:val="0"/>
        <w:tabs>
          <w:tab w:val="left" w:pos="993"/>
        </w:tabs>
        <w:spacing w:line="276" w:lineRule="auto"/>
        <w:ind w:firstLine="709"/>
        <w:jc w:val="both"/>
        <w:rPr>
          <w:lang w:eastAsia="en-US"/>
        </w:rPr>
      </w:pPr>
      <w:r>
        <w:rPr>
          <w:rFonts w:eastAsia="Calibri"/>
        </w:rPr>
        <w:t>Для достижения поставленной цели необходимо решить ряд задач:</w:t>
      </w:r>
    </w:p>
    <w:p w:rsidR="00CF0324" w:rsidRDefault="00124A10">
      <w:pPr>
        <w:widowControl w:val="0"/>
        <w:tabs>
          <w:tab w:val="left" w:pos="993"/>
        </w:tabs>
        <w:spacing w:line="276" w:lineRule="auto"/>
        <w:ind w:firstLine="709"/>
        <w:jc w:val="both"/>
        <w:rPr>
          <w:lang w:eastAsia="en-US"/>
        </w:rPr>
      </w:pPr>
      <w:r>
        <w:rPr>
          <w:lang w:eastAsia="en-US"/>
        </w:rPr>
        <w:t xml:space="preserve">формирование информационного пространства с учетом потребностей граждан и общества в получении качественных и достоверных сведений; </w:t>
      </w:r>
    </w:p>
    <w:p w:rsidR="00CF0324" w:rsidRDefault="00124A10">
      <w:pPr>
        <w:widowControl w:val="0"/>
        <w:tabs>
          <w:tab w:val="left" w:pos="993"/>
        </w:tabs>
        <w:spacing w:line="276" w:lineRule="auto"/>
        <w:ind w:firstLine="709"/>
        <w:jc w:val="both"/>
        <w:rPr>
          <w:lang w:eastAsia="en-US"/>
        </w:rPr>
      </w:pPr>
      <w:r>
        <w:rPr>
          <w:lang w:eastAsia="en-US"/>
        </w:rPr>
        <w:t>формирование у граждан ответственного отношения к использованию информационных технологий;</w:t>
      </w:r>
    </w:p>
    <w:p w:rsidR="00CF0324" w:rsidRDefault="00124A10">
      <w:pPr>
        <w:widowControl w:val="0"/>
        <w:tabs>
          <w:tab w:val="left" w:pos="993"/>
        </w:tabs>
        <w:spacing w:line="276" w:lineRule="auto"/>
        <w:ind w:firstLine="709"/>
        <w:jc w:val="both"/>
        <w:rPr>
          <w:lang w:eastAsia="en-US"/>
        </w:rPr>
      </w:pPr>
      <w:r>
        <w:t>развитие и сопровождение инфраструктуры электронного правительства;</w:t>
      </w:r>
    </w:p>
    <w:p w:rsidR="00CF0324" w:rsidRDefault="00124A10">
      <w:pPr>
        <w:spacing w:line="276" w:lineRule="auto"/>
        <w:ind w:firstLine="709"/>
        <w:jc w:val="both"/>
      </w:pPr>
      <w:r>
        <w:rPr>
          <w:lang w:eastAsia="en-US"/>
        </w:rPr>
        <w:t xml:space="preserve">оптимизация затрат на внедрение и использование </w:t>
      </w:r>
      <w:r>
        <w:t>информационно-телекоммуникационных технологий</w:t>
      </w:r>
      <w:r>
        <w:rPr>
          <w:lang w:eastAsia="en-US"/>
        </w:rPr>
        <w:t>.</w:t>
      </w:r>
    </w:p>
    <w:p w:rsidR="00CF0324" w:rsidRDefault="00124A10">
      <w:pPr>
        <w:pStyle w:val="afff1"/>
      </w:pPr>
      <w:bookmarkStart w:id="56" w:name="_Toc54"/>
      <w:r>
        <w:t>6.7. ТУРИЗМ</w:t>
      </w:r>
      <w:bookmarkEnd w:id="56"/>
    </w:p>
    <w:p w:rsidR="00CF0324" w:rsidRDefault="00124A10">
      <w:pPr>
        <w:spacing w:line="276" w:lineRule="auto"/>
        <w:ind w:firstLine="708"/>
        <w:jc w:val="both"/>
      </w:pPr>
      <w:r>
        <w:t>Стратегической целью развития туризма является комплексное развитие внутреннего и въездного туризма в Кондинский район за счет создания условий для формирования и продвижения качественного туристского продукта на внутреннем туристском рынке Югры, обеспечение доступности туристских услуг, отдыха и оздоровления для граждан.</w:t>
      </w:r>
    </w:p>
    <w:p w:rsidR="00CF0324" w:rsidRDefault="00124A10">
      <w:pPr>
        <w:spacing w:line="276" w:lineRule="auto"/>
        <w:ind w:firstLine="708"/>
        <w:jc w:val="both"/>
      </w:pPr>
      <w:r>
        <w:t>Приоритетные виды туризма: сельский туризм, этнографический туризм</w:t>
      </w:r>
    </w:p>
    <w:p w:rsidR="00CF0324" w:rsidRDefault="00124A10">
      <w:pPr>
        <w:spacing w:line="276" w:lineRule="auto"/>
        <w:jc w:val="both"/>
      </w:pPr>
      <w:r>
        <w:t>экологический туризм, автомобильный туризм.</w:t>
      </w:r>
    </w:p>
    <w:p w:rsidR="00CF0324" w:rsidRDefault="00124A10">
      <w:pPr>
        <w:spacing w:line="276" w:lineRule="auto"/>
        <w:ind w:firstLine="708"/>
        <w:jc w:val="both"/>
        <w:rPr>
          <w:b/>
        </w:rPr>
      </w:pPr>
      <w:r>
        <w:rPr>
          <w:rFonts w:eastAsia="TimesNewRomanPSMT"/>
        </w:rPr>
        <w:t>Достижение поставленной цели предполагает решение следующих задач:</w:t>
      </w:r>
      <w:r>
        <w:rPr>
          <w:b/>
        </w:rPr>
        <w:t xml:space="preserve"> </w:t>
      </w:r>
    </w:p>
    <w:p w:rsidR="00CF0324" w:rsidRDefault="00124A10">
      <w:pPr>
        <w:spacing w:line="276" w:lineRule="auto"/>
        <w:ind w:firstLine="708"/>
        <w:jc w:val="both"/>
      </w:pPr>
      <w:r>
        <w:t>удовлетворение потребности населения в отдыхе, впечатлениях и личностном развитии;</w:t>
      </w:r>
    </w:p>
    <w:p w:rsidR="00CF0324" w:rsidRDefault="00124A10">
      <w:pPr>
        <w:spacing w:line="276" w:lineRule="auto"/>
        <w:ind w:firstLine="708"/>
        <w:jc w:val="both"/>
        <w:rPr>
          <w:rFonts w:eastAsia="TimesNewRomanPSMT"/>
          <w:iCs/>
        </w:rPr>
      </w:pPr>
      <w:r>
        <w:t xml:space="preserve">создание современной туристической инфраструктуры в районе, </w:t>
      </w:r>
      <w:r>
        <w:rPr>
          <w:rFonts w:eastAsia="TimesNewRomanPSMT"/>
          <w:iCs/>
        </w:rPr>
        <w:t>туристско-рекреационных пространств, а также инфраструктуры сопутствующих услуг (комплексы малоэтажных строений для размещения туристов, зоны активного отдыха, автостоянки, кафе, вольеры для лошадей и др.);</w:t>
      </w:r>
    </w:p>
    <w:p w:rsidR="00CF0324" w:rsidRDefault="00124A10">
      <w:pPr>
        <w:spacing w:line="276" w:lineRule="auto"/>
        <w:ind w:firstLine="708"/>
        <w:jc w:val="both"/>
      </w:pPr>
      <w:r>
        <w:rPr>
          <w:rFonts w:eastAsia="TimesNewRomanPSMT"/>
          <w:iCs/>
        </w:rPr>
        <w:t>развитие сопутствующей инфраструктуры (</w:t>
      </w:r>
      <w:r>
        <w:t>придорожный сервис, кемпинги, зоны отдыха, парковки для туристского транспорта и другое);</w:t>
      </w:r>
    </w:p>
    <w:p w:rsidR="00CF0324" w:rsidRDefault="00124A10">
      <w:pPr>
        <w:spacing w:line="276" w:lineRule="auto"/>
        <w:ind w:firstLine="708"/>
        <w:jc w:val="both"/>
      </w:pPr>
      <w:r>
        <w:t>повышение доступности туризма для населения, обеспечение необходимого разнообразия через формирование туристского продукта с учетом половозрастных, этнических, религиозных и иных особенностей населения;</w:t>
      </w:r>
    </w:p>
    <w:p w:rsidR="00CF0324" w:rsidRDefault="00124A10">
      <w:pPr>
        <w:spacing w:line="276" w:lineRule="auto"/>
        <w:ind w:firstLine="708"/>
        <w:jc w:val="both"/>
      </w:pPr>
      <w:r>
        <w:t>продвижение туристических продуктов района с использованием маркетинговых стратегий, построенных на технологиях изучения и предсказания потребительских предпочтений и др.;</w:t>
      </w:r>
    </w:p>
    <w:p w:rsidR="00CF0324" w:rsidRDefault="00124A10">
      <w:pPr>
        <w:spacing w:line="276" w:lineRule="auto"/>
        <w:ind w:firstLine="708"/>
        <w:jc w:val="both"/>
      </w:pPr>
      <w:r>
        <w:lastRenderedPageBreak/>
        <w:t>разработка системы поддержки мастеров народных художественных промыслов, формирующих привлекательность туристских территорий;</w:t>
      </w:r>
    </w:p>
    <w:p w:rsidR="00CF0324" w:rsidRDefault="00124A10">
      <w:pPr>
        <w:spacing w:line="276" w:lineRule="auto"/>
        <w:ind w:firstLine="708"/>
        <w:jc w:val="both"/>
      </w:pPr>
      <w:r>
        <w:t>обустройство экологических троп и туристских маршрутов, смотровых площадок, мест наблюдения за дикими животными.</w:t>
      </w:r>
    </w:p>
    <w:p w:rsidR="00CF0324" w:rsidRDefault="00124A10">
      <w:pPr>
        <w:spacing w:line="276" w:lineRule="auto"/>
        <w:ind w:firstLine="708"/>
        <w:jc w:val="both"/>
      </w:pPr>
      <w:r>
        <w:t>Для достижения цели Стратегии необходимо выявить потенциал соответствия туристского продукта ожиданиям целевых аудиторий, выбрать направления, дающие наибольший вклад в развитие территории района, развитие которой неразрывно связано с туристским продуктом, и создать условия для заинтересованности бизнеса в развитии туризма. Далее сфокусировать усилия, ресурсы и меры поддержки на развитии туристских территорий, повышая их инвестиционную привлекательность и улучшая условия для вложения в туристский бизнес и внедрить комплексный подход к планированию развития туристических территорий.</w:t>
      </w:r>
    </w:p>
    <w:p w:rsidR="00CF0324" w:rsidRDefault="00124A10">
      <w:pPr>
        <w:spacing w:line="276" w:lineRule="auto"/>
        <w:ind w:firstLine="708"/>
        <w:jc w:val="both"/>
      </w:pPr>
      <w:r>
        <w:t>Для создания конкурентоспособного туристского продукта Кондинского района требуется разработка Мастер-плана по развитию туристической привлекательности в отношении всей или части туристской территории, которую войдут точки притяжения, места локализации коллективных средств размещения, зоны объектов вспомогательной и транспортной инфраструктуры, обеспечивающие развитие туристской территории, и иные зоны, способствующие развитию туристической территории.</w:t>
      </w:r>
    </w:p>
    <w:p w:rsidR="00CF0324" w:rsidRDefault="00124A10">
      <w:pPr>
        <w:pStyle w:val="afff1"/>
      </w:pPr>
      <w:bookmarkStart w:id="57" w:name="_Toc55"/>
      <w:r>
        <w:t>6.8. РАЗВИТИЕ БРЕНДА ТЕРРИТОРИИ КОНДИНСКОГО РАЙОНА</w:t>
      </w:r>
      <w:bookmarkEnd w:id="57"/>
    </w:p>
    <w:p w:rsidR="00CF0324" w:rsidRDefault="00124A10">
      <w:pPr>
        <w:pStyle w:val="afe"/>
        <w:shd w:val="clear" w:color="auto" w:fill="FFFFFF"/>
        <w:spacing w:before="0" w:beforeAutospacing="0" w:after="0" w:afterAutospacing="0" w:line="276" w:lineRule="auto"/>
        <w:ind w:firstLine="708"/>
        <w:jc w:val="both"/>
        <w:rPr>
          <w:color w:val="17181A"/>
        </w:rPr>
      </w:pPr>
      <w:r>
        <w:t>Стратегической целью развития территориального бренда Кондинского района</w:t>
      </w:r>
      <w:r>
        <w:rPr>
          <w:rStyle w:val="16"/>
        </w:rPr>
        <w:footnoteReference w:id="48"/>
      </w:r>
      <w:r>
        <w:t xml:space="preserve"> является </w:t>
      </w:r>
      <w:r>
        <w:rPr>
          <w:color w:val="17181A"/>
        </w:rPr>
        <w:t>узнаваемость Кондинского района, как комфортной территории для жизни, незабываемого туризма, эффективного инвестирования, среди муниципалитетов Югры, России.</w:t>
      </w:r>
    </w:p>
    <w:p w:rsidR="00CF0324" w:rsidRDefault="00124A10">
      <w:pPr>
        <w:spacing w:line="276" w:lineRule="auto"/>
        <w:ind w:firstLine="708"/>
        <w:jc w:val="both"/>
        <w:rPr>
          <w:b/>
        </w:rPr>
      </w:pPr>
      <w:r>
        <w:rPr>
          <w:rFonts w:eastAsia="TimesNewRomanPSMT"/>
        </w:rPr>
        <w:t>Достижение поставленной цели предполагает решение следующих задач:</w:t>
      </w:r>
      <w:r>
        <w:rPr>
          <w:b/>
        </w:rPr>
        <w:t xml:space="preserve"> </w:t>
      </w:r>
    </w:p>
    <w:p w:rsidR="00CF0324" w:rsidRDefault="00124A10">
      <w:pPr>
        <w:spacing w:line="276" w:lineRule="auto"/>
        <w:ind w:firstLine="708"/>
        <w:jc w:val="both"/>
      </w:pPr>
      <w:r>
        <w:t>создание бренд - платформы Кондинского района для позиционирования бренда Кондинского района в рамках традиционных (событийных, исторических, туристических, спортивных, медийных, гастрономических) и новых мероприятий: фестиваль туризма, кондинская рыбалка, гастрономический фестиваль и др.;</w:t>
      </w:r>
    </w:p>
    <w:p w:rsidR="00CF0324" w:rsidRDefault="00124A10">
      <w:pPr>
        <w:spacing w:line="276" w:lineRule="auto"/>
        <w:ind w:firstLine="708"/>
        <w:jc w:val="both"/>
      </w:pPr>
      <w:r>
        <w:t>создание сувенирной продукции с использованием фирменного стиля Кондинского района, вовлечение творческих граждан, индивидуальных предпринимателей и самозанятых для производства и реализации сувенирной продукции;</w:t>
      </w:r>
    </w:p>
    <w:p w:rsidR="00CF0324" w:rsidRDefault="00124A10">
      <w:pPr>
        <w:spacing w:line="276" w:lineRule="auto"/>
        <w:ind w:firstLine="708"/>
        <w:jc w:val="both"/>
      </w:pPr>
      <w:r>
        <w:rPr>
          <w:color w:val="17181A"/>
        </w:rPr>
        <w:t>сбор информации о народных и художественных промыслах, достопримечательностях района;</w:t>
      </w:r>
    </w:p>
    <w:p w:rsidR="00CF0324" w:rsidRDefault="00124A10">
      <w:pPr>
        <w:spacing w:line="276" w:lineRule="auto"/>
        <w:ind w:firstLine="708"/>
        <w:jc w:val="both"/>
      </w:pPr>
      <w:r>
        <w:t>создание арт-объектов с использованием элементов бренда в общественных пространствах населенных пунктов района;</w:t>
      </w:r>
    </w:p>
    <w:p w:rsidR="00CF0324" w:rsidRDefault="00124A10">
      <w:pPr>
        <w:ind w:firstLine="708"/>
        <w:jc w:val="both"/>
      </w:pPr>
      <w:r>
        <w:t>благоустройство населенных пунктов района с элементами айдентики, дизайна бренда территории;</w:t>
      </w:r>
    </w:p>
    <w:p w:rsidR="00CF0324" w:rsidRDefault="00124A10">
      <w:pPr>
        <w:ind w:firstLine="540"/>
        <w:jc w:val="both"/>
      </w:pPr>
      <w:r>
        <w:t>увеличение количества граждан, идентифицирующих себя с Кондинским районом и подписанных на официальные аккаунты в социальных сетях.</w:t>
      </w:r>
    </w:p>
    <w:p w:rsidR="00CF0324" w:rsidRDefault="00CF0324">
      <w:pPr>
        <w:pStyle w:val="afff1"/>
      </w:pPr>
    </w:p>
    <w:p w:rsidR="00CF0324" w:rsidRDefault="00124A10">
      <w:pPr>
        <w:pStyle w:val="afff1"/>
      </w:pPr>
      <w:bookmarkStart w:id="58" w:name="_Toc56"/>
      <w:r>
        <w:br w:type="page" w:clear="all"/>
      </w:r>
      <w:r>
        <w:lastRenderedPageBreak/>
        <w:t xml:space="preserve">РАЗДЕЛ 7. ОСНОВНЫЕ НАПРАВЛЕНИЯ И ПРИОРИТЕТЫ КАДРОВОГО ОБЕСПЕЧЕНИЯ ЭКОНОМИКИ КОНДИНСКОГО РАЙОНА </w:t>
      </w:r>
      <w:r>
        <w:rPr>
          <w:bCs/>
        </w:rPr>
        <w:t>ХАНТЫ-МАНСИЙСКОГО АВТОНОМНОГО ОКРУГА-ЮГРЫ</w:t>
      </w:r>
      <w:r>
        <w:t xml:space="preserve"> НА ПЕРИОД ДО 2036 ГОДА</w:t>
      </w:r>
      <w:bookmarkEnd w:id="58"/>
    </w:p>
    <w:p w:rsidR="00CF0324" w:rsidRDefault="00124A10">
      <w:pPr>
        <w:pStyle w:val="afff1"/>
      </w:pPr>
      <w:bookmarkStart w:id="59" w:name="_Toc57"/>
      <w:r>
        <w:t>7.1. Рынок труда и занятость населения</w:t>
      </w:r>
      <w:bookmarkEnd w:id="59"/>
    </w:p>
    <w:p w:rsidR="00CF0324" w:rsidRDefault="00124A10">
      <w:pPr>
        <w:spacing w:line="276" w:lineRule="auto"/>
        <w:ind w:firstLine="708"/>
        <w:jc w:val="both"/>
        <w:rPr>
          <w:iCs/>
        </w:rPr>
      </w:pPr>
      <w:r>
        <w:rPr>
          <w:bCs/>
          <w:iCs/>
        </w:rPr>
        <w:t>Стратегической целью в</w:t>
      </w:r>
      <w:r>
        <w:rPr>
          <w:b/>
          <w:bCs/>
          <w:iCs/>
        </w:rPr>
        <w:t xml:space="preserve"> </w:t>
      </w:r>
      <w:r>
        <w:rPr>
          <w:bCs/>
          <w:iCs/>
        </w:rPr>
        <w:t xml:space="preserve">сфере труда и занятости населения Кондинского района </w:t>
      </w:r>
      <w:r>
        <w:rPr>
          <w:iCs/>
        </w:rPr>
        <w:t>является развитие рынка труда, соответствующего потребностям экономики и обеспечивающего высокий уровень занятости и доходов работающих.</w:t>
      </w:r>
    </w:p>
    <w:p w:rsidR="00CF0324" w:rsidRDefault="00124A10">
      <w:pPr>
        <w:spacing w:line="276" w:lineRule="auto"/>
        <w:ind w:firstLine="708"/>
        <w:jc w:val="both"/>
        <w:rPr>
          <w:iCs/>
        </w:rPr>
      </w:pPr>
      <w:r>
        <w:rPr>
          <w:iCs/>
        </w:rPr>
        <w:t>Достижение цели предполагает решение следующих задач</w:t>
      </w:r>
      <w:r>
        <w:rPr>
          <w:b/>
          <w:iCs/>
        </w:rPr>
        <w:t>:</w:t>
      </w:r>
      <w:r>
        <w:rPr>
          <w:iCs/>
        </w:rPr>
        <w:t xml:space="preserve"> </w:t>
      </w:r>
      <w:r>
        <w:rPr>
          <w:rFonts w:eastAsia="TimesNewRomanPSMT"/>
        </w:rPr>
        <w:t>стимулирование спроса на рабочую силу и устранение диспропорций на рынке труда;</w:t>
      </w:r>
      <w:r>
        <w:rPr>
          <w:iCs/>
        </w:rPr>
        <w:t xml:space="preserve"> </w:t>
      </w:r>
      <w:r>
        <w:rPr>
          <w:rFonts w:eastAsia="TimesNewRomanPSMT"/>
        </w:rPr>
        <w:t>повышение производительности труда в реальном секторе экономики и сфере услуг;</w:t>
      </w:r>
      <w:r>
        <w:rPr>
          <w:iCs/>
        </w:rPr>
        <w:t xml:space="preserve"> </w:t>
      </w:r>
      <w:r>
        <w:rPr>
          <w:rFonts w:eastAsia="TimesNewRomanPSMT"/>
        </w:rPr>
        <w:t>совершенствование системы профессиональной подготовки и переподготовки кадров.</w:t>
      </w:r>
    </w:p>
    <w:p w:rsidR="00CF0324" w:rsidRDefault="00124A10">
      <w:pPr>
        <w:spacing w:line="276" w:lineRule="auto"/>
        <w:ind w:firstLine="708"/>
        <w:jc w:val="both"/>
        <w:rPr>
          <w:b/>
        </w:rPr>
      </w:pPr>
      <w:r>
        <w:rPr>
          <w:rFonts w:eastAsia="TimesNewRomanPSMT"/>
        </w:rPr>
        <w:t>Достижение поставленной цели в сфере труда и обеспечения занятости населения на перспективу, обеспечивающими улучшение ситуации на рынке труда предполагает решение следующих задач:</w:t>
      </w:r>
      <w:r>
        <w:rPr>
          <w:b/>
        </w:rPr>
        <w:t xml:space="preserve"> </w:t>
      </w:r>
    </w:p>
    <w:p w:rsidR="00CF0324" w:rsidRDefault="00124A10">
      <w:pPr>
        <w:spacing w:line="276" w:lineRule="auto"/>
        <w:ind w:firstLine="708"/>
        <w:jc w:val="both"/>
        <w:rPr>
          <w:rFonts w:eastAsia="TimesNewRomanPSMT"/>
        </w:rPr>
      </w:pPr>
      <w:r>
        <w:rPr>
          <w:rFonts w:eastAsia="TimesNewRomanPSMT"/>
        </w:rPr>
        <w:t>развитие малого и среднего предпринимательства, обеспечивающего занятость и доходы населения;</w:t>
      </w:r>
    </w:p>
    <w:p w:rsidR="00CF0324" w:rsidRDefault="00124A10">
      <w:pPr>
        <w:spacing w:line="276" w:lineRule="auto"/>
        <w:ind w:firstLine="708"/>
        <w:jc w:val="both"/>
        <w:rPr>
          <w:rFonts w:eastAsia="TimesNewRomanPSMT"/>
        </w:rPr>
      </w:pPr>
      <w:r>
        <w:rPr>
          <w:rFonts w:eastAsia="TimesNewRomanPSMT"/>
        </w:rPr>
        <w:t>содействие модернизации и автоматизации существующих производств и производственных процессов с целью роста производительности труда;</w:t>
      </w:r>
    </w:p>
    <w:p w:rsidR="00CF0324" w:rsidRDefault="00124A10">
      <w:pPr>
        <w:spacing w:line="276" w:lineRule="auto"/>
        <w:ind w:firstLine="708"/>
        <w:jc w:val="both"/>
        <w:rPr>
          <w:rFonts w:eastAsia="TimesNewRomanPSMT"/>
        </w:rPr>
      </w:pPr>
      <w:r>
        <w:rPr>
          <w:rFonts w:eastAsia="TimesNewRomanPSMT"/>
        </w:rPr>
        <w:t>создание новых рабочих мест;</w:t>
      </w:r>
    </w:p>
    <w:p w:rsidR="00CF0324" w:rsidRDefault="00124A10">
      <w:pPr>
        <w:spacing w:line="276" w:lineRule="auto"/>
        <w:ind w:firstLine="708"/>
        <w:jc w:val="both"/>
        <w:rPr>
          <w:rFonts w:eastAsia="TimesNewRomanPSMT"/>
        </w:rPr>
      </w:pPr>
      <w:r>
        <w:rPr>
          <w:rFonts w:eastAsia="TimesNewRomanPSMT"/>
        </w:rPr>
        <w:t>создание условий для повышения мобильности населения, привлечения необходимых трудовых ресурсов из других территорий и регионов, минимизация оттока местных трудовых ресурсов;</w:t>
      </w:r>
    </w:p>
    <w:p w:rsidR="00CF0324" w:rsidRDefault="00124A10">
      <w:pPr>
        <w:spacing w:line="276" w:lineRule="auto"/>
        <w:ind w:firstLine="708"/>
        <w:jc w:val="both"/>
        <w:rPr>
          <w:rFonts w:eastAsia="TimesNewRomanPSMT"/>
        </w:rPr>
      </w:pPr>
      <w:r>
        <w:rPr>
          <w:rFonts w:eastAsia="TimesNewRomanPSMT"/>
        </w:rPr>
        <w:t xml:space="preserve">развитие системы профессиональной ориентации через </w:t>
      </w:r>
      <w:r>
        <w:t xml:space="preserve">открытые уроки «Проектория», «Уроки настоящего» и </w:t>
      </w:r>
      <w:r>
        <w:rPr>
          <w:rFonts w:eastAsia="TimesNewRomanPSMT"/>
        </w:rPr>
        <w:t>проведение «Ярмарок вакансий», «Дней открытых дверей» и встреч с представителями высших и средних специальных учебных заведений и другие мероприятия;</w:t>
      </w:r>
    </w:p>
    <w:p w:rsidR="00CF0324" w:rsidRDefault="00124A10">
      <w:pPr>
        <w:spacing w:line="276" w:lineRule="auto"/>
        <w:ind w:firstLine="708"/>
        <w:jc w:val="both"/>
        <w:rPr>
          <w:rFonts w:eastAsia="TimesNewRomanPSMT"/>
        </w:rPr>
      </w:pPr>
      <w:r>
        <w:rPr>
          <w:rFonts w:eastAsia="TimesNewRomanPSMT"/>
        </w:rPr>
        <w:t>развитие системы непрерывного образования населения, переподготовки кадров для экономики района.</w:t>
      </w:r>
    </w:p>
    <w:p w:rsidR="00CF0324" w:rsidRDefault="00124A10">
      <w:pPr>
        <w:pStyle w:val="afff1"/>
      </w:pPr>
      <w:bookmarkStart w:id="60" w:name="_Toc58"/>
      <w:r>
        <w:t>7.2. Кадровое обеспечение социально-экономического развития</w:t>
      </w:r>
      <w:bookmarkEnd w:id="60"/>
    </w:p>
    <w:p w:rsidR="00CF0324" w:rsidRDefault="00124A10">
      <w:pPr>
        <w:spacing w:line="276" w:lineRule="auto"/>
        <w:ind w:firstLine="540"/>
        <w:jc w:val="both"/>
      </w:pPr>
      <w:r>
        <w:rPr>
          <w:bCs/>
          <w:iCs/>
        </w:rPr>
        <w:t>Стратегическую цель в</w:t>
      </w:r>
      <w:r>
        <w:rPr>
          <w:b/>
          <w:bCs/>
          <w:iCs/>
        </w:rPr>
        <w:t xml:space="preserve"> </w:t>
      </w:r>
      <w:r>
        <w:rPr>
          <w:bCs/>
          <w:iCs/>
        </w:rPr>
        <w:t xml:space="preserve">сфере кадрового обеспечения экономики Кондинского района </w:t>
      </w:r>
      <w:r>
        <w:t>планируется</w:t>
      </w:r>
      <w:r>
        <w:rPr>
          <w:bCs/>
          <w:iCs/>
        </w:rPr>
        <w:t xml:space="preserve"> </w:t>
      </w:r>
      <w:r>
        <w:t>реализовать по двум взаимосвязанным целям второго уровня:</w:t>
      </w:r>
    </w:p>
    <w:p w:rsidR="00CF0324" w:rsidRDefault="00124A10">
      <w:pPr>
        <w:spacing w:line="276" w:lineRule="auto"/>
        <w:ind w:firstLine="708"/>
        <w:jc w:val="both"/>
      </w:pPr>
      <w:r>
        <w:t>создание целостной профориентационной среды Кондинского района, обеспечивающей содействие гражданину в профессиональном самоопределении и выборе оптимального вида занятости с учетом его потребностей и возможностей, конъюнктуры рынка труда</w:t>
      </w:r>
    </w:p>
    <w:p w:rsidR="00CF0324" w:rsidRDefault="00124A10">
      <w:pPr>
        <w:spacing w:line="276" w:lineRule="auto"/>
        <w:ind w:firstLine="708"/>
        <w:jc w:val="both"/>
        <w:rPr>
          <w:bCs/>
          <w:iCs/>
        </w:rPr>
      </w:pPr>
      <w:r>
        <w:t>развитие системы образования, переподготовки и среднего профессионального образования на базе бюджетного учреждения ханты – Мансийского автономного округа – Югры «Междуреченский агропромышленный колледж» потребностям экономики Кондинского района.</w:t>
      </w:r>
    </w:p>
    <w:p w:rsidR="00CF0324" w:rsidRDefault="00124A10">
      <w:pPr>
        <w:spacing w:line="276" w:lineRule="auto"/>
        <w:ind w:firstLine="708"/>
        <w:jc w:val="both"/>
        <w:rPr>
          <w:b/>
        </w:rPr>
      </w:pPr>
      <w:r>
        <w:rPr>
          <w:rFonts w:eastAsia="TimesNewRomanPSMT"/>
        </w:rPr>
        <w:t>Достижение поставленной цели предполагает решение следующих задач:</w:t>
      </w:r>
      <w:r>
        <w:rPr>
          <w:b/>
        </w:rPr>
        <w:t xml:space="preserve"> </w:t>
      </w:r>
    </w:p>
    <w:p w:rsidR="00CF0324" w:rsidRDefault="00124A10">
      <w:pPr>
        <w:spacing w:line="276" w:lineRule="auto"/>
        <w:ind w:firstLine="540"/>
        <w:jc w:val="both"/>
      </w:pPr>
      <w:r>
        <w:t>обеспечение межведомственного взаимодействия деятельности субъектов системы профессиональной ориентации и профессионального образования;</w:t>
      </w:r>
    </w:p>
    <w:p w:rsidR="00CF0324" w:rsidRDefault="00124A10">
      <w:pPr>
        <w:spacing w:line="276" w:lineRule="auto"/>
        <w:ind w:firstLine="540"/>
        <w:jc w:val="both"/>
      </w:pPr>
      <w:r>
        <w:lastRenderedPageBreak/>
        <w:t>формирование у детей и молодежи системного представления о необходимости осознанного выбора профессии;</w:t>
      </w:r>
    </w:p>
    <w:p w:rsidR="00CF0324" w:rsidRDefault="00124A10">
      <w:pPr>
        <w:spacing w:line="276" w:lineRule="auto"/>
        <w:ind w:firstLine="540"/>
        <w:jc w:val="both"/>
      </w:pPr>
      <w:r>
        <w:t>обеспечение</w:t>
      </w:r>
      <w:r>
        <w:rPr>
          <w:color w:val="FF0000"/>
        </w:rPr>
        <w:t xml:space="preserve"> </w:t>
      </w:r>
      <w:r>
        <w:t>информационного сопровождения деятельности субъектов системы профессиональной</w:t>
      </w:r>
      <w:r>
        <w:tab/>
        <w:t>ориентации;</w:t>
      </w:r>
    </w:p>
    <w:p w:rsidR="00CF0324" w:rsidRDefault="00124A10">
      <w:pPr>
        <w:spacing w:line="276" w:lineRule="auto"/>
        <w:ind w:firstLine="540"/>
        <w:jc w:val="both"/>
      </w:pPr>
      <w:r>
        <w:t>формирование прогноза потребности в трудовых ресурсах Кондинского района, разработку прогноза баланса трудовых ресурсов Кондинского района;</w:t>
      </w:r>
    </w:p>
    <w:p w:rsidR="00CF0324" w:rsidRDefault="00124A10">
      <w:pPr>
        <w:spacing w:line="276" w:lineRule="auto"/>
        <w:ind w:firstLine="540"/>
        <w:jc w:val="both"/>
      </w:pPr>
      <w:r>
        <w:t>создание инновационной инфраструктуры, современных обучающих технологий на базе бюджетного учреждения Ханты-Мансийского автономного округа – Югры «Междуреченский агропромышленный колледж потребностям экономики Кондинского района;</w:t>
      </w:r>
    </w:p>
    <w:p w:rsidR="00CF0324" w:rsidRDefault="00124A10">
      <w:pPr>
        <w:spacing w:line="276" w:lineRule="auto"/>
        <w:ind w:firstLine="540"/>
        <w:jc w:val="both"/>
      </w:pPr>
      <w:r>
        <w:t>содействие трудоустройству выпускников на предприятиях района;</w:t>
      </w:r>
    </w:p>
    <w:p w:rsidR="00CF0324" w:rsidRDefault="00124A10">
      <w:pPr>
        <w:spacing w:line="276" w:lineRule="auto"/>
        <w:ind w:firstLine="540"/>
        <w:jc w:val="both"/>
      </w:pPr>
      <w:r>
        <w:t>развитие системы переподготовки кадров;</w:t>
      </w:r>
    </w:p>
    <w:p w:rsidR="00CF0324" w:rsidRDefault="00124A10">
      <w:pPr>
        <w:spacing w:line="276" w:lineRule="auto"/>
        <w:ind w:firstLine="540"/>
        <w:jc w:val="both"/>
      </w:pPr>
      <w:r>
        <w:t xml:space="preserve">обеспечение воспроизводства управленческих и педагогических кадров в учреждениях района. </w:t>
      </w:r>
    </w:p>
    <w:p w:rsidR="00CF0324" w:rsidRPr="00124A10" w:rsidRDefault="00124A10">
      <w:pPr>
        <w:pStyle w:val="1"/>
        <w:rPr>
          <w:sz w:val="24"/>
          <w:lang w:val="ru-RU"/>
        </w:rPr>
      </w:pPr>
      <w:bookmarkStart w:id="61" w:name="_Toc59"/>
      <w:r w:rsidRPr="00124A10">
        <w:rPr>
          <w:rFonts w:eastAsia="TimesNewRomanPSMT"/>
          <w:lang w:val="ru-RU"/>
        </w:rPr>
        <w:br w:type="page" w:clear="all"/>
      </w:r>
      <w:r w:rsidRPr="00124A10">
        <w:rPr>
          <w:sz w:val="24"/>
          <w:lang w:val="ru-RU"/>
        </w:rPr>
        <w:lastRenderedPageBreak/>
        <w:t xml:space="preserve">РАЗДЕЛ 8. ОСНОВНЫЕ НАПРАВЛЕНИЯ И ПРИОРИТЕТЫ РАЦИОНАЛЬНОГО ПРИРОДОПОЛЬЗОВАНИЯ И ОБЕСПЕЧЕНИЯ ЭКОЛОГИЧЕСКОЙ БЕЗОПАСНОСТИ КОНДИНСКОГО РАЙОНА </w:t>
      </w:r>
      <w:r w:rsidRPr="00124A10">
        <w:rPr>
          <w:bCs/>
          <w:sz w:val="24"/>
          <w:lang w:val="ru-RU"/>
        </w:rPr>
        <w:t>ХАНТЫ-МАНСИЙСКОГО АВТОНОМНОГО ОКРУГА-ЮГРЫ</w:t>
      </w:r>
      <w:r w:rsidRPr="00124A10">
        <w:rPr>
          <w:sz w:val="24"/>
          <w:lang w:val="ru-RU"/>
        </w:rPr>
        <w:t xml:space="preserve"> НА ПЕРИОД ДО 2036 ГОДА</w:t>
      </w:r>
      <w:bookmarkEnd w:id="61"/>
    </w:p>
    <w:p w:rsidR="00CF0324" w:rsidRDefault="00124A10">
      <w:pPr>
        <w:pStyle w:val="afff1"/>
      </w:pPr>
      <w:bookmarkStart w:id="62" w:name="_Toc60"/>
      <w:r>
        <w:t>8.1. Экологическая политика</w:t>
      </w:r>
      <w:bookmarkEnd w:id="62"/>
    </w:p>
    <w:p w:rsidR="00CF0324" w:rsidRDefault="00124A10">
      <w:pPr>
        <w:spacing w:line="276" w:lineRule="auto"/>
        <w:ind w:firstLine="708"/>
        <w:jc w:val="both"/>
        <w:rPr>
          <w:rFonts w:eastAsia="TimesNewRomanPSMT"/>
          <w:iCs/>
        </w:rPr>
      </w:pPr>
      <w:r>
        <w:rPr>
          <w:rFonts w:eastAsia="TimesNewRomanPSMT"/>
          <w:iCs/>
        </w:rPr>
        <w:t>Стратегической целью экологической политики Кондинского района является обеспечение сохранение благоприятной окружающей среды и обеспечение экологической безопасности</w:t>
      </w:r>
      <w:r>
        <w:t xml:space="preserve"> для комфортной жизни населения</w:t>
      </w:r>
      <w:r>
        <w:rPr>
          <w:rFonts w:eastAsia="TimesNewRomanPSMT"/>
          <w:iCs/>
        </w:rPr>
        <w:t xml:space="preserve">, экологически ориентированного роста местной экономики, </w:t>
      </w:r>
      <w:r>
        <w:t>не истощительное природопользование и охрана объектов природного наследия.</w:t>
      </w:r>
    </w:p>
    <w:p w:rsidR="00CF0324" w:rsidRDefault="00124A10">
      <w:pPr>
        <w:spacing w:line="276" w:lineRule="auto"/>
        <w:ind w:firstLine="708"/>
        <w:jc w:val="both"/>
        <w:rPr>
          <w:rFonts w:eastAsia="TimesNewRomanPSMT"/>
          <w:iCs/>
        </w:rPr>
      </w:pPr>
      <w:r>
        <w:rPr>
          <w:rFonts w:eastAsia="TimesNewRomanPSMT"/>
          <w:iCs/>
        </w:rPr>
        <w:t xml:space="preserve">Для достижения указанной цели должно быть обеспечено решение следующих задач: </w:t>
      </w:r>
    </w:p>
    <w:p w:rsidR="00CF0324" w:rsidRDefault="00124A10">
      <w:pPr>
        <w:spacing w:line="276" w:lineRule="auto"/>
        <w:ind w:firstLine="708"/>
        <w:jc w:val="both"/>
        <w:rPr>
          <w:rFonts w:eastAsia="TimesNewRomanPSMT"/>
          <w:iCs/>
        </w:rPr>
      </w:pPr>
      <w:r>
        <w:t>ликвидация накопленного вреда окружающей среде вследствие хозяйственной и другой деятельности (ликвидация свалок, очистка водоемов и др.);</w:t>
      </w:r>
    </w:p>
    <w:p w:rsidR="00CF0324" w:rsidRDefault="00124A10">
      <w:pPr>
        <w:spacing w:line="276" w:lineRule="auto"/>
        <w:ind w:firstLine="708"/>
        <w:jc w:val="both"/>
        <w:rPr>
          <w:rFonts w:eastAsia="TimesNewRomanPSMT"/>
          <w:iCs/>
        </w:rPr>
      </w:pPr>
      <w:r>
        <w:rPr>
          <w:rFonts w:eastAsia="TimesNewRomanPSMT"/>
          <w:iCs/>
        </w:rPr>
        <w:t>снижение уровня негативного антропогенного воздействия на окружающую среду (снижение вредных выбросов в атмосферу);</w:t>
      </w:r>
    </w:p>
    <w:p w:rsidR="00CF0324" w:rsidRDefault="00124A10">
      <w:pPr>
        <w:spacing w:line="276" w:lineRule="auto"/>
        <w:ind w:firstLine="708"/>
        <w:jc w:val="both"/>
        <w:rPr>
          <w:rFonts w:eastAsia="TimesNewRomanPSMT"/>
          <w:iCs/>
        </w:rPr>
      </w:pPr>
      <w:r>
        <w:rPr>
          <w:rFonts w:eastAsia="TimesNewRomanPSMT"/>
          <w:iCs/>
        </w:rPr>
        <w:t xml:space="preserve">повышение эффективности использования природных ресурсов, развитие природно-ресурсного потенциала (развитие «зеленой» экономики); </w:t>
      </w:r>
    </w:p>
    <w:p w:rsidR="00CF0324" w:rsidRDefault="00124A10">
      <w:pPr>
        <w:spacing w:line="276" w:lineRule="auto"/>
        <w:ind w:firstLine="708"/>
        <w:jc w:val="both"/>
        <w:rPr>
          <w:rFonts w:eastAsia="TimesNewRomanPSMT"/>
          <w:iCs/>
        </w:rPr>
      </w:pPr>
      <w:r>
        <w:rPr>
          <w:rFonts w:eastAsia="TimesNewRomanPSMT"/>
          <w:iCs/>
        </w:rPr>
        <w:t>сохранение естественных природных экосистем, объектов животного и растительного мира;</w:t>
      </w:r>
    </w:p>
    <w:p w:rsidR="00CF0324" w:rsidRDefault="00124A10">
      <w:pPr>
        <w:spacing w:line="276" w:lineRule="auto"/>
        <w:ind w:firstLine="708"/>
        <w:jc w:val="both"/>
        <w:rPr>
          <w:rFonts w:eastAsia="TimesNewRomanPSMT"/>
          <w:iCs/>
        </w:rPr>
      </w:pPr>
      <w:r>
        <w:rPr>
          <w:rFonts w:eastAsia="TimesNewRomanPSMT"/>
          <w:iCs/>
        </w:rPr>
        <w:t>формирование экологической культуры поведения населения;</w:t>
      </w:r>
    </w:p>
    <w:p w:rsidR="00CF0324" w:rsidRDefault="00124A10">
      <w:pPr>
        <w:spacing w:line="276" w:lineRule="auto"/>
        <w:ind w:firstLine="708"/>
        <w:jc w:val="both"/>
        <w:rPr>
          <w:rFonts w:eastAsia="TimesNewRomanPSMT"/>
          <w:iCs/>
        </w:rPr>
      </w:pPr>
      <w:r>
        <w:rPr>
          <w:rFonts w:eastAsia="TimesNewRomanPSMT"/>
          <w:iCs/>
        </w:rPr>
        <w:t xml:space="preserve">сокращение потерь лесного хозяйства от пожаров (в том числе: проведение мероприятий по уходу за созданными объектами противопожарного обустройства (разрывами, минерализованными полосами) вокруг населённых пунктов с целью предупреждения возникновения и распространения лесных пожаров; </w:t>
      </w:r>
    </w:p>
    <w:p w:rsidR="00CF0324" w:rsidRDefault="00124A10">
      <w:pPr>
        <w:spacing w:line="276" w:lineRule="auto"/>
        <w:ind w:firstLine="708"/>
        <w:jc w:val="both"/>
        <w:rPr>
          <w:rFonts w:eastAsia="TimesNewRomanPSMT"/>
          <w:iCs/>
        </w:rPr>
      </w:pPr>
      <w:r>
        <w:rPr>
          <w:rFonts w:eastAsia="TimesNewRomanPSMT"/>
          <w:iCs/>
        </w:rPr>
        <w:t>выполнение работ по мониторингу пожарной опасности в лесах с целью своевременного обнаружения лесных пожаров и их ликвидации в начальной стадии развития; социальная пропаганда защиты лесов от пожаров)</w:t>
      </w:r>
    </w:p>
    <w:p w:rsidR="00CF0324" w:rsidRDefault="00124A10">
      <w:pPr>
        <w:ind w:firstLine="540"/>
        <w:jc w:val="both"/>
      </w:pPr>
      <w:r>
        <w:t>переход к развитию экологически чистых производств ("зеленой" экономике), практике внедрения инновационных ресурсосберегающих, экологически безопасных технологий производства;</w:t>
      </w:r>
    </w:p>
    <w:p w:rsidR="00CF0324" w:rsidRDefault="00124A10">
      <w:pPr>
        <w:ind w:firstLine="540"/>
        <w:jc w:val="both"/>
      </w:pPr>
      <w:r>
        <w:t>проведение адаптационных мероприятий по негативному влиянию изменения климата на окружающую среду.</w:t>
      </w:r>
    </w:p>
    <w:p w:rsidR="00CF0324" w:rsidRDefault="00124A10">
      <w:pPr>
        <w:spacing w:line="276" w:lineRule="auto"/>
        <w:ind w:firstLine="708"/>
        <w:jc w:val="both"/>
        <w:rPr>
          <w:rFonts w:eastAsia="TimesNewRomanPSMT"/>
          <w:iCs/>
        </w:rPr>
      </w:pPr>
      <w:r>
        <w:rPr>
          <w:rFonts w:eastAsia="TimesNewRomanPSMT"/>
          <w:iCs/>
        </w:rPr>
        <w:t xml:space="preserve">Приоритетными направлениями работы, обеспечивающими достижение стратегической цели, должны стать: </w:t>
      </w:r>
    </w:p>
    <w:p w:rsidR="00CF0324" w:rsidRDefault="00124A10">
      <w:pPr>
        <w:spacing w:line="276" w:lineRule="auto"/>
        <w:ind w:firstLine="708"/>
        <w:jc w:val="both"/>
        <w:rPr>
          <w:rFonts w:eastAsia="TimesNewRomanPSMT"/>
          <w:iCs/>
        </w:rPr>
      </w:pPr>
      <w:r>
        <w:rPr>
          <w:rFonts w:eastAsia="TimesNewRomanPSMT"/>
          <w:iCs/>
        </w:rPr>
        <w:t xml:space="preserve">обеспечение на территории района государственного экологического надзора, мониторинг потенциально опасных объектов (в частности, сети АЗС, котельные, автотранспортные средства); </w:t>
      </w:r>
    </w:p>
    <w:p w:rsidR="00CF0324" w:rsidRDefault="00124A10">
      <w:pPr>
        <w:spacing w:line="276" w:lineRule="auto"/>
        <w:ind w:firstLine="708"/>
        <w:jc w:val="both"/>
        <w:rPr>
          <w:rFonts w:eastAsia="TimesNewRomanPSMT"/>
          <w:iCs/>
        </w:rPr>
      </w:pPr>
      <w:r>
        <w:rPr>
          <w:rFonts w:eastAsia="TimesNewRomanPSMT"/>
          <w:iCs/>
        </w:rPr>
        <w:t xml:space="preserve">осуществление государственной и общественной экспертизы проектов экологически опасных объектов; </w:t>
      </w:r>
    </w:p>
    <w:p w:rsidR="00CF0324" w:rsidRDefault="00124A10">
      <w:pPr>
        <w:spacing w:line="276" w:lineRule="auto"/>
        <w:ind w:firstLine="708"/>
        <w:jc w:val="both"/>
        <w:rPr>
          <w:rFonts w:eastAsia="TimesNewRomanPSMT"/>
          <w:iCs/>
        </w:rPr>
      </w:pPr>
      <w:r>
        <w:t>обязательный учет экологических вопросов в документах территориального и стратегического планирования;</w:t>
      </w:r>
    </w:p>
    <w:p w:rsidR="00CF0324" w:rsidRDefault="00124A10">
      <w:pPr>
        <w:spacing w:line="276" w:lineRule="auto"/>
        <w:ind w:firstLine="708"/>
        <w:jc w:val="both"/>
        <w:rPr>
          <w:rFonts w:eastAsia="TimesNewRomanPSMT"/>
          <w:iCs/>
        </w:rPr>
      </w:pPr>
      <w:r>
        <w:rPr>
          <w:rFonts w:eastAsia="TimesNewRomanPSMT"/>
          <w:iCs/>
        </w:rPr>
        <w:t xml:space="preserve">повышение эффективности административного регулирования, государственного экологического и санитарно-эпидемиологического контроля; </w:t>
      </w:r>
    </w:p>
    <w:p w:rsidR="00CF0324" w:rsidRDefault="00124A10">
      <w:pPr>
        <w:spacing w:line="276" w:lineRule="auto"/>
        <w:ind w:firstLine="708"/>
        <w:jc w:val="both"/>
        <w:rPr>
          <w:rFonts w:eastAsia="TimesNewRomanPSMT"/>
          <w:iCs/>
        </w:rPr>
      </w:pPr>
      <w:r>
        <w:rPr>
          <w:rFonts w:eastAsia="TimesNewRomanPSMT"/>
          <w:iCs/>
        </w:rPr>
        <w:lastRenderedPageBreak/>
        <w:t>снижение отрицательного воздействия хозяйственной деятельности на окружающую среду за счет применения энергосберегающих технологий;</w:t>
      </w:r>
    </w:p>
    <w:p w:rsidR="00CF0324" w:rsidRDefault="00124A10">
      <w:pPr>
        <w:spacing w:line="276" w:lineRule="auto"/>
        <w:ind w:firstLine="708"/>
        <w:jc w:val="both"/>
        <w:rPr>
          <w:rFonts w:eastAsia="TimesNewRomanPSMT"/>
          <w:iCs/>
        </w:rPr>
      </w:pPr>
      <w:r>
        <w:rPr>
          <w:rFonts w:eastAsia="TimesNewRomanPSMT"/>
          <w:iCs/>
        </w:rPr>
        <w:t xml:space="preserve">охрана и восстановление лесных ресурсов за счет более полного использования расчетных лесосек, увеличения объемов глубокой переработки древесины на основе передовых технологий; </w:t>
      </w:r>
    </w:p>
    <w:p w:rsidR="00CF0324" w:rsidRDefault="00124A10">
      <w:pPr>
        <w:spacing w:line="276" w:lineRule="auto"/>
        <w:ind w:firstLine="708"/>
        <w:jc w:val="both"/>
        <w:rPr>
          <w:rFonts w:eastAsia="TimesNewRomanPSMT"/>
          <w:iCs/>
        </w:rPr>
      </w:pPr>
      <w:r>
        <w:rPr>
          <w:rFonts w:eastAsia="TimesNewRomanPSMT"/>
          <w:iCs/>
        </w:rPr>
        <w:t xml:space="preserve">ликвидация несанкционированных свалок, расширение полигона для размещения ТКО в пгт. Междуреченский; </w:t>
      </w:r>
    </w:p>
    <w:p w:rsidR="00CF0324" w:rsidRDefault="00124A10">
      <w:pPr>
        <w:spacing w:line="276" w:lineRule="auto"/>
        <w:ind w:firstLine="708"/>
        <w:jc w:val="both"/>
        <w:rPr>
          <w:rFonts w:eastAsia="TimesNewRomanPSMT"/>
          <w:iCs/>
        </w:rPr>
      </w:pPr>
      <w:r>
        <w:rPr>
          <w:rFonts w:eastAsia="TimesNewRomanPSMT"/>
          <w:iCs/>
        </w:rPr>
        <w:t>повышение уровня озеленения населенных пунктов района, прежде всего, парков, скверов, площадей, расширение практики проведения экологических акций,</w:t>
      </w:r>
      <w:r>
        <w:t xml:space="preserve"> </w:t>
      </w:r>
      <w:r>
        <w:rPr>
          <w:rFonts w:eastAsia="TimesNewRomanPSMT"/>
          <w:iCs/>
        </w:rPr>
        <w:t>привлечение населения к практическим мероприятиям по наведению чистоты и порядка на территории населенных пунктов и прилегающих к ним территориях;</w:t>
      </w:r>
    </w:p>
    <w:p w:rsidR="00CF0324" w:rsidRDefault="00124A10">
      <w:pPr>
        <w:spacing w:line="276" w:lineRule="auto"/>
        <w:ind w:firstLine="708"/>
        <w:jc w:val="both"/>
        <w:rPr>
          <w:rFonts w:eastAsia="TimesNewRomanPSMT"/>
          <w:iCs/>
        </w:rPr>
      </w:pPr>
      <w:r>
        <w:rPr>
          <w:rFonts w:eastAsia="TimesNewRomanPSMT"/>
          <w:iCs/>
        </w:rPr>
        <w:t>проведение обучающих мероприятий на постоянной основе для дошкольников и школьников о соблюдении чистоты в населенных пунктах, лесах, озерах, местах отдыха;</w:t>
      </w:r>
    </w:p>
    <w:p w:rsidR="00CF0324" w:rsidRDefault="00124A10">
      <w:pPr>
        <w:spacing w:line="276" w:lineRule="auto"/>
        <w:ind w:firstLine="708"/>
        <w:jc w:val="both"/>
        <w:rPr>
          <w:rFonts w:eastAsia="TimesNewRomanPSMT"/>
          <w:iCs/>
        </w:rPr>
      </w:pPr>
      <w:r>
        <w:rPr>
          <w:rFonts w:eastAsia="TimesNewRomanPSMT"/>
          <w:iCs/>
        </w:rPr>
        <w:t xml:space="preserve">обеспечение открытости и доступности информации о рисках для здоровья в связи с воздействием факторов среды обитания; </w:t>
      </w:r>
    </w:p>
    <w:p w:rsidR="00CF0324" w:rsidRDefault="00124A10">
      <w:pPr>
        <w:spacing w:line="276" w:lineRule="auto"/>
        <w:ind w:firstLine="708"/>
        <w:jc w:val="both"/>
        <w:rPr>
          <w:rFonts w:eastAsia="TimesNewRomanPSMT"/>
          <w:iCs/>
        </w:rPr>
      </w:pPr>
      <w:r>
        <w:rPr>
          <w:rFonts w:eastAsia="TimesNewRomanPSMT"/>
          <w:iCs/>
        </w:rPr>
        <w:t>обеспечение населения информацией о состоянии окружающей среды и проводимых на территории района экологических акциях.</w:t>
      </w:r>
    </w:p>
    <w:p w:rsidR="00CF0324" w:rsidRPr="00124A10" w:rsidRDefault="00124A10">
      <w:pPr>
        <w:pStyle w:val="1"/>
        <w:rPr>
          <w:sz w:val="24"/>
          <w:lang w:val="ru-RU"/>
        </w:rPr>
      </w:pPr>
      <w:bookmarkStart w:id="63" w:name="_Toc61"/>
      <w:r w:rsidRPr="00124A10">
        <w:rPr>
          <w:rFonts w:eastAsia="TimesNewRomanPSMT"/>
          <w:iCs/>
          <w:lang w:val="ru-RU"/>
        </w:rPr>
        <w:br w:type="page" w:clear="all"/>
      </w:r>
      <w:r w:rsidRPr="00124A10">
        <w:rPr>
          <w:sz w:val="24"/>
          <w:lang w:val="ru-RU"/>
        </w:rPr>
        <w:lastRenderedPageBreak/>
        <w:t xml:space="preserve">РАЗДЕЛ 9. ОСНОВНЫЕ НАПРАВЛЕНИЯ И ПРИОРИТЕТЫ ПРОСТРАНСТВЕННОГО РАЗВИТИЯ КОНДИНСКОГО РАЙОНА </w:t>
      </w:r>
      <w:r w:rsidRPr="00124A10">
        <w:rPr>
          <w:bCs/>
          <w:sz w:val="24"/>
          <w:lang w:val="ru-RU"/>
        </w:rPr>
        <w:t>ХАНТЫ-МАНСИЙСКОГО АВТОНОМНОГО ОКРУГА-ЮГРЫ</w:t>
      </w:r>
      <w:r w:rsidRPr="00124A10">
        <w:rPr>
          <w:sz w:val="24"/>
          <w:lang w:val="ru-RU"/>
        </w:rPr>
        <w:t xml:space="preserve"> НА ПЕРИОД ДО 2036 ГОДА</w:t>
      </w:r>
      <w:bookmarkEnd w:id="63"/>
    </w:p>
    <w:p w:rsidR="00CF0324" w:rsidRDefault="00124A10">
      <w:pPr>
        <w:pStyle w:val="afff1"/>
      </w:pPr>
      <w:bookmarkStart w:id="64" w:name="_Toc62"/>
      <w:r>
        <w:t>9.1. ПОВЫШЕНИЕ СБАЛАНСИРОВАННОСТИ ТРАНСПОРТНО-ЛОГИСТИЧЕСКОЙ СИСТЕМЫ</w:t>
      </w:r>
      <w:bookmarkEnd w:id="64"/>
    </w:p>
    <w:p w:rsidR="00CF0324" w:rsidRDefault="00124A10">
      <w:pPr>
        <w:spacing w:line="276" w:lineRule="auto"/>
        <w:ind w:firstLine="708"/>
        <w:jc w:val="both"/>
      </w:pPr>
      <w:r>
        <w:t xml:space="preserve">Стратегической целью развития транспортно-логистической системы и транспортного комплекса </w:t>
      </w:r>
      <w:r>
        <w:rPr>
          <w:rFonts w:eastAsia="TimesNewRomanPSMT"/>
          <w:iCs/>
        </w:rPr>
        <w:t>Кондинского района</w:t>
      </w:r>
      <w:r>
        <w:t xml:space="preserve"> является качественное улучшение транспортной доступности территорий района, повышение качества транспортных услуг.</w:t>
      </w:r>
    </w:p>
    <w:p w:rsidR="00CF0324" w:rsidRDefault="00124A10">
      <w:pPr>
        <w:spacing w:line="276" w:lineRule="auto"/>
        <w:ind w:firstLine="708"/>
        <w:jc w:val="both"/>
        <w:rPr>
          <w:rFonts w:eastAsia="TimesNewRomanPSMT"/>
        </w:rPr>
      </w:pPr>
      <w:r>
        <w:rPr>
          <w:rFonts w:eastAsia="TimesNewRomanPSMT"/>
        </w:rPr>
        <w:t xml:space="preserve">Достижение поставленной цели предполагает решение следующих задач: </w:t>
      </w:r>
      <w:r>
        <w:t xml:space="preserve">создание современной транспортной инфраструктуры, в том числе для грузовых перевозок; создание логистических центров; развитие сети пассажирских перевозок; содействие развитию и обеспечению сохранности улично-дорожной сети (внутрипоселковых дорог) </w:t>
      </w:r>
      <w:r>
        <w:rPr>
          <w:rFonts w:eastAsia="TimesNewRomanPSMT"/>
          <w:iCs/>
        </w:rPr>
        <w:t>Кондинского района</w:t>
      </w:r>
      <w:r>
        <w:t>.</w:t>
      </w:r>
    </w:p>
    <w:p w:rsidR="00CF0324" w:rsidRDefault="00124A10">
      <w:pPr>
        <w:spacing w:line="276" w:lineRule="auto"/>
        <w:jc w:val="both"/>
      </w:pPr>
      <w:r>
        <w:rPr>
          <w:b/>
        </w:rPr>
        <w:t>Основными проблемами</w:t>
      </w:r>
      <w:r>
        <w:t xml:space="preserve"> в сфере осуществления пассажирских перевозок являются: </w:t>
      </w:r>
    </w:p>
    <w:p w:rsidR="00CF0324" w:rsidRDefault="00124A10">
      <w:pPr>
        <w:spacing w:line="276" w:lineRule="auto"/>
        <w:jc w:val="both"/>
        <w:rPr>
          <w:b/>
        </w:rPr>
      </w:pPr>
      <w:r>
        <w:rPr>
          <w:b/>
        </w:rPr>
        <w:t>1. Автомобильным транспортом:</w:t>
      </w:r>
    </w:p>
    <w:p w:rsidR="00CF0324" w:rsidRDefault="00124A10">
      <w:pPr>
        <w:spacing w:line="276" w:lineRule="auto"/>
        <w:jc w:val="both"/>
      </w:pPr>
      <w:r>
        <w:t xml:space="preserve"> убыточность перевозок на маршрутах с малым пассажиропотоком;</w:t>
      </w:r>
    </w:p>
    <w:p w:rsidR="00CF0324" w:rsidRDefault="00124A10">
      <w:pPr>
        <w:spacing w:line="276" w:lineRule="auto"/>
        <w:jc w:val="both"/>
      </w:pPr>
      <w:r>
        <w:t xml:space="preserve"> слабые транспортные внутрирайонные и межрайонные связи;</w:t>
      </w:r>
    </w:p>
    <w:p w:rsidR="00CF0324" w:rsidRDefault="00124A10">
      <w:pPr>
        <w:spacing w:line="276" w:lineRule="auto"/>
        <w:jc w:val="both"/>
      </w:pPr>
      <w:r>
        <w:t xml:space="preserve"> низкий уровень обеспеченности территории района дорогами с твердым покрытием (24,6% населения района проживают на территориях, не обеспеченных опорной транспортной сетью).</w:t>
      </w:r>
    </w:p>
    <w:p w:rsidR="00CF0324" w:rsidRDefault="00124A10">
      <w:pPr>
        <w:spacing w:line="276" w:lineRule="auto"/>
        <w:jc w:val="both"/>
        <w:rPr>
          <w:b/>
        </w:rPr>
      </w:pPr>
      <w:r>
        <w:rPr>
          <w:b/>
        </w:rPr>
        <w:t>2. Водным транспортом:</w:t>
      </w:r>
    </w:p>
    <w:p w:rsidR="00CF0324" w:rsidRDefault="00124A10">
      <w:pPr>
        <w:spacing w:line="276" w:lineRule="auto"/>
        <w:jc w:val="both"/>
      </w:pPr>
      <w:r>
        <w:t xml:space="preserve"> значительный износ пассажирских судов;</w:t>
      </w:r>
    </w:p>
    <w:p w:rsidR="00CF0324" w:rsidRDefault="00124A10">
      <w:pPr>
        <w:spacing w:line="276" w:lineRule="auto"/>
        <w:jc w:val="both"/>
      </w:pPr>
      <w:r>
        <w:t xml:space="preserve"> отставание темпов обновления материальной базы флота; </w:t>
      </w:r>
    </w:p>
    <w:p w:rsidR="00CF0324" w:rsidRDefault="00124A10">
      <w:pPr>
        <w:spacing w:line="276" w:lineRule="auto"/>
        <w:jc w:val="both"/>
      </w:pPr>
      <w:r>
        <w:t xml:space="preserve"> низкий уровень качества и безопасности перевозки пассажиров;</w:t>
      </w:r>
    </w:p>
    <w:p w:rsidR="00CF0324" w:rsidRDefault="00124A10">
      <w:pPr>
        <w:spacing w:line="276" w:lineRule="auto"/>
        <w:jc w:val="both"/>
      </w:pPr>
      <w:r>
        <w:t xml:space="preserve"> отсутствие эффективных систем мониторинга выполнения транспортными организациями условий государственных и муниципальных контрактов в части обеспечения безопасности перевозок, исполнения графиков движения судов, загрузки судов, расхода топлива и сбора выручки;</w:t>
      </w:r>
    </w:p>
    <w:p w:rsidR="00CF0324" w:rsidRDefault="00124A10">
      <w:pPr>
        <w:spacing w:line="276" w:lineRule="auto"/>
        <w:jc w:val="both"/>
      </w:pPr>
      <w:r>
        <w:t xml:space="preserve"> убыточность пассажирских перевозок по социальным маршрутам.</w:t>
      </w:r>
    </w:p>
    <w:p w:rsidR="00CF0324" w:rsidRDefault="00124A10">
      <w:pPr>
        <w:spacing w:line="276" w:lineRule="auto"/>
        <w:ind w:firstLine="708"/>
        <w:jc w:val="both"/>
      </w:pPr>
      <w:r>
        <w:t>Степень развития экономики района, ограниченность транспортной доступности его территорий не создают экономических предпосылок для возникновения эффективной транспортной логистики, отсутствие лесовозных дорог является основным сдерживающим фактором развития промышленности. Реализация отдельных направлений данной Стратегии направлена на изменение ситуации.</w:t>
      </w:r>
    </w:p>
    <w:p w:rsidR="00CF0324" w:rsidRDefault="00124A10">
      <w:pPr>
        <w:spacing w:line="276" w:lineRule="auto"/>
        <w:ind w:firstLine="708"/>
        <w:jc w:val="both"/>
      </w:pPr>
      <w:r>
        <w:t xml:space="preserve">Сильные и слабые стороны, возможности и угрозы развитию транспортно-логистической системы </w:t>
      </w:r>
      <w:r>
        <w:rPr>
          <w:rFonts w:eastAsia="TimesNewRomanPSMT"/>
          <w:iCs/>
        </w:rPr>
        <w:t>Кондинского района</w:t>
      </w:r>
      <w:r>
        <w:t xml:space="preserve"> представлены в таблице 9.1.</w:t>
      </w:r>
    </w:p>
    <w:p w:rsidR="00CF0324" w:rsidRDefault="00124A10">
      <w:pPr>
        <w:spacing w:line="276" w:lineRule="auto"/>
        <w:ind w:firstLine="708"/>
        <w:jc w:val="both"/>
        <w:rPr>
          <w:b/>
          <w:lang w:eastAsia="en-US"/>
        </w:rPr>
      </w:pPr>
      <w:r>
        <w:rPr>
          <w:lang w:eastAsia="en-US"/>
        </w:rPr>
        <w:t>В период реализации Стратегии целесообразно реализовывать следующие мероприятия</w:t>
      </w:r>
      <w:r>
        <w:rPr>
          <w:b/>
          <w:lang w:eastAsia="en-US"/>
        </w:rPr>
        <w:t xml:space="preserve"> </w:t>
      </w:r>
      <w:r>
        <w:rPr>
          <w:lang w:eastAsia="en-US"/>
        </w:rPr>
        <w:t xml:space="preserve">по развитию и повышению эффективности транспортно-логистического комплекса </w:t>
      </w:r>
      <w:r>
        <w:rPr>
          <w:rFonts w:eastAsia="TimesNewRomanPSMT"/>
          <w:iCs/>
          <w:lang w:eastAsia="en-US"/>
        </w:rPr>
        <w:t>Кондинского района</w:t>
      </w:r>
      <w:r>
        <w:rPr>
          <w:lang w:eastAsia="en-US"/>
        </w:rPr>
        <w:t>:</w:t>
      </w:r>
      <w:r>
        <w:rPr>
          <w:b/>
          <w:lang w:eastAsia="en-US"/>
        </w:rPr>
        <w:t xml:space="preserve"> </w:t>
      </w:r>
    </w:p>
    <w:p w:rsidR="00CF0324" w:rsidRDefault="00124A10">
      <w:pPr>
        <w:spacing w:line="276" w:lineRule="auto"/>
        <w:ind w:firstLine="708"/>
        <w:jc w:val="both"/>
        <w:rPr>
          <w:lang w:eastAsia="en-US"/>
        </w:rPr>
      </w:pPr>
      <w:r>
        <w:rPr>
          <w:lang w:eastAsia="en-US"/>
        </w:rPr>
        <w:t>в 2027 году завершение строительства автомобильной дороги «Тюмень – Верхняя Тавда – Междуреченский – Урай – Нягань – Приобье» на участке Верхняя Тавда – Куминский (дорога «ЮГРА-ЮГ»);</w:t>
      </w:r>
    </w:p>
    <w:p w:rsidR="00CF0324" w:rsidRDefault="00124A10">
      <w:pPr>
        <w:spacing w:line="276" w:lineRule="auto"/>
        <w:ind w:firstLine="708"/>
        <w:jc w:val="both"/>
        <w:rPr>
          <w:lang w:eastAsia="en-US"/>
        </w:rPr>
      </w:pPr>
      <w:r>
        <w:rPr>
          <w:lang w:eastAsia="en-US"/>
        </w:rPr>
        <w:t>строительство автодорог круглогодового действия с. Болчары – с. Демьянское (60 км) и  пгт. Междуреченский – с. Луговой (16 км);</w:t>
      </w:r>
    </w:p>
    <w:p w:rsidR="00CF0324" w:rsidRDefault="00124A10">
      <w:pPr>
        <w:spacing w:line="276" w:lineRule="auto"/>
        <w:ind w:firstLine="708"/>
        <w:jc w:val="both"/>
        <w:rPr>
          <w:lang w:eastAsia="en-US"/>
        </w:rPr>
      </w:pPr>
      <w:r>
        <w:rPr>
          <w:lang w:eastAsia="en-US"/>
        </w:rPr>
        <w:t>строительство дороги с. Юмас – д. Ямки  (10 км);</w:t>
      </w:r>
    </w:p>
    <w:p w:rsidR="00CF0324" w:rsidRDefault="00124A10">
      <w:pPr>
        <w:spacing w:line="276" w:lineRule="auto"/>
        <w:ind w:firstLine="708"/>
        <w:jc w:val="both"/>
        <w:rPr>
          <w:lang w:eastAsia="en-US"/>
        </w:rPr>
      </w:pPr>
      <w:r>
        <w:rPr>
          <w:lang w:eastAsia="en-US"/>
        </w:rPr>
        <w:lastRenderedPageBreak/>
        <w:t>строительство автомобильной дороги д. Старый Катыш – пгт. Кондинское (34 км).</w:t>
      </w:r>
    </w:p>
    <w:p w:rsidR="00CF0324" w:rsidRDefault="00124A10">
      <w:pPr>
        <w:spacing w:line="276" w:lineRule="auto"/>
        <w:ind w:firstLine="708"/>
        <w:jc w:val="both"/>
        <w:rPr>
          <w:lang w:eastAsia="en-US"/>
        </w:rPr>
      </w:pPr>
      <w:r>
        <w:rPr>
          <w:lang w:eastAsia="en-US"/>
        </w:rPr>
        <w:t>Строительство объектов транспортной инфраструктуры позволит существенным образом улучшить экономические связи и экономику населенных пунктов, обладающих значительным ресурсным потенциалом, но не имеющих выхода на товарные рынки.</w:t>
      </w:r>
    </w:p>
    <w:p w:rsidR="00CF0324" w:rsidRDefault="00124A10">
      <w:pPr>
        <w:spacing w:line="276" w:lineRule="auto"/>
        <w:ind w:firstLine="708"/>
        <w:jc w:val="both"/>
        <w:rPr>
          <w:lang w:eastAsia="en-US"/>
        </w:rPr>
      </w:pPr>
      <w:r>
        <w:rPr>
          <w:lang w:eastAsia="en-US"/>
        </w:rPr>
        <w:t>Оптимизация схемы транспортной доступности населенных пунктов, относящихся к труднодоступным и малонаселенным местностям, возможна за счет</w:t>
      </w:r>
      <w:r>
        <w:t xml:space="preserve"> </w:t>
      </w:r>
      <w:r>
        <w:rPr>
          <w:lang w:eastAsia="en-US"/>
        </w:rPr>
        <w:t>развития малой авиации, обновления внутреннего водного транспорта и использования вездеходной техники типа трэколов и других видов транспорта.</w:t>
      </w:r>
    </w:p>
    <w:p w:rsidR="00CF0324" w:rsidRDefault="00124A10">
      <w:pPr>
        <w:spacing w:line="276" w:lineRule="auto"/>
        <w:jc w:val="both"/>
        <w:rPr>
          <w:b/>
          <w:lang w:eastAsia="en-US"/>
        </w:rPr>
      </w:pPr>
      <w:r>
        <w:rPr>
          <w:b/>
          <w:lang w:eastAsia="en-US"/>
        </w:rPr>
        <w:t xml:space="preserve">1. В части развития и обеспечения сохранности улично-дорожной сети </w:t>
      </w:r>
      <w:r>
        <w:rPr>
          <w:lang w:eastAsia="en-US"/>
        </w:rPr>
        <w:t>Кондинского района</w:t>
      </w:r>
      <w:r>
        <w:rPr>
          <w:b/>
          <w:lang w:eastAsia="en-US"/>
        </w:rPr>
        <w:t>:</w:t>
      </w:r>
    </w:p>
    <w:p w:rsidR="00CF0324" w:rsidRDefault="00124A10">
      <w:pPr>
        <w:spacing w:line="276" w:lineRule="auto"/>
        <w:ind w:firstLine="708"/>
        <w:jc w:val="both"/>
        <w:rPr>
          <w:lang w:eastAsia="en-US"/>
        </w:rPr>
      </w:pPr>
      <w:r>
        <w:rPr>
          <w:lang w:eastAsia="en-US"/>
        </w:rPr>
        <w:t>обеспечение надлежащего содержания автомобильных дорог и мостов общего пользования местного значения в соответствии с требованиями технических регламентов;</w:t>
      </w:r>
    </w:p>
    <w:p w:rsidR="00CF0324" w:rsidRDefault="00124A10">
      <w:pPr>
        <w:spacing w:line="276" w:lineRule="auto"/>
        <w:ind w:firstLine="708"/>
        <w:jc w:val="both"/>
        <w:rPr>
          <w:lang w:eastAsia="en-US"/>
        </w:rPr>
      </w:pPr>
      <w:r>
        <w:rPr>
          <w:lang w:eastAsia="en-US"/>
        </w:rPr>
        <w:t>обеспечение проектирования, реконструкции и капитального ремонта автомобильных дорог общего пользования местного значения</w:t>
      </w:r>
      <w:r>
        <w:t>;</w:t>
      </w:r>
    </w:p>
    <w:p w:rsidR="00CF0324" w:rsidRDefault="00124A10">
      <w:pPr>
        <w:spacing w:line="276" w:lineRule="auto"/>
        <w:ind w:firstLine="708"/>
        <w:jc w:val="both"/>
        <w:rPr>
          <w:lang w:eastAsia="en-US"/>
        </w:rPr>
      </w:pPr>
      <w:r>
        <w:t>приобретение дополнительной дорожно-строительной техники (грейдеры, экскаваторы, грузовые автомобили);</w:t>
      </w:r>
    </w:p>
    <w:p w:rsidR="00CF0324" w:rsidRDefault="00124A10">
      <w:pPr>
        <w:spacing w:line="276" w:lineRule="auto"/>
        <w:ind w:firstLine="708"/>
        <w:jc w:val="both"/>
        <w:rPr>
          <w:lang w:eastAsia="en-US"/>
        </w:rPr>
      </w:pPr>
      <w:r>
        <w:rPr>
          <w:lang w:eastAsia="en-US"/>
        </w:rPr>
        <w:t>обеспечение технического обслуживания, ремонта и установки электрических сетей наружного освещения автомобильных дорог;</w:t>
      </w:r>
    </w:p>
    <w:p w:rsidR="00CF0324" w:rsidRDefault="00124A10">
      <w:pPr>
        <w:spacing w:line="276" w:lineRule="auto"/>
        <w:ind w:firstLine="708"/>
        <w:jc w:val="both"/>
        <w:rPr>
          <w:lang w:eastAsia="en-US"/>
        </w:rPr>
      </w:pPr>
      <w:r>
        <w:rPr>
          <w:lang w:eastAsia="en-US"/>
        </w:rPr>
        <w:t>обеспечение безопасности дорожного движения (установка дорожных знаков, светофоров, нанесение разметки пешеходных переходов на дорожное покрытие, своевременное ямочный ремонт и др.).</w:t>
      </w:r>
    </w:p>
    <w:p w:rsidR="00CF0324" w:rsidRDefault="00124A10">
      <w:pPr>
        <w:spacing w:line="276" w:lineRule="auto"/>
        <w:jc w:val="both"/>
        <w:rPr>
          <w:b/>
          <w:lang w:eastAsia="en-US"/>
        </w:rPr>
      </w:pPr>
      <w:r>
        <w:rPr>
          <w:b/>
        </w:rPr>
        <w:t xml:space="preserve">2. В части </w:t>
      </w:r>
      <w:r>
        <w:rPr>
          <w:b/>
          <w:lang w:eastAsia="en-US"/>
        </w:rPr>
        <w:t>сохранения и развития сети пассажирских перевозок:</w:t>
      </w:r>
    </w:p>
    <w:p w:rsidR="00CF0324" w:rsidRDefault="00124A10">
      <w:pPr>
        <w:spacing w:line="276" w:lineRule="auto"/>
        <w:ind w:firstLine="708"/>
        <w:jc w:val="both"/>
        <w:rPr>
          <w:lang w:eastAsia="en-US"/>
        </w:rPr>
      </w:pPr>
      <w:r>
        <w:rPr>
          <w:lang w:eastAsia="en-US"/>
        </w:rPr>
        <w:t xml:space="preserve">организация новых пассажирских маршрутов внутрирайонного и межрайонного сообщения; </w:t>
      </w:r>
    </w:p>
    <w:p w:rsidR="00CF0324" w:rsidRDefault="00124A10">
      <w:pPr>
        <w:spacing w:line="276" w:lineRule="auto"/>
        <w:ind w:firstLine="708"/>
        <w:jc w:val="both"/>
        <w:rPr>
          <w:lang w:eastAsia="en-US"/>
        </w:rPr>
      </w:pPr>
      <w:r>
        <w:rPr>
          <w:lang w:eastAsia="en-US"/>
        </w:rPr>
        <w:t>субсидирование недополученных доходов организациям-перевозчикам, осуществляющим транспортное обслуживание на социально-значимых маршрутах.</w:t>
      </w:r>
    </w:p>
    <w:p w:rsidR="00CF0324" w:rsidRDefault="00CF0324">
      <w:pPr>
        <w:spacing w:line="276" w:lineRule="auto"/>
        <w:ind w:firstLine="708"/>
        <w:jc w:val="both"/>
        <w:rPr>
          <w:lang w:eastAsia="en-US"/>
        </w:rPr>
      </w:pPr>
    </w:p>
    <w:p w:rsidR="00CF0324" w:rsidRDefault="00CF0324">
      <w:pPr>
        <w:spacing w:line="360" w:lineRule="auto"/>
        <w:jc w:val="both"/>
        <w:sectPr w:rsidR="00CF0324">
          <w:footerReference w:type="even" r:id="rId45"/>
          <w:footerReference w:type="default" r:id="rId46"/>
          <w:pgSz w:w="11906" w:h="16838"/>
          <w:pgMar w:top="1134" w:right="850" w:bottom="1134" w:left="1701" w:header="708" w:footer="708"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9.1.</w:t>
      </w:r>
    </w:p>
    <w:p w:rsidR="00CF0324" w:rsidRDefault="00124A10">
      <w:pPr>
        <w:spacing w:line="360" w:lineRule="auto"/>
        <w:jc w:val="center"/>
        <w:rPr>
          <w:rFonts w:eastAsia="TimesNewRomanPSMT"/>
          <w:iCs/>
        </w:rPr>
      </w:pPr>
      <w:r>
        <w:rPr>
          <w:rFonts w:eastAsia="TimesNewRomanPSMT"/>
        </w:rPr>
        <w:t xml:space="preserve">Матрица SWOT-анализа перспективного развития транспортно-логистического системы </w:t>
      </w:r>
      <w:r>
        <w:rPr>
          <w:rFonts w:eastAsia="TimesNewRomanPSMT"/>
          <w:iCs/>
        </w:rPr>
        <w:t>Кондинского района</w:t>
      </w:r>
    </w:p>
    <w:tbl>
      <w:tblPr>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7569"/>
      </w:tblGrid>
      <w:tr w:rsidR="00CF0324">
        <w:trPr>
          <w:trHeight w:val="77"/>
        </w:trPr>
        <w:tc>
          <w:tcPr>
            <w:tcW w:w="7479" w:type="dxa"/>
            <w:shd w:val="clear" w:color="auto" w:fill="C0C0C0"/>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7569" w:type="dxa"/>
            <w:shd w:val="clear" w:color="auto" w:fill="C0C0C0"/>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1266"/>
        </w:trPr>
        <w:tc>
          <w:tcPr>
            <w:tcW w:w="7479" w:type="dxa"/>
          </w:tcPr>
          <w:p w:rsidR="00CF0324" w:rsidRDefault="00124A10">
            <w:pPr>
              <w:spacing w:line="276" w:lineRule="auto"/>
              <w:jc w:val="both"/>
            </w:pPr>
            <w:r>
              <w:t>-выгодное географическое срединное расположение района на перспективных транспортных направлениях;</w:t>
            </w:r>
          </w:p>
          <w:p w:rsidR="00CF0324" w:rsidRDefault="00124A10">
            <w:pPr>
              <w:spacing w:line="276" w:lineRule="auto"/>
              <w:jc w:val="both"/>
            </w:pPr>
            <w:r>
              <w:t xml:space="preserve">-через территорию </w:t>
            </w:r>
            <w:r>
              <w:rPr>
                <w:rFonts w:eastAsia="TimesNewRomanPSMT"/>
                <w:iCs/>
              </w:rPr>
              <w:t>Кондинского района</w:t>
            </w:r>
            <w:r>
              <w:t xml:space="preserve"> проходят железнодорожный и автомобильные, воздушные и водные маршруты, связывающие район со Свердловской областью, г. Урай, г. Нягань, г. Ханты-Мансийск;</w:t>
            </w:r>
          </w:p>
          <w:p w:rsidR="00CF0324" w:rsidRDefault="00124A10">
            <w:pPr>
              <w:spacing w:line="276" w:lineRule="auto"/>
              <w:jc w:val="both"/>
              <w:rPr>
                <w:lang w:eastAsia="en-US"/>
              </w:rPr>
            </w:pPr>
            <w:r>
              <w:rPr>
                <w:lang w:eastAsia="en-US"/>
              </w:rPr>
              <w:t>-низкая доля протяженности автомобильных дорог общего пользования местного значения (0,64%), не отвечающих нормативным требованиям, в общей протяженности автомобильных дорог общего пользования местного значения.</w:t>
            </w:r>
          </w:p>
        </w:tc>
        <w:tc>
          <w:tcPr>
            <w:tcW w:w="7569" w:type="dxa"/>
          </w:tcPr>
          <w:p w:rsidR="00CF0324" w:rsidRDefault="00124A10">
            <w:pPr>
              <w:spacing w:line="276" w:lineRule="auto"/>
              <w:jc w:val="both"/>
              <w:rPr>
                <w:lang w:eastAsia="en-US"/>
              </w:rPr>
            </w:pPr>
            <w:r>
              <w:rPr>
                <w:lang w:eastAsia="en-US"/>
              </w:rPr>
              <w:t>-отсутствие круглогодичной транспортной доступности у 24,6% населения района;</w:t>
            </w:r>
          </w:p>
          <w:p w:rsidR="00CF0324" w:rsidRDefault="00124A10">
            <w:pPr>
              <w:spacing w:line="276" w:lineRule="auto"/>
              <w:jc w:val="both"/>
              <w:rPr>
                <w:lang w:eastAsia="en-US"/>
              </w:rPr>
            </w:pPr>
            <w:r>
              <w:rPr>
                <w:lang w:eastAsia="en-US"/>
              </w:rPr>
              <w:t>-ограниченность денежных средств на осуществление капитального ремонта дорог общего пользования местного значения;</w:t>
            </w:r>
          </w:p>
          <w:p w:rsidR="00CF0324" w:rsidRDefault="00124A10">
            <w:pPr>
              <w:spacing w:line="276" w:lineRule="auto"/>
              <w:jc w:val="both"/>
              <w:rPr>
                <w:lang w:eastAsia="en-US"/>
              </w:rPr>
            </w:pPr>
            <w:r>
              <w:rPr>
                <w:lang w:eastAsia="en-US"/>
              </w:rPr>
              <w:t>-наличие единственной железнодорожной ветки и неразвитость сеть автомобильных дорог нивелирует экономическую целесообразность строительства транспортно-логистического центра;</w:t>
            </w:r>
          </w:p>
          <w:p w:rsidR="00CF0324" w:rsidRDefault="00124A10">
            <w:pPr>
              <w:spacing w:line="276" w:lineRule="auto"/>
              <w:jc w:val="both"/>
              <w:rPr>
                <w:lang w:eastAsia="en-US"/>
              </w:rPr>
            </w:pPr>
            <w:r>
              <w:rPr>
                <w:lang w:eastAsia="en-US"/>
              </w:rPr>
              <w:t>-отсутствие лесных дорог и источников финансирования для                             их строительства.</w:t>
            </w:r>
          </w:p>
        </w:tc>
      </w:tr>
      <w:tr w:rsidR="00CF0324">
        <w:trPr>
          <w:trHeight w:val="288"/>
        </w:trPr>
        <w:tc>
          <w:tcPr>
            <w:tcW w:w="7479"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7569"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c>
          <w:tcPr>
            <w:tcW w:w="7479" w:type="dxa"/>
          </w:tcPr>
          <w:p w:rsidR="00CF0324" w:rsidRDefault="00124A10">
            <w:pPr>
              <w:spacing w:line="276" w:lineRule="auto"/>
              <w:jc w:val="both"/>
              <w:rPr>
                <w:rFonts w:eastAsia="TimesNewRomanPSMT"/>
              </w:rPr>
            </w:pPr>
            <w:r>
              <w:t>-активизация межрегионального экономического развития за счет ввода в эксплуатацию участка автомобильной дороги Куминский - Верхняя Тавда;</w:t>
            </w:r>
          </w:p>
          <w:p w:rsidR="00CF0324" w:rsidRDefault="00124A10">
            <w:pPr>
              <w:spacing w:line="276" w:lineRule="auto"/>
              <w:jc w:val="both"/>
            </w:pPr>
            <w:r>
              <w:t>-участие в государственной программе «Развитие транспортной системы Ханты-Мансийского автономного округа – Югры».</w:t>
            </w:r>
          </w:p>
          <w:p w:rsidR="00CF0324" w:rsidRDefault="00124A10">
            <w:pPr>
              <w:spacing w:line="276" w:lineRule="auto"/>
              <w:jc w:val="both"/>
            </w:pPr>
            <w:r>
              <w:t>-участие в государственной программе Российской Федерации «Развитие сельских территорий».</w:t>
            </w:r>
          </w:p>
          <w:p w:rsidR="00CF0324" w:rsidRDefault="00CF0324">
            <w:pPr>
              <w:jc w:val="both"/>
            </w:pPr>
          </w:p>
        </w:tc>
        <w:tc>
          <w:tcPr>
            <w:tcW w:w="7569" w:type="dxa"/>
          </w:tcPr>
          <w:p w:rsidR="00CF0324" w:rsidRDefault="00124A10">
            <w:pPr>
              <w:spacing w:line="276" w:lineRule="auto"/>
              <w:jc w:val="both"/>
              <w:rPr>
                <w:rFonts w:eastAsia="TimesNewRomanPSMT"/>
              </w:rPr>
            </w:pPr>
            <w:r>
              <w:rPr>
                <w:rFonts w:eastAsia="TimesNewRomanPSMT"/>
              </w:rPr>
              <w:t>-обострение конкуренции между муниципальными образованиями округа;</w:t>
            </w:r>
          </w:p>
          <w:p w:rsidR="00CF0324" w:rsidRDefault="00124A10">
            <w:pPr>
              <w:spacing w:line="276" w:lineRule="auto"/>
              <w:jc w:val="both"/>
              <w:rPr>
                <w:rFonts w:eastAsia="TimesNewRomanPSMT"/>
              </w:rPr>
            </w:pPr>
            <w:r>
              <w:rPr>
                <w:rFonts w:eastAsia="TimesNewRomanPSMT"/>
              </w:rPr>
              <w:t>-макроэкономическая нестабильность;</w:t>
            </w:r>
          </w:p>
          <w:p w:rsidR="00CF0324" w:rsidRDefault="00124A10">
            <w:pPr>
              <w:spacing w:line="276" w:lineRule="auto"/>
              <w:jc w:val="both"/>
              <w:rPr>
                <w:rFonts w:eastAsia="TimesNewRomanPSMT"/>
              </w:rPr>
            </w:pPr>
            <w:r>
              <w:rPr>
                <w:rFonts w:eastAsia="TimesNewRomanPSMT"/>
              </w:rPr>
              <w:t>-экономические санкции в отношении Российской Федерации;</w:t>
            </w:r>
          </w:p>
          <w:p w:rsidR="00CF0324" w:rsidRDefault="00124A10">
            <w:pPr>
              <w:spacing w:line="276" w:lineRule="auto"/>
              <w:jc w:val="both"/>
              <w:rPr>
                <w:rFonts w:eastAsia="TimesNewRomanPSMT"/>
              </w:rPr>
            </w:pPr>
            <w:r>
              <w:t>-возможное сокращение финансирования (ужесточение требований) муниципальных, региональных и государственных программ в сфере строительства автодорог;</w:t>
            </w:r>
          </w:p>
          <w:p w:rsidR="00CF0324" w:rsidRDefault="00124A10">
            <w:pPr>
              <w:spacing w:line="276" w:lineRule="auto"/>
              <w:jc w:val="both"/>
              <w:rPr>
                <w:rFonts w:eastAsia="TimesNewRomanPSMT"/>
              </w:rPr>
            </w:pPr>
            <w:r>
              <w:t>-неэффективная тарифная политика РЖД.</w:t>
            </w:r>
          </w:p>
        </w:tc>
      </w:tr>
    </w:tbl>
    <w:p w:rsidR="00CF0324" w:rsidRDefault="00CF0324">
      <w:pPr>
        <w:spacing w:line="360" w:lineRule="auto"/>
        <w:jc w:val="both"/>
        <w:rPr>
          <w:b/>
          <w:lang w:eastAsia="en-US"/>
        </w:rPr>
      </w:pPr>
    </w:p>
    <w:p w:rsidR="00CF0324" w:rsidRDefault="00CF0324">
      <w:pPr>
        <w:spacing w:line="360" w:lineRule="auto"/>
        <w:jc w:val="both"/>
        <w:rPr>
          <w:lang w:eastAsia="en-US"/>
        </w:rPr>
        <w:sectPr w:rsidR="00CF0324">
          <w:pgSz w:w="16838" w:h="11906" w:orient="landscape"/>
          <w:pgMar w:top="1701" w:right="1134" w:bottom="851" w:left="1134" w:header="709" w:footer="709" w:gutter="0"/>
          <w:cols w:space="708"/>
          <w:docGrid w:linePitch="360"/>
        </w:sectPr>
      </w:pPr>
    </w:p>
    <w:p w:rsidR="00CF0324" w:rsidRDefault="00124A10">
      <w:pPr>
        <w:spacing w:line="276" w:lineRule="auto"/>
        <w:jc w:val="both"/>
        <w:rPr>
          <w:lang w:eastAsia="en-US"/>
        </w:rPr>
      </w:pPr>
      <w:r>
        <w:rPr>
          <w:b/>
          <w:lang w:eastAsia="en-US"/>
        </w:rPr>
        <w:lastRenderedPageBreak/>
        <w:t>3. В части создания логистических центров</w:t>
      </w:r>
      <w:r>
        <w:rPr>
          <w:lang w:eastAsia="en-US"/>
        </w:rPr>
        <w:t xml:space="preserve"> необходимо использовать опыт создания транспортно-логистических служб других муниципалитетов округа для формирования условий экономической привлекательности транспортной логистики.</w:t>
      </w:r>
    </w:p>
    <w:p w:rsidR="00CF0324" w:rsidRDefault="00124A10">
      <w:pPr>
        <w:spacing w:line="276" w:lineRule="auto"/>
        <w:ind w:firstLine="708"/>
        <w:jc w:val="both"/>
        <w:rPr>
          <w:lang w:eastAsia="en-US"/>
        </w:rPr>
      </w:pPr>
      <w:r>
        <w:rPr>
          <w:lang w:eastAsia="en-US"/>
        </w:rPr>
        <w:t>В рамках этого направления эффективным будет углубление межрегионального сотрудничества со Свердловской и Тюменской областями.</w:t>
      </w:r>
    </w:p>
    <w:p w:rsidR="00CF0324" w:rsidRDefault="00124A10">
      <w:pPr>
        <w:pStyle w:val="afff1"/>
      </w:pPr>
      <w:bookmarkStart w:id="65" w:name="_Toc63"/>
      <w:r>
        <w:t>9.2. ТЕРРИТОРИАЛЬНОЕ ПЛАНИРОВАНИЕ И ГРАДОСТРОИТЕЛЬНОЕ РАЗВИТИЕ</w:t>
      </w:r>
      <w:bookmarkEnd w:id="65"/>
    </w:p>
    <w:p w:rsidR="00CF0324" w:rsidRDefault="00124A10">
      <w:pPr>
        <w:spacing w:line="276" w:lineRule="auto"/>
        <w:ind w:firstLine="708"/>
        <w:jc w:val="both"/>
      </w:pPr>
      <w:r>
        <w:t xml:space="preserve">Стратегической целью территориального планирования и градостроительного зонирования Кондинского района является обеспечение </w:t>
      </w:r>
      <w:r>
        <w:rPr>
          <w:bCs/>
        </w:rPr>
        <w:t>устойчивого развития социально-экономической системы района и формирование благоприятной среды жизнедеятельности для будущих поколений.</w:t>
      </w:r>
      <w:r>
        <w:t xml:space="preserve"> </w:t>
      </w:r>
      <w:r>
        <w:rPr>
          <w:rFonts w:eastAsia="TimesNewRomanPSMT"/>
        </w:rPr>
        <w:t>Сильные и слабые стороны территории Кондинского района, возможности и угрозы реализации проектов территориального планирования и градостроительного развития обобщены в таблице 9.2.</w:t>
      </w:r>
    </w:p>
    <w:p w:rsidR="00CF0324" w:rsidRDefault="00124A10">
      <w:pPr>
        <w:spacing w:line="276" w:lineRule="auto"/>
        <w:ind w:firstLine="708"/>
        <w:jc w:val="both"/>
      </w:pPr>
      <w:r>
        <w:t>Основные задачи</w:t>
      </w:r>
      <w:r>
        <w:rPr>
          <w:b/>
        </w:rPr>
        <w:t xml:space="preserve"> </w:t>
      </w:r>
      <w:r>
        <w:t>в сфере территориального планирования и градостроительного зонирования Кондинского района в период реализации настоящей Стратегии следующие:</w:t>
      </w:r>
    </w:p>
    <w:p w:rsidR="00CF0324" w:rsidRDefault="00124A10">
      <w:pPr>
        <w:spacing w:line="276" w:lineRule="auto"/>
        <w:ind w:firstLine="708"/>
        <w:jc w:val="both"/>
      </w:pPr>
      <w:r>
        <w:t>обеспечение населенных пунктов района необходимой градостроительной документацией в соответствии с требованиями Градостроительного кодекса Российской Федерации, а также иными документами, способствующими проведению эффективной муниципальной политики в области градостроительной деятельности и управления земельными ресурсами, взимания налоговых и арендных платежей за землю, привлечения инвестиций в различные отрасли местного хозяйства и социальной сферы;</w:t>
      </w:r>
    </w:p>
    <w:p w:rsidR="00CF0324" w:rsidRDefault="00124A10">
      <w:pPr>
        <w:spacing w:line="276" w:lineRule="auto"/>
        <w:ind w:firstLine="708"/>
        <w:jc w:val="both"/>
      </w:pPr>
      <w:r>
        <w:t>упорядочение землепользования и застройки промышленных территорий населенных пунктов, повышение эффективности использования земельных ресурсов таких территорий;</w:t>
      </w:r>
    </w:p>
    <w:p w:rsidR="00CF0324" w:rsidRDefault="00124A10">
      <w:pPr>
        <w:spacing w:line="276" w:lineRule="auto"/>
        <w:ind w:firstLine="708"/>
        <w:jc w:val="both"/>
      </w:pPr>
      <w:r>
        <w:t>создание благоприятных условий по освоению свободных земельных участков для жилищного строительства, возведения объектов производственной и коммерческой деятельности;</w:t>
      </w:r>
    </w:p>
    <w:p w:rsidR="00CF0324" w:rsidRDefault="00124A10">
      <w:pPr>
        <w:spacing w:line="276" w:lineRule="auto"/>
        <w:ind w:firstLine="708"/>
        <w:jc w:val="both"/>
      </w:pPr>
      <w:r>
        <w:t>создание условий для устойчивого развития территории района, сохранения окружающей среды и объектов культурного наследия;</w:t>
      </w:r>
    </w:p>
    <w:p w:rsidR="00CF0324" w:rsidRDefault="00124A10">
      <w:pPr>
        <w:spacing w:line="276" w:lineRule="auto"/>
        <w:ind w:firstLine="708"/>
        <w:jc w:val="both"/>
      </w:pPr>
      <w:r>
        <w:t>с</w:t>
      </w:r>
      <w:r>
        <w:rPr>
          <w:bCs/>
        </w:rPr>
        <w:t xml:space="preserve">оздание благоприятных условий для инвестиционной деятельности за счет </w:t>
      </w:r>
      <w:r>
        <w:t>выдачи разрешений на строительство и предоставления земельных участков для строительства, принятия органами местного самоуправления решений о 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 на основании утвержденной градостроительной документации;</w:t>
      </w:r>
    </w:p>
    <w:p w:rsidR="00CF0324" w:rsidRDefault="00124A10">
      <w:pPr>
        <w:spacing w:line="276" w:lineRule="auto"/>
        <w:ind w:firstLine="708"/>
        <w:jc w:val="both"/>
        <w:rPr>
          <w:color w:val="000000"/>
        </w:rPr>
      </w:pPr>
      <w:r>
        <w:t>создание в населенных пунктах полноценной информационной системы обеспечения градостроительной деятельности, в базе данных которой содержатся систематизированные сведения о территориях (состояние и перспективы развития), объектах социальной, транспортной и инженерной инфраструктуры, иные данные, необходимые для эффективного управления территориями поселений в области градостроительной деятельности;</w:t>
      </w:r>
    </w:p>
    <w:p w:rsidR="00CF0324" w:rsidRDefault="00124A10">
      <w:pPr>
        <w:spacing w:line="276" w:lineRule="auto"/>
        <w:ind w:firstLine="708"/>
        <w:jc w:val="both"/>
      </w:pPr>
      <w: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F0324" w:rsidRDefault="00124A10">
      <w:pPr>
        <w:spacing w:line="276" w:lineRule="auto"/>
        <w:jc w:val="both"/>
      </w:pPr>
      <w:r>
        <w:lastRenderedPageBreak/>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0324" w:rsidRDefault="00124A10">
      <w:pPr>
        <w:spacing w:line="276" w:lineRule="auto"/>
        <w:ind w:firstLine="708"/>
        <w:jc w:val="both"/>
        <w:rPr>
          <w:spacing w:val="-3"/>
        </w:rPr>
      </w:pPr>
      <w:r>
        <w:rPr>
          <w:spacing w:val="-3"/>
        </w:rPr>
        <w:t>обеспечение эффективной подготовки документов градостроительного регулирования в сжатые сроки при минимальных финансовых затратах;</w:t>
      </w:r>
    </w:p>
    <w:p w:rsidR="00CF0324" w:rsidRDefault="00124A10">
      <w:pPr>
        <w:spacing w:line="276" w:lineRule="auto"/>
        <w:ind w:firstLine="708"/>
        <w:jc w:val="both"/>
      </w:pPr>
      <w:r>
        <w:rPr>
          <w:spacing w:val="-3"/>
        </w:rPr>
        <w:t>обеспечение прозрачности при принятии решений органами местного самоуправления при осуществлении градостроительной деятельности.</w:t>
      </w:r>
    </w:p>
    <w:p w:rsidR="00CF0324" w:rsidRDefault="00124A10">
      <w:pPr>
        <w:spacing w:line="276" w:lineRule="auto"/>
        <w:ind w:firstLine="708"/>
        <w:jc w:val="both"/>
      </w:pPr>
      <w:r>
        <w:t>Достижение поставленной стратегической цели может быть обеспечено реализацией следующих приоритетных направлений:</w:t>
      </w:r>
    </w:p>
    <w:p w:rsidR="00CF0324" w:rsidRDefault="00124A10">
      <w:pPr>
        <w:spacing w:line="276" w:lineRule="auto"/>
        <w:ind w:firstLine="708"/>
        <w:jc w:val="both"/>
      </w:pPr>
      <w:r>
        <w:t>разработка и утверждение в новой редакции правил землепользования и застройки городских и сельских поселений Кондинского района, правил землепользования и застройки межселенной территории Кондинского района, что повлечет актуализацию карт территориального зонирования и градостроительных регламентов сельских населенных пунктов и межселенной территории;</w:t>
      </w:r>
    </w:p>
    <w:p w:rsidR="00CF0324" w:rsidRDefault="00124A10">
      <w:pPr>
        <w:spacing w:line="276" w:lineRule="auto"/>
        <w:ind w:firstLine="708"/>
        <w:jc w:val="both"/>
      </w:pPr>
      <w:r>
        <w:t>разработка и утверждение в новой редакции Схемы территориального планирования Кондинского района с целью синхронизации проектных решений со стратегией социально-экономического развития района, а также схемой территориального планирования автономного округа;</w:t>
      </w:r>
    </w:p>
    <w:p w:rsidR="00CF0324" w:rsidRDefault="00124A10">
      <w:pPr>
        <w:spacing w:line="276" w:lineRule="auto"/>
        <w:ind w:firstLine="708"/>
        <w:jc w:val="both"/>
      </w:pPr>
      <w:r>
        <w:t>разработка и утверждение в новой редакции генерального плана сельского поселения Леуши, с целью утверждения и установления в установленном действующим законодательством порядке границ населенных пунктов поселения;</w:t>
      </w:r>
    </w:p>
    <w:p w:rsidR="00CF0324" w:rsidRDefault="00124A10">
      <w:pPr>
        <w:spacing w:line="276" w:lineRule="auto"/>
        <w:ind w:firstLine="708"/>
        <w:jc w:val="both"/>
        <w:rPr>
          <w:color w:val="000000"/>
        </w:rPr>
      </w:pPr>
      <w:r>
        <w:rPr>
          <w:color w:val="000000"/>
        </w:rPr>
        <w:t>проведение топографической съемки земель и создание пунктов опорной межевой сети</w:t>
      </w:r>
      <w:r>
        <w:rPr>
          <w:bCs/>
          <w:color w:val="000000"/>
        </w:rPr>
        <w:t xml:space="preserve"> </w:t>
      </w:r>
      <w:r>
        <w:rPr>
          <w:color w:val="000000"/>
        </w:rPr>
        <w:t xml:space="preserve">населенных пунктов: </w:t>
      </w:r>
      <w:r>
        <w:rPr>
          <w:bCs/>
          <w:color w:val="000000"/>
        </w:rPr>
        <w:t>городских поселений Кондинское, Куминский, Междуреченский, Мортка, Луговой;</w:t>
      </w:r>
      <w:r>
        <w:rPr>
          <w:color w:val="000000"/>
        </w:rPr>
        <w:t xml:space="preserve"> населенных пунктов </w:t>
      </w:r>
      <w:r>
        <w:rPr>
          <w:bCs/>
          <w:color w:val="000000"/>
        </w:rPr>
        <w:t>сельских поселений п.Мулымья, с. Чантырья, с. Шаим, п. Назарово, д. Ушья, д. Супра, с. Леуши, п. Лиственичный, п. Ягодный, п. Дальний, с. Болчары, с. Алтай, д. Кама, п. Половинка, д. Юмас, с. Ямки, д. Сотник, д. Шугур, с. Карым, д. Старый Катыш, д. Ильичевка, д. Никулкина;</w:t>
      </w:r>
    </w:p>
    <w:p w:rsidR="00CF0324" w:rsidRDefault="00124A10">
      <w:pPr>
        <w:spacing w:line="276" w:lineRule="auto"/>
        <w:ind w:firstLine="708"/>
        <w:jc w:val="both"/>
      </w:pPr>
      <w:r>
        <w:t>обеспечение территории Кондинского района обновленной топографической основой (картами) в масштабе 1:2000 – 1:25000, предназначенной для осуществления градостроительного проектирования (с ее последующей актуализацией каждые пять лет);</w:t>
      </w:r>
    </w:p>
    <w:p w:rsidR="00CF0324" w:rsidRDefault="00124A10">
      <w:pPr>
        <w:spacing w:line="276" w:lineRule="auto"/>
        <w:jc w:val="both"/>
        <w:rPr>
          <w:bCs/>
        </w:rPr>
      </w:pPr>
      <w:r>
        <w:rPr>
          <w:bCs/>
        </w:rPr>
        <w:t>подготовка проектов межевания (кадастровые работы) при подготовке земельных участков для гражданского и промышленного строительства;</w:t>
      </w:r>
    </w:p>
    <w:p w:rsidR="00CF0324" w:rsidRDefault="00124A10">
      <w:pPr>
        <w:spacing w:line="276" w:lineRule="auto"/>
        <w:ind w:firstLine="708"/>
        <w:jc w:val="both"/>
        <w:rPr>
          <w:bCs/>
        </w:rPr>
      </w:pPr>
      <w:r>
        <w:rPr>
          <w:bCs/>
        </w:rPr>
        <w:t>осуществление муниципального земельного контроля, резервирование и выкуп земельных участков для муниципальных нужд;</w:t>
      </w:r>
    </w:p>
    <w:p w:rsidR="00CF0324" w:rsidRDefault="00124A10">
      <w:pPr>
        <w:spacing w:line="276" w:lineRule="auto"/>
        <w:ind w:firstLine="708"/>
        <w:jc w:val="both"/>
        <w:rPr>
          <w:spacing w:val="-3"/>
        </w:rPr>
      </w:pPr>
      <w:r>
        <w:rPr>
          <w:spacing w:val="-3"/>
        </w:rPr>
        <w:t>обеспечение публичности градостроительной документации и механизма правового регулирования градостроительных и земельно-имущественных отношений;</w:t>
      </w:r>
    </w:p>
    <w:p w:rsidR="00CF0324" w:rsidRDefault="00124A10">
      <w:pPr>
        <w:spacing w:line="276" w:lineRule="auto"/>
        <w:ind w:firstLine="708"/>
        <w:jc w:val="both"/>
        <w:rPr>
          <w:spacing w:val="-3"/>
        </w:rPr>
      </w:pPr>
      <w:r>
        <w:rPr>
          <w:spacing w:val="-3"/>
        </w:rPr>
        <w:t>устранение излишних административных барьеров при оформлении разрешительной документации на застройку земельных участков и реконструкцию объектов капитального строительства;</w:t>
      </w:r>
    </w:p>
    <w:p w:rsidR="00CF0324" w:rsidRDefault="00124A10">
      <w:pPr>
        <w:spacing w:line="276" w:lineRule="auto"/>
        <w:ind w:firstLine="708"/>
        <w:jc w:val="both"/>
        <w:rPr>
          <w:spacing w:val="-3"/>
        </w:rPr>
      </w:pPr>
      <w:r>
        <w:rPr>
          <w:spacing w:val="-3"/>
        </w:rPr>
        <w:t>сокращение сроков на оформление правоуставливающих документов на земельные участки, предназначенные для целей строительства;</w:t>
      </w:r>
    </w:p>
    <w:p w:rsidR="00CF0324" w:rsidRDefault="00124A10">
      <w:pPr>
        <w:spacing w:line="276" w:lineRule="auto"/>
        <w:ind w:firstLine="708"/>
        <w:jc w:val="both"/>
        <w:rPr>
          <w:spacing w:val="-3"/>
        </w:rPr>
      </w:pPr>
      <w:r>
        <w:rPr>
          <w:spacing w:val="-3"/>
        </w:rPr>
        <w:t>сокращение сроков выдачи исходно-разрешительной документации при строительстве объектов капитального строительства и реконструкции; сокращение административных процедур при формировании земельных участков под строительство.</w:t>
      </w:r>
    </w:p>
    <w:p w:rsidR="00CF0324" w:rsidRDefault="00124A10">
      <w:pPr>
        <w:spacing w:line="276" w:lineRule="auto"/>
        <w:ind w:firstLine="708"/>
        <w:jc w:val="both"/>
      </w:pPr>
      <w:r>
        <w:lastRenderedPageBreak/>
        <w:t>Реализация направлений по территориальному планированию Кондинского района в период реализации Стратегии будет направлена на сохранение существующего планировочного каркаса территории и повышения функциональной согласованности ее отдельных элементов, создание комфортной среды проживания, соответствующей современным стандартам качества жилых, производственных и рекреационных территорий населенных пунктов и прилегающих к ним территорий и запросам граждан.</w:t>
      </w:r>
    </w:p>
    <w:p w:rsidR="00CF0324" w:rsidRDefault="00CF0324">
      <w:pPr>
        <w:spacing w:line="276" w:lineRule="auto"/>
        <w:ind w:firstLine="708"/>
        <w:jc w:val="both"/>
        <w:rPr>
          <w:spacing w:val="-3"/>
        </w:rPr>
      </w:pPr>
    </w:p>
    <w:p w:rsidR="00CF0324" w:rsidRDefault="00CF0324">
      <w:pPr>
        <w:spacing w:line="276" w:lineRule="auto"/>
        <w:ind w:firstLine="708"/>
        <w:jc w:val="both"/>
      </w:pPr>
    </w:p>
    <w:p w:rsidR="00CF0324" w:rsidRDefault="00CF0324">
      <w:pPr>
        <w:spacing w:line="360" w:lineRule="auto"/>
        <w:jc w:val="both"/>
        <w:sectPr w:rsidR="00CF0324">
          <w:footerReference w:type="even" r:id="rId47"/>
          <w:footerReference w:type="default" r:id="rId48"/>
          <w:pgSz w:w="11906" w:h="16838"/>
          <w:pgMar w:top="1134" w:right="851" w:bottom="1134" w:left="1701" w:header="709" w:footer="709" w:gutter="0"/>
          <w:cols w:space="708"/>
          <w:docGrid w:linePitch="360"/>
        </w:sectPr>
      </w:pPr>
    </w:p>
    <w:p w:rsidR="00CF0324" w:rsidRDefault="00124A10">
      <w:pPr>
        <w:spacing w:line="360" w:lineRule="auto"/>
        <w:jc w:val="right"/>
        <w:rPr>
          <w:rFonts w:eastAsia="TimesNewRomanPSMT"/>
        </w:rPr>
      </w:pPr>
      <w:r>
        <w:rPr>
          <w:rFonts w:eastAsia="TimesNewRomanPSMT"/>
        </w:rPr>
        <w:lastRenderedPageBreak/>
        <w:t>Таблица 9.2.</w:t>
      </w:r>
    </w:p>
    <w:p w:rsidR="00CF0324" w:rsidRDefault="00124A10">
      <w:pPr>
        <w:spacing w:line="360" w:lineRule="auto"/>
        <w:jc w:val="center"/>
        <w:rPr>
          <w:rFonts w:eastAsia="TimesNewRomanPSMT"/>
        </w:rPr>
      </w:pPr>
      <w:r>
        <w:rPr>
          <w:rFonts w:eastAsia="TimesNewRomanPSMT"/>
        </w:rPr>
        <w:t>Матрица SWOT – анализа перспективного территориального планирования</w:t>
      </w:r>
    </w:p>
    <w:p w:rsidR="00CF0324" w:rsidRDefault="00124A10">
      <w:pPr>
        <w:spacing w:line="360" w:lineRule="auto"/>
        <w:jc w:val="center"/>
        <w:rPr>
          <w:rFonts w:eastAsia="TimesNewRomanPSMT"/>
        </w:rPr>
      </w:pPr>
      <w:r>
        <w:rPr>
          <w:rFonts w:eastAsia="TimesNewRomanPSMT"/>
        </w:rPr>
        <w:t>и градостроительного развития Кондинского района</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38"/>
        <w:gridCol w:w="7371"/>
      </w:tblGrid>
      <w:tr w:rsidR="00CF0324">
        <w:trPr>
          <w:trHeight w:val="77"/>
        </w:trPr>
        <w:tc>
          <w:tcPr>
            <w:tcW w:w="7338" w:type="dxa"/>
            <w:shd w:val="clear" w:color="auto" w:fill="C0C0C0"/>
            <w:vAlign w:val="center"/>
          </w:tcPr>
          <w:p w:rsidR="00CF0324" w:rsidRDefault="00124A10">
            <w:pPr>
              <w:jc w:val="both"/>
              <w:rPr>
                <w:rFonts w:eastAsia="TimesNewRomanPSMT"/>
                <w:b/>
              </w:rPr>
            </w:pPr>
            <w:r>
              <w:rPr>
                <w:rFonts w:eastAsia="TimesNewRomanPSMT"/>
                <w:b/>
              </w:rPr>
              <w:t>Конкурентные преимущества (сильные стороны)</w:t>
            </w:r>
          </w:p>
        </w:tc>
        <w:tc>
          <w:tcPr>
            <w:tcW w:w="7371" w:type="dxa"/>
            <w:shd w:val="clear" w:color="auto" w:fill="C0C0C0"/>
            <w:vAlign w:val="center"/>
          </w:tcPr>
          <w:p w:rsidR="00CF0324" w:rsidRDefault="00124A10">
            <w:pPr>
              <w:jc w:val="both"/>
              <w:rPr>
                <w:rFonts w:eastAsia="TimesNewRomanPSMT"/>
                <w:b/>
              </w:rPr>
            </w:pPr>
            <w:r>
              <w:rPr>
                <w:rFonts w:eastAsia="TimesNewRomanPSMT"/>
                <w:b/>
              </w:rPr>
              <w:t>Внутренние сдерживающие факторы (слабые стороны)</w:t>
            </w:r>
          </w:p>
        </w:tc>
      </w:tr>
      <w:tr w:rsidR="00CF0324">
        <w:trPr>
          <w:trHeight w:val="4541"/>
        </w:trPr>
        <w:tc>
          <w:tcPr>
            <w:tcW w:w="7338" w:type="dxa"/>
          </w:tcPr>
          <w:p w:rsidR="00CF0324" w:rsidRDefault="00124A10">
            <w:pPr>
              <w:spacing w:line="276" w:lineRule="auto"/>
              <w:jc w:val="both"/>
              <w:rPr>
                <w:rFonts w:eastAsia="TimesNewRomanPSMT"/>
              </w:rPr>
            </w:pPr>
            <w:r>
              <w:rPr>
                <w:rFonts w:eastAsia="TimesNewRomanPSMT"/>
              </w:rPr>
              <w:t>-наличие утвержденных документов территориального планирования, градостроительного зонирования Кондинского района и входящих в его состав поселений;</w:t>
            </w:r>
          </w:p>
          <w:p w:rsidR="00CF0324" w:rsidRDefault="00124A10">
            <w:pPr>
              <w:spacing w:line="276" w:lineRule="auto"/>
              <w:jc w:val="both"/>
              <w:rPr>
                <w:rFonts w:eastAsia="TimesNewRomanPSMT"/>
              </w:rPr>
            </w:pPr>
            <w:r>
              <w:rPr>
                <w:rFonts w:eastAsia="TimesNewRomanPSMT"/>
              </w:rPr>
              <w:t>-активное участие органов местного самоуправления по подготовке (внесения изменений) документов территориального планирования, градостроительного зонирования и документации по планировке территорий;</w:t>
            </w:r>
          </w:p>
          <w:p w:rsidR="00CF0324" w:rsidRDefault="00124A10">
            <w:pPr>
              <w:spacing w:line="276" w:lineRule="auto"/>
              <w:jc w:val="both"/>
              <w:rPr>
                <w:rFonts w:eastAsia="TimesNewRomanPSMT"/>
              </w:rPr>
            </w:pPr>
            <w:r>
              <w:rPr>
                <w:rFonts w:eastAsia="TimesNewRomanPSMT"/>
              </w:rPr>
              <w:t>-наличие муниципальной программы по разработке градостроительной документации;</w:t>
            </w:r>
          </w:p>
          <w:p w:rsidR="00CF0324" w:rsidRDefault="00124A10">
            <w:pPr>
              <w:spacing w:line="276" w:lineRule="auto"/>
              <w:jc w:val="both"/>
              <w:rPr>
                <w:rFonts w:eastAsia="TimesNewRomanPSMT"/>
              </w:rPr>
            </w:pPr>
            <w:r>
              <w:rPr>
                <w:rFonts w:eastAsia="TimesNewRomanPSMT"/>
              </w:rPr>
              <w:t>-наличие муниципальных и региональных программ, включающих мероприятия по строительству объектов социального, коммунального, инженерно-технического, жилищного и иного назначения.</w:t>
            </w:r>
          </w:p>
        </w:tc>
        <w:tc>
          <w:tcPr>
            <w:tcW w:w="7371" w:type="dxa"/>
          </w:tcPr>
          <w:p w:rsidR="00CF0324" w:rsidRDefault="00124A10">
            <w:pPr>
              <w:spacing w:line="276" w:lineRule="auto"/>
              <w:jc w:val="both"/>
            </w:pPr>
            <w:r>
              <w:t>-недостаток финансовых средств для финансирования инициативных проектов по территориальному планированию и градостроительному развитию;</w:t>
            </w:r>
          </w:p>
          <w:p w:rsidR="00CF0324" w:rsidRDefault="00124A10">
            <w:pPr>
              <w:spacing w:line="276" w:lineRule="auto"/>
              <w:jc w:val="both"/>
            </w:pPr>
            <w:r>
              <w:t>-дефицит квалифицированных специалистов;</w:t>
            </w:r>
          </w:p>
          <w:p w:rsidR="00CF0324" w:rsidRDefault="00124A10">
            <w:pPr>
              <w:spacing w:line="276" w:lineRule="auto"/>
              <w:jc w:val="both"/>
              <w:rPr>
                <w:rFonts w:eastAsia="TimesNewRomanPSMT"/>
                <w:bCs/>
              </w:rPr>
            </w:pPr>
            <w:r>
              <w:rPr>
                <w:rFonts w:eastAsia="TimesNewRomanPSMT"/>
                <w:bCs/>
              </w:rPr>
              <w:t>-неразвитость инфраструктуры территории района и удаленность                   от транспортных путей отдельных населенных пунктов района;</w:t>
            </w:r>
          </w:p>
          <w:p w:rsidR="00CF0324" w:rsidRDefault="00124A10">
            <w:pPr>
              <w:spacing w:line="276" w:lineRule="auto"/>
              <w:jc w:val="both"/>
              <w:rPr>
                <w:rFonts w:eastAsia="TimesNewRomanPSMT"/>
                <w:bCs/>
              </w:rPr>
            </w:pPr>
            <w:r>
              <w:rPr>
                <w:rFonts w:eastAsia="TimesNewRomanPSMT"/>
                <w:bCs/>
              </w:rPr>
              <w:t>-недостаточность муниципальной нормативно-правовой базы обеспечения градостроительной деятельности (необходима корректировка действующей градостроительной документации).</w:t>
            </w:r>
          </w:p>
        </w:tc>
      </w:tr>
      <w:tr w:rsidR="00CF0324">
        <w:trPr>
          <w:trHeight w:val="77"/>
        </w:trPr>
        <w:tc>
          <w:tcPr>
            <w:tcW w:w="7338" w:type="dxa"/>
            <w:shd w:val="clear" w:color="auto" w:fill="C0C0C0"/>
            <w:vAlign w:val="center"/>
          </w:tcPr>
          <w:p w:rsidR="00CF0324" w:rsidRDefault="00124A10">
            <w:pPr>
              <w:jc w:val="both"/>
              <w:rPr>
                <w:rFonts w:eastAsia="TimesNewRomanPSMT"/>
                <w:b/>
              </w:rPr>
            </w:pPr>
            <w:r>
              <w:rPr>
                <w:rFonts w:eastAsia="TimesNewRomanPSMT"/>
                <w:b/>
              </w:rPr>
              <w:t>Возможности внешней среды</w:t>
            </w:r>
          </w:p>
        </w:tc>
        <w:tc>
          <w:tcPr>
            <w:tcW w:w="7371" w:type="dxa"/>
            <w:shd w:val="clear" w:color="auto" w:fill="C0C0C0"/>
            <w:vAlign w:val="center"/>
          </w:tcPr>
          <w:p w:rsidR="00CF0324" w:rsidRDefault="00124A10">
            <w:pPr>
              <w:jc w:val="both"/>
              <w:rPr>
                <w:rFonts w:eastAsia="TimesNewRomanPSMT"/>
                <w:b/>
              </w:rPr>
            </w:pPr>
            <w:r>
              <w:rPr>
                <w:rFonts w:eastAsia="TimesNewRomanPSMT"/>
                <w:b/>
              </w:rPr>
              <w:t>Угрозы со стороны внешней среды</w:t>
            </w:r>
          </w:p>
        </w:tc>
      </w:tr>
      <w:tr w:rsidR="00CF0324">
        <w:trPr>
          <w:trHeight w:val="70"/>
        </w:trPr>
        <w:tc>
          <w:tcPr>
            <w:tcW w:w="7338" w:type="dxa"/>
          </w:tcPr>
          <w:p w:rsidR="00CF0324" w:rsidRDefault="00124A10">
            <w:pPr>
              <w:spacing w:line="276" w:lineRule="auto"/>
              <w:jc w:val="both"/>
              <w:rPr>
                <w:rFonts w:eastAsia="TimesNewRomanPSMT"/>
              </w:rPr>
            </w:pPr>
            <w:r>
              <w:rPr>
                <w:rFonts w:eastAsia="TimesNewRomanPSMT"/>
              </w:rPr>
              <w:t>-наличие разработанной нормативно-правовой базы по градостроительной деятельности на региональном и федеральном уровнях;</w:t>
            </w:r>
          </w:p>
          <w:p w:rsidR="00CF0324" w:rsidRDefault="00124A10">
            <w:pPr>
              <w:spacing w:line="276" w:lineRule="auto"/>
              <w:jc w:val="both"/>
              <w:rPr>
                <w:rFonts w:eastAsia="TimesNewRomanPSMT"/>
              </w:rPr>
            </w:pPr>
            <w:r>
              <w:rPr>
                <w:rFonts w:eastAsia="TimesNewRomanPSMT"/>
              </w:rPr>
              <w:t>-строительство объектов федерального и регионального значения, предусмотренных соответственно документами территориального планирования Российской Федерации и автономного округа.</w:t>
            </w:r>
          </w:p>
        </w:tc>
        <w:tc>
          <w:tcPr>
            <w:tcW w:w="7371" w:type="dxa"/>
          </w:tcPr>
          <w:p w:rsidR="00CF0324" w:rsidRDefault="00124A10">
            <w:pPr>
              <w:spacing w:line="276" w:lineRule="auto"/>
              <w:jc w:val="both"/>
              <w:rPr>
                <w:rFonts w:eastAsia="TimesNewRomanPSMT"/>
              </w:rPr>
            </w:pPr>
            <w:r>
              <w:rPr>
                <w:rFonts w:eastAsia="TimesNewRomanPSMT"/>
              </w:rPr>
              <w:t>-макроэкономическая нестабильность;</w:t>
            </w:r>
          </w:p>
          <w:p w:rsidR="00CF0324" w:rsidRDefault="00124A10">
            <w:pPr>
              <w:spacing w:line="276" w:lineRule="auto"/>
              <w:jc w:val="both"/>
              <w:rPr>
                <w:rFonts w:eastAsia="TimesNewRomanPSMT"/>
              </w:rPr>
            </w:pPr>
            <w:r>
              <w:rPr>
                <w:rFonts w:eastAsia="TimesNewRomanPSMT"/>
              </w:rPr>
              <w:t>-возможные отрицательные последствия решений градостроительного характера, принимаемых на федеральном                       и региональном уровнях.</w:t>
            </w:r>
          </w:p>
        </w:tc>
      </w:tr>
    </w:tbl>
    <w:p w:rsidR="00CF0324" w:rsidRDefault="00CF0324">
      <w:pPr>
        <w:spacing w:line="360" w:lineRule="auto"/>
        <w:jc w:val="both"/>
        <w:sectPr w:rsidR="00CF0324">
          <w:pgSz w:w="16838" w:h="11906" w:orient="landscape"/>
          <w:pgMar w:top="1701" w:right="1134" w:bottom="851" w:left="1134" w:header="709" w:footer="709" w:gutter="0"/>
          <w:cols w:space="708"/>
          <w:docGrid w:linePitch="360"/>
        </w:sectPr>
      </w:pPr>
    </w:p>
    <w:p w:rsidR="00CF0324" w:rsidRDefault="00124A10">
      <w:pPr>
        <w:pStyle w:val="afff1"/>
      </w:pPr>
      <w:bookmarkStart w:id="66" w:name="_Toc64"/>
      <w:r>
        <w:lastRenderedPageBreak/>
        <w:t>9.3. РАЗВИТИЕ ОПОРНЫХ НАСЕЛЕННЫХ ПУНКТОВ (СЕЛЬСКИХ АГЛОМЕРАЦИЙ) НА ТЕРРИТОРИИ КОНДИНСКОГО РАЙОНА</w:t>
      </w:r>
      <w:bookmarkEnd w:id="66"/>
    </w:p>
    <w:p w:rsidR="00CF0324" w:rsidRDefault="00124A10">
      <w:pPr>
        <w:spacing w:line="276" w:lineRule="auto"/>
        <w:ind w:firstLine="708"/>
        <w:jc w:val="both"/>
        <w:rPr>
          <w:bCs/>
        </w:rPr>
      </w:pPr>
      <w:r>
        <w:t xml:space="preserve">Стратегической целью развития сельских территорий Кондинского района является </w:t>
      </w:r>
    </w:p>
    <w:p w:rsidR="00CF0324" w:rsidRDefault="00124A10">
      <w:pPr>
        <w:spacing w:line="276" w:lineRule="auto"/>
        <w:jc w:val="both"/>
        <w:rPr>
          <w:color w:val="333333"/>
          <w:shd w:val="clear" w:color="auto" w:fill="FFFFFF"/>
        </w:rPr>
      </w:pPr>
      <w:r>
        <w:rPr>
          <w:color w:val="333333"/>
          <w:shd w:val="clear" w:color="auto" w:fill="FFFFFF"/>
        </w:rPr>
        <w:t xml:space="preserve">сокращение оттока постоянного населения путем </w:t>
      </w:r>
      <w:r>
        <w:rPr>
          <w:i/>
          <w:color w:val="333333"/>
          <w:shd w:val="clear" w:color="auto" w:fill="FFFFFF"/>
        </w:rPr>
        <w:t>ускоренного</w:t>
      </w:r>
      <w:r>
        <w:rPr>
          <w:color w:val="333333"/>
          <w:shd w:val="clear" w:color="auto" w:fill="FFFFFF"/>
        </w:rPr>
        <w:t xml:space="preserve"> развития инфраструктуры, обеспечивающей реализацию гарантий в сфере образования, доступности медицинской помощи, услуг в сфере культуры и реализацию иных потребностей населения в рамках развития опорных населенных пунктов (далее – ОНП) с участием федерального финансирования в рамках государственной программы Российской Федерации «Комплексное развитие сельских территорий».</w:t>
      </w:r>
    </w:p>
    <w:p w:rsidR="00CF0324" w:rsidRDefault="00124A10">
      <w:pPr>
        <w:spacing w:line="276" w:lineRule="auto"/>
        <w:jc w:val="both"/>
        <w:rPr>
          <w:color w:val="333333"/>
          <w:shd w:val="clear" w:color="auto" w:fill="FFFFFF"/>
        </w:rPr>
      </w:pPr>
      <w:r>
        <w:rPr>
          <w:color w:val="333333"/>
          <w:shd w:val="clear" w:color="auto" w:fill="FFFFFF"/>
        </w:rPr>
        <w:tab/>
        <w:t>На территории Кондинского района определены три ОНП</w:t>
      </w:r>
      <w:r>
        <w:rPr>
          <w:rStyle w:val="16"/>
          <w:color w:val="333333"/>
          <w:shd w:val="clear" w:color="auto" w:fill="FFFFFF"/>
        </w:rPr>
        <w:footnoteReference w:id="49"/>
      </w:r>
      <w:r>
        <w:rPr>
          <w:color w:val="333333"/>
          <w:shd w:val="clear" w:color="auto" w:fill="FFFFFF"/>
        </w:rPr>
        <w:t xml:space="preserve"> пгт.Междуреченский с прилегающей территорией (далее – ПТ) с. Леуши, п. Лиственичный; пгт. Мортка с прилегающей территорией д. Сотник, п. Ямки, д. Юмас и пгт. Кондинское с прилегающей территорией д. Никулкино, д. Старый Катыш.</w:t>
      </w:r>
    </w:p>
    <w:p w:rsidR="00CF0324" w:rsidRDefault="00124A10">
      <w:pPr>
        <w:spacing w:line="276" w:lineRule="auto"/>
        <w:ind w:firstLine="708"/>
        <w:jc w:val="both"/>
        <w:rPr>
          <w:rFonts w:eastAsia="TimesNewRomanPSMT"/>
        </w:rPr>
      </w:pPr>
      <w:r>
        <w:rPr>
          <w:rFonts w:eastAsia="TimesNewRomanPSMT"/>
        </w:rPr>
        <w:t>Достижение поставленной цели предполагает решение следующих задач:</w:t>
      </w:r>
    </w:p>
    <w:p w:rsidR="00CF0324" w:rsidRDefault="00124A10">
      <w:pPr>
        <w:spacing w:line="276" w:lineRule="auto"/>
        <w:ind w:firstLine="708"/>
        <w:jc w:val="both"/>
        <w:rPr>
          <w:bCs/>
        </w:rPr>
      </w:pPr>
      <w:r>
        <w:rPr>
          <w:bCs/>
        </w:rPr>
        <w:t>обеспечить транспортную доступность населенных пунктов прилегающей территории с ОНП;</w:t>
      </w:r>
    </w:p>
    <w:p w:rsidR="00CF0324" w:rsidRDefault="00124A10">
      <w:pPr>
        <w:spacing w:line="276" w:lineRule="auto"/>
        <w:ind w:firstLine="708"/>
        <w:jc w:val="both"/>
        <w:rPr>
          <w:bCs/>
        </w:rPr>
      </w:pPr>
      <w:r>
        <w:rPr>
          <w:bCs/>
        </w:rPr>
        <w:t>создать новые рабочие места;</w:t>
      </w:r>
    </w:p>
    <w:p w:rsidR="00CF0324" w:rsidRDefault="00124A10">
      <w:pPr>
        <w:spacing w:line="276" w:lineRule="auto"/>
        <w:ind w:firstLine="708"/>
        <w:jc w:val="both"/>
        <w:rPr>
          <w:bCs/>
        </w:rPr>
      </w:pPr>
      <w:r>
        <w:rPr>
          <w:bCs/>
        </w:rPr>
        <w:t>обеспечить доступность первоочередных социальных услуг для населения;</w:t>
      </w:r>
    </w:p>
    <w:p w:rsidR="00CF0324" w:rsidRDefault="00124A10">
      <w:pPr>
        <w:spacing w:line="276" w:lineRule="auto"/>
        <w:ind w:firstLine="708"/>
        <w:jc w:val="both"/>
        <w:rPr>
          <w:bCs/>
        </w:rPr>
      </w:pPr>
      <w:r>
        <w:rPr>
          <w:bCs/>
        </w:rPr>
        <w:t>создать условия для развития предпринимательства.</w:t>
      </w:r>
    </w:p>
    <w:p w:rsidR="00CF0324" w:rsidRDefault="00124A10">
      <w:pPr>
        <w:spacing w:line="276" w:lineRule="auto"/>
        <w:ind w:firstLine="708"/>
        <w:jc w:val="both"/>
        <w:rPr>
          <w:bCs/>
        </w:rPr>
      </w:pPr>
      <w:r>
        <w:rPr>
          <w:bCs/>
        </w:rPr>
        <w:t>Развитие опорных населенных пунктов Кондинского района позволит сохранить пространственное расселение на территории, сократит внутреннюю миграцию населения в районный центр Кондинского района.</w:t>
      </w:r>
    </w:p>
    <w:p w:rsidR="00CF0324" w:rsidRDefault="00124A10">
      <w:pPr>
        <w:pStyle w:val="afff1"/>
      </w:pPr>
      <w:bookmarkStart w:id="67" w:name="_Toc65"/>
      <w:r>
        <w:t>9.4. РАЗВИТИЕ АГЛОМЕРАЦИИ «УРАЙ – КОНДИНСКИЙ РАЙОН»</w:t>
      </w:r>
      <w:bookmarkEnd w:id="67"/>
    </w:p>
    <w:p w:rsidR="00CF0324" w:rsidRDefault="00124A10">
      <w:pPr>
        <w:spacing w:line="276" w:lineRule="auto"/>
        <w:ind w:firstLine="708"/>
        <w:jc w:val="both"/>
      </w:pPr>
      <w:r>
        <w:t>Стратегической целью развития агломерационного образования</w:t>
      </w:r>
      <w:r>
        <w:rPr>
          <w:rStyle w:val="16"/>
        </w:rPr>
        <w:footnoteReference w:id="50"/>
      </w:r>
      <w:r>
        <w:t xml:space="preserve"> «Урай- Кондинский район» (далее – Агломерация) является устойчивое пространственное развитие на принципах сбалансированности, социального и экономического, демографического развития для каждого муниципального образования в отдельности и Агломерации в целом за счет реализации межмуниципальных (агломерационных) проектов.</w:t>
      </w:r>
    </w:p>
    <w:p w:rsidR="00CF0324" w:rsidRDefault="00124A10">
      <w:pPr>
        <w:spacing w:line="276" w:lineRule="auto"/>
        <w:ind w:firstLine="708"/>
        <w:jc w:val="both"/>
        <w:rPr>
          <w:rFonts w:eastAsia="TimesNewRomanPSMT"/>
        </w:rPr>
      </w:pPr>
      <w:r>
        <w:rPr>
          <w:rFonts w:eastAsia="TimesNewRomanPSMT"/>
        </w:rPr>
        <w:t>Достижение поставленной цели предполагает решение следующих задач:</w:t>
      </w:r>
    </w:p>
    <w:p w:rsidR="00CF0324" w:rsidRDefault="00124A10">
      <w:pPr>
        <w:spacing w:line="276" w:lineRule="auto"/>
        <w:ind w:firstLine="708"/>
        <w:jc w:val="both"/>
      </w:pPr>
      <w:r>
        <w:t>взаимодействие органов администрации г. Урай и администрации Кондинского района в рамках заключенного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 «Урай – Кондинский район» от 29.06.2022 года;</w:t>
      </w:r>
    </w:p>
    <w:p w:rsidR="00CF0324" w:rsidRDefault="00124A10">
      <w:pPr>
        <w:spacing w:line="276" w:lineRule="auto"/>
        <w:ind w:firstLine="708"/>
        <w:jc w:val="both"/>
        <w:rPr>
          <w:rFonts w:eastAsia="Calibri"/>
          <w:lang w:eastAsia="en-US"/>
        </w:rPr>
      </w:pPr>
      <w:r>
        <w:rPr>
          <w:rFonts w:eastAsia="Calibri"/>
          <w:lang w:eastAsia="en-US"/>
        </w:rPr>
        <w:t>реализация совместных межмуниципальных проектов муниципального уровня с целью согласования основных положений проектов и получения экономических выгод за счет специализации и эффекта масштаба.</w:t>
      </w:r>
    </w:p>
    <w:p w:rsidR="00CF0324" w:rsidRDefault="00124A10">
      <w:pPr>
        <w:spacing w:line="276" w:lineRule="auto"/>
        <w:ind w:firstLine="708"/>
        <w:jc w:val="both"/>
        <w:rPr>
          <w:rFonts w:eastAsia="TimesNewRomanPSMT"/>
        </w:rPr>
      </w:pPr>
      <w:r>
        <w:rPr>
          <w:rFonts w:eastAsia="TimesNewRomanPSMT"/>
        </w:rPr>
        <w:t xml:space="preserve">Агломерация Урай-Кондинский район находится на этапе формирования. Ее экономическое значение усилится после завершения строительства автодороги «Тюмень – </w:t>
      </w:r>
      <w:r>
        <w:rPr>
          <w:rFonts w:eastAsia="TimesNewRomanPSMT"/>
        </w:rPr>
        <w:lastRenderedPageBreak/>
        <w:t>Верхняя Тавда – Междуреченский – Урай – Советский – Приобье », что создаст реальные предпосылки для превращения пгт. Междуреченский в локальный транспортно-логистический центр.</w:t>
      </w:r>
    </w:p>
    <w:p w:rsidR="00CF0324" w:rsidRDefault="00124A10">
      <w:pPr>
        <w:spacing w:line="276" w:lineRule="auto"/>
        <w:ind w:firstLine="708"/>
        <w:jc w:val="both"/>
      </w:pPr>
      <w:r>
        <w:t>Основные направления развития Агломерации в среднесрочной перспективе определены в сфере развития экономики и бизнеса, образования и молодежной политики, в сфере туризма, культуры, физической культуры и спорта.</w:t>
      </w:r>
    </w:p>
    <w:p w:rsidR="00CF0324" w:rsidRDefault="00124A10">
      <w:pPr>
        <w:spacing w:line="276" w:lineRule="auto"/>
        <w:ind w:firstLine="708"/>
        <w:jc w:val="both"/>
      </w:pPr>
      <w:r>
        <w:t>В долгосрочной перспективе агломерационный эффект ожидается в совместном использовании трудового, экономического и социального потенциалов для экономической активности и повышения уровня жизни населения.</w:t>
      </w:r>
    </w:p>
    <w:p w:rsidR="00CF0324" w:rsidRDefault="00124A10">
      <w:pPr>
        <w:pStyle w:val="afff1"/>
      </w:pPr>
      <w:bookmarkStart w:id="68" w:name="_Toc66"/>
      <w:r>
        <w:rPr>
          <w:highlight w:val="yellow"/>
        </w:rPr>
        <w:br w:type="page" w:clear="all"/>
      </w:r>
      <w:r>
        <w:lastRenderedPageBreak/>
        <w:t xml:space="preserve">РАЗДЕЛ 10. ФЛАГМАНСКИЕ ПРОЕКТЫ РАЗВИТИЯ КОНДИНСКОГО РАЙОНА </w:t>
      </w:r>
      <w:r>
        <w:rPr>
          <w:bCs/>
        </w:rPr>
        <w:t>ХАНТЫ-МАНСИЙСКОГО АВТОНОМНОГО ОКРУГА-ЮГРЫ</w:t>
      </w:r>
      <w:r>
        <w:t xml:space="preserve"> НА ПЕРИОД ДО 2036 ГОДА</w:t>
      </w:r>
      <w:bookmarkEnd w:id="68"/>
    </w:p>
    <w:p w:rsidR="00CF0324" w:rsidRDefault="00124A10">
      <w:pPr>
        <w:pStyle w:val="afe"/>
        <w:spacing w:before="0" w:beforeAutospacing="0" w:after="240" w:afterAutospacing="0" w:line="276" w:lineRule="auto"/>
        <w:ind w:firstLine="540"/>
        <w:jc w:val="both"/>
      </w:pPr>
      <w:r>
        <w:t>В Стратегии - 2036 предусмотрена реализация пяти флагманских проектов,  трех долгосрочных планов развития опорных населенных пунктов пгт. Междуреченский, пгт.Кондинское, пгт. Мортка, которые обеспечивают развитие Кондинского района и взаимоувязаны с национальными и региональными целями социально-экономического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3608"/>
        <w:gridCol w:w="3491"/>
      </w:tblGrid>
      <w:tr w:rsidR="00CF0324">
        <w:tc>
          <w:tcPr>
            <w:tcW w:w="2406" w:type="dxa"/>
            <w:vAlign w:val="center"/>
          </w:tcPr>
          <w:p w:rsidR="00CF0324" w:rsidRDefault="00124A10">
            <w:pPr>
              <w:pStyle w:val="afe"/>
              <w:spacing w:before="0" w:beforeAutospacing="0" w:after="240" w:afterAutospacing="0"/>
              <w:jc w:val="center"/>
            </w:pPr>
            <w:r>
              <w:t>Национальные цели</w:t>
            </w:r>
          </w:p>
        </w:tc>
        <w:tc>
          <w:tcPr>
            <w:tcW w:w="3639" w:type="dxa"/>
            <w:vAlign w:val="center"/>
          </w:tcPr>
          <w:p w:rsidR="00CF0324" w:rsidRDefault="00124A10">
            <w:pPr>
              <w:pStyle w:val="afe"/>
              <w:spacing w:before="0" w:beforeAutospacing="0" w:after="240" w:afterAutospacing="0"/>
              <w:jc w:val="center"/>
            </w:pPr>
            <w:r>
              <w:t>Стратегия Югры - 2050</w:t>
            </w:r>
          </w:p>
        </w:tc>
        <w:tc>
          <w:tcPr>
            <w:tcW w:w="3525" w:type="dxa"/>
            <w:vAlign w:val="center"/>
          </w:tcPr>
          <w:p w:rsidR="00CF0324" w:rsidRDefault="00124A10">
            <w:pPr>
              <w:pStyle w:val="afe"/>
              <w:spacing w:before="0" w:beforeAutospacing="0" w:after="240" w:afterAutospacing="0"/>
              <w:jc w:val="center"/>
            </w:pPr>
            <w:r>
              <w:t>Флагманские проекты Конды</w:t>
            </w:r>
          </w:p>
        </w:tc>
      </w:tr>
      <w:tr w:rsidR="00CF0324">
        <w:tc>
          <w:tcPr>
            <w:tcW w:w="2406" w:type="dxa"/>
            <w:vAlign w:val="center"/>
          </w:tcPr>
          <w:p w:rsidR="00CF0324" w:rsidRDefault="00124A10">
            <w:pPr>
              <w:pStyle w:val="afe"/>
              <w:spacing w:before="0" w:beforeAutospacing="0" w:after="240" w:afterAutospacing="0"/>
              <w:jc w:val="center"/>
            </w:pPr>
            <w:r>
              <w:t>Сохранение населения, здоровье и благополучие людей</w:t>
            </w:r>
          </w:p>
        </w:tc>
        <w:tc>
          <w:tcPr>
            <w:tcW w:w="3639" w:type="dxa"/>
            <w:vAlign w:val="center"/>
          </w:tcPr>
          <w:p w:rsidR="00CF0324" w:rsidRDefault="00124A10">
            <w:pPr>
              <w:pStyle w:val="afe"/>
              <w:spacing w:before="0" w:beforeAutospacing="0" w:after="240" w:afterAutospacing="0"/>
              <w:jc w:val="center"/>
            </w:pPr>
            <w:r>
              <w:t>«Здоровьесбережение»</w:t>
            </w:r>
          </w:p>
          <w:p w:rsidR="00CF0324" w:rsidRDefault="00124A10">
            <w:pPr>
              <w:pStyle w:val="afe"/>
              <w:spacing w:before="0" w:beforeAutospacing="0" w:after="240" w:afterAutospacing="0"/>
              <w:jc w:val="center"/>
            </w:pPr>
            <w:r>
              <w:t>«Человеческий капитал»</w:t>
            </w:r>
          </w:p>
        </w:tc>
        <w:tc>
          <w:tcPr>
            <w:tcW w:w="3525" w:type="dxa"/>
            <w:vAlign w:val="center"/>
          </w:tcPr>
          <w:p w:rsidR="00CF0324" w:rsidRDefault="00124A10">
            <w:pPr>
              <w:pStyle w:val="afe"/>
              <w:spacing w:before="0" w:beforeAutospacing="0" w:after="240" w:afterAutospacing="0"/>
              <w:jc w:val="center"/>
            </w:pPr>
            <w:r>
              <w:t>«Продовольственное самообеспечение Кондинского района!»</w:t>
            </w:r>
          </w:p>
          <w:p w:rsidR="00CF0324" w:rsidRDefault="00CF0324">
            <w:pPr>
              <w:jc w:val="center"/>
            </w:pPr>
          </w:p>
        </w:tc>
      </w:tr>
      <w:tr w:rsidR="00CF0324">
        <w:tc>
          <w:tcPr>
            <w:tcW w:w="2406" w:type="dxa"/>
            <w:vAlign w:val="center"/>
          </w:tcPr>
          <w:p w:rsidR="00CF0324" w:rsidRDefault="00124A10">
            <w:pPr>
              <w:pStyle w:val="afe"/>
              <w:spacing w:before="0" w:beforeAutospacing="0" w:after="240" w:afterAutospacing="0"/>
              <w:jc w:val="center"/>
            </w:pPr>
            <w:r>
              <w:t>Достойный труд и успешное предпринимательство</w:t>
            </w:r>
          </w:p>
          <w:p w:rsidR="00CF0324" w:rsidRDefault="00124A10">
            <w:pPr>
              <w:pStyle w:val="afe"/>
              <w:spacing w:before="0" w:beforeAutospacing="0" w:after="240" w:afterAutospacing="0"/>
              <w:jc w:val="center"/>
            </w:pPr>
            <w:r>
              <w:t>Цифровая трансформация</w:t>
            </w:r>
          </w:p>
        </w:tc>
        <w:tc>
          <w:tcPr>
            <w:tcW w:w="3639" w:type="dxa"/>
            <w:vAlign w:val="center"/>
          </w:tcPr>
          <w:p w:rsidR="00CF0324" w:rsidRDefault="00124A10">
            <w:pPr>
              <w:pStyle w:val="afe"/>
              <w:spacing w:before="0" w:beforeAutospacing="0" w:after="240" w:afterAutospacing="0"/>
              <w:jc w:val="center"/>
            </w:pPr>
            <w:r>
              <w:t>«Креативная экономика</w:t>
            </w:r>
          </w:p>
        </w:tc>
        <w:tc>
          <w:tcPr>
            <w:tcW w:w="3525" w:type="dxa"/>
            <w:vAlign w:val="center"/>
          </w:tcPr>
          <w:p w:rsidR="00CF0324" w:rsidRDefault="00124A10">
            <w:pPr>
              <w:pStyle w:val="afe"/>
              <w:spacing w:before="0" w:beforeAutospacing="0" w:after="240" w:afterAutospacing="0"/>
              <w:jc w:val="center"/>
            </w:pPr>
            <w:r>
              <w:t>«Продвижение бренда Кондинского района»</w:t>
            </w:r>
          </w:p>
          <w:p w:rsidR="00CF0324" w:rsidRDefault="00124A10">
            <w:pPr>
              <w:pStyle w:val="afe"/>
              <w:spacing w:before="0" w:beforeAutospacing="0" w:after="240" w:afterAutospacing="0"/>
              <w:jc w:val="center"/>
            </w:pPr>
            <w:r>
              <w:t>«Инвестиционные проекты»</w:t>
            </w:r>
          </w:p>
          <w:p w:rsidR="00CF0324" w:rsidRDefault="00124A10">
            <w:pPr>
              <w:pStyle w:val="afe"/>
              <w:spacing w:before="0" w:beforeAutospacing="0" w:after="240" w:afterAutospacing="0"/>
              <w:jc w:val="center"/>
            </w:pPr>
            <w:r>
              <w:t>«Развитие придорожного сервиса в Кондинском районе»</w:t>
            </w:r>
          </w:p>
        </w:tc>
      </w:tr>
      <w:tr w:rsidR="00CF0324">
        <w:tc>
          <w:tcPr>
            <w:tcW w:w="2406" w:type="dxa"/>
            <w:vAlign w:val="center"/>
          </w:tcPr>
          <w:p w:rsidR="00CF0324" w:rsidRDefault="00124A10">
            <w:pPr>
              <w:jc w:val="center"/>
            </w:pPr>
            <w:r>
              <w:t>Комфортная и безопасная среда</w:t>
            </w:r>
          </w:p>
        </w:tc>
        <w:tc>
          <w:tcPr>
            <w:tcW w:w="3639" w:type="dxa"/>
            <w:vAlign w:val="center"/>
          </w:tcPr>
          <w:p w:rsidR="00CF0324" w:rsidRDefault="00124A10">
            <w:pPr>
              <w:jc w:val="center"/>
            </w:pPr>
            <w:r>
              <w:t>«Качество жизни»</w:t>
            </w:r>
          </w:p>
        </w:tc>
        <w:tc>
          <w:tcPr>
            <w:tcW w:w="3525" w:type="dxa"/>
            <w:vAlign w:val="center"/>
          </w:tcPr>
          <w:p w:rsidR="00CF0324" w:rsidRDefault="00124A10">
            <w:pPr>
              <w:jc w:val="center"/>
            </w:pPr>
            <w:r>
              <w:t>экологический проект «Конда – край чистых рос!»</w:t>
            </w:r>
          </w:p>
          <w:p w:rsidR="00CF0324" w:rsidRDefault="00CF0324">
            <w:pPr>
              <w:jc w:val="center"/>
            </w:pPr>
          </w:p>
        </w:tc>
      </w:tr>
    </w:tbl>
    <w:p w:rsidR="00CF0324" w:rsidRDefault="00CF0324">
      <w:pPr>
        <w:pStyle w:val="afe"/>
        <w:spacing w:before="0" w:beforeAutospacing="0" w:after="240" w:afterAutospacing="0" w:line="180" w:lineRule="atLeast"/>
        <w:ind w:firstLine="540"/>
        <w:jc w:val="both"/>
      </w:pPr>
    </w:p>
    <w:p w:rsidR="00CF0324" w:rsidRPr="00124A10" w:rsidRDefault="00124A10">
      <w:pPr>
        <w:pStyle w:val="2"/>
        <w:rPr>
          <w:lang w:val="ru-RU"/>
        </w:rPr>
      </w:pPr>
      <w:bookmarkStart w:id="69" w:name="_Toc67"/>
      <w:r>
        <w:rPr>
          <w:lang w:val="ru-RU"/>
        </w:rPr>
        <w:t xml:space="preserve">10.1. </w:t>
      </w:r>
      <w:r w:rsidRPr="00124A10">
        <w:rPr>
          <w:lang w:val="ru-RU"/>
        </w:rPr>
        <w:t>Флагманский экологический проект «Конда – край чистых рос!»</w:t>
      </w:r>
      <w:bookmarkEnd w:id="69"/>
    </w:p>
    <w:p w:rsidR="00CF0324" w:rsidRDefault="00124A10">
      <w:pPr>
        <w:pStyle w:val="afe"/>
        <w:spacing w:before="240" w:beforeAutospacing="0" w:after="0" w:afterAutospacing="0" w:line="276" w:lineRule="auto"/>
        <w:ind w:firstLine="480"/>
        <w:jc w:val="both"/>
      </w:pPr>
      <w:r>
        <w:t>Стратегическая цель экологического проекта - комплексное формирование экологической культуры населения и хозяйствующих субъектов, осуществляющих деятельность на территории района. Предполагает проведение систематических мероприятий по экологическому просвещению, воспитанию под девизом «Чистота – залог здоровья!», «Чисто там, где не мусорят!», очистку населенных пунктов, прилегающего лесного массива, водоемов, прибрежных территорий, соблюдение правил обращения с отходами и т.п.</w:t>
      </w:r>
    </w:p>
    <w:p w:rsidR="00CF0324" w:rsidRDefault="00124A10">
      <w:pPr>
        <w:pStyle w:val="afe"/>
        <w:spacing w:before="105" w:beforeAutospacing="0" w:after="0" w:afterAutospacing="0" w:line="276" w:lineRule="auto"/>
        <w:jc w:val="center"/>
      </w:pPr>
      <w:r>
        <w:t>Задачи:</w:t>
      </w:r>
    </w:p>
    <w:p w:rsidR="00CF0324" w:rsidRDefault="00124A10">
      <w:pPr>
        <w:pStyle w:val="afe"/>
        <w:spacing w:before="105" w:beforeAutospacing="0" w:after="0" w:afterAutospacing="0" w:line="276" w:lineRule="auto"/>
        <w:ind w:firstLine="480"/>
        <w:jc w:val="both"/>
      </w:pPr>
      <w:r>
        <w:t>сформировать экомышление и экологическую культуру местных жителей всех возрастов, для создания комфортного проживания в экологически чистых населенных пунктах и прилегающих территорий;</w:t>
      </w:r>
    </w:p>
    <w:p w:rsidR="00CF0324" w:rsidRDefault="00124A10">
      <w:pPr>
        <w:pStyle w:val="afe"/>
        <w:spacing w:before="105" w:beforeAutospacing="0" w:after="0" w:afterAutospacing="0" w:line="180" w:lineRule="atLeast"/>
        <w:ind w:firstLine="480"/>
        <w:jc w:val="both"/>
      </w:pPr>
      <w:r>
        <w:t>создать экологически чистую территорию, как основу для развития туризма в Кондинском районе;</w:t>
      </w:r>
    </w:p>
    <w:p w:rsidR="00CF0324" w:rsidRDefault="00124A10">
      <w:pPr>
        <w:pStyle w:val="afe"/>
        <w:spacing w:before="105" w:beforeAutospacing="0" w:after="0" w:afterAutospacing="0" w:line="180" w:lineRule="atLeast"/>
        <w:ind w:firstLine="480"/>
        <w:jc w:val="both"/>
      </w:pPr>
      <w:r>
        <w:t>обеспечить комплексный межведомственный подход к мероприятиям экологической направленности от образовательных мероприятий до сбора и утилизации мусора;</w:t>
      </w:r>
    </w:p>
    <w:p w:rsidR="00CF0324" w:rsidRDefault="00124A10">
      <w:pPr>
        <w:pStyle w:val="afe"/>
        <w:spacing w:before="105" w:beforeAutospacing="0" w:after="0" w:afterAutospacing="0" w:line="180" w:lineRule="atLeast"/>
        <w:ind w:firstLine="480"/>
        <w:jc w:val="both"/>
      </w:pPr>
      <w:r>
        <w:t>провести мероприятия по адаптации к изменению климата.</w:t>
      </w:r>
    </w:p>
    <w:p w:rsidR="00CF0324" w:rsidRDefault="00124A10">
      <w:pPr>
        <w:pStyle w:val="afe"/>
        <w:spacing w:before="105" w:beforeAutospacing="0" w:after="0" w:afterAutospacing="0" w:line="180" w:lineRule="atLeast"/>
        <w:ind w:firstLine="360"/>
        <w:jc w:val="both"/>
      </w:pPr>
      <w:r>
        <w:lastRenderedPageBreak/>
        <w:t>Предполагается для достижения поставленных задач, реализовать следующие мероприятия:</w:t>
      </w:r>
    </w:p>
    <w:p w:rsidR="00CF0324" w:rsidRDefault="00124A10">
      <w:pPr>
        <w:pStyle w:val="afe"/>
        <w:spacing w:before="105" w:beforeAutospacing="0" w:after="0" w:afterAutospacing="0" w:line="180" w:lineRule="atLeast"/>
        <w:ind w:firstLine="360"/>
        <w:jc w:val="both"/>
      </w:pPr>
      <w:r>
        <w:t>популяризация экологического поведения на территории района;</w:t>
      </w:r>
    </w:p>
    <w:p w:rsidR="00CF0324" w:rsidRDefault="00124A10">
      <w:pPr>
        <w:pStyle w:val="afe"/>
        <w:spacing w:before="105" w:beforeAutospacing="0" w:after="0" w:afterAutospacing="0" w:line="180" w:lineRule="atLeast"/>
        <w:ind w:firstLine="360"/>
        <w:jc w:val="both"/>
      </w:pPr>
      <w:r>
        <w:t>стимулирование организаций района на использование зеленых технологий и бережное отношение к природе;</w:t>
      </w:r>
    </w:p>
    <w:p w:rsidR="00CF0324" w:rsidRDefault="00124A10">
      <w:pPr>
        <w:pStyle w:val="afe"/>
        <w:spacing w:before="105" w:beforeAutospacing="0" w:after="0" w:afterAutospacing="0" w:line="180" w:lineRule="atLeast"/>
        <w:ind w:firstLine="480"/>
        <w:jc w:val="both"/>
      </w:pPr>
      <w:r>
        <w:t>поддержка и развитие инициатив в сфере охраны окружающей среды, проектов по информированию о возможностях реализации социально-экологических потребностей и популяризации экологического стиля жизни среди населения.</w:t>
      </w:r>
    </w:p>
    <w:p w:rsidR="00CF0324" w:rsidRDefault="00124A10">
      <w:pPr>
        <w:pStyle w:val="afe"/>
        <w:spacing w:before="105" w:beforeAutospacing="0" w:after="0" w:afterAutospacing="0" w:line="180" w:lineRule="atLeast"/>
        <w:ind w:firstLine="360"/>
        <w:jc w:val="both"/>
      </w:pPr>
      <w:r>
        <w:t>создание образовательных программ в сфере экологии для школьников, дошкольников и студентов;</w:t>
      </w:r>
    </w:p>
    <w:p w:rsidR="00CF0324" w:rsidRDefault="00124A10">
      <w:pPr>
        <w:pStyle w:val="afe"/>
        <w:spacing w:before="105" w:beforeAutospacing="0" w:after="0" w:afterAutospacing="0" w:line="180" w:lineRule="atLeast"/>
        <w:ind w:firstLine="360"/>
        <w:jc w:val="both"/>
      </w:pPr>
      <w:r>
        <w:t>развитие системы непрерывного экологического образования взрослых и детей;</w:t>
      </w:r>
    </w:p>
    <w:p w:rsidR="00CF0324" w:rsidRDefault="00124A10">
      <w:pPr>
        <w:pStyle w:val="afe"/>
        <w:spacing w:before="105" w:beforeAutospacing="0" w:after="0" w:afterAutospacing="0" w:line="180" w:lineRule="atLeast"/>
        <w:ind w:firstLine="360"/>
        <w:jc w:val="both"/>
      </w:pPr>
      <w:r>
        <w:t>реализация адаптационных мероприятий по снижению негативных влияний, связанных с изменением климата.</w:t>
      </w:r>
    </w:p>
    <w:p w:rsidR="00CF0324" w:rsidRDefault="00124A10">
      <w:pPr>
        <w:pStyle w:val="afe"/>
        <w:spacing w:before="105" w:beforeAutospacing="0" w:after="0" w:afterAutospacing="0" w:line="180" w:lineRule="atLeast"/>
        <w:ind w:firstLine="360"/>
        <w:jc w:val="both"/>
      </w:pPr>
      <w:r>
        <w:t>Приоритетные направления экологического развития: образование, жилищно-коммунальное хозяйство, природа.</w:t>
      </w:r>
    </w:p>
    <w:p w:rsidR="00CF0324" w:rsidRDefault="00124A10">
      <w:pPr>
        <w:pStyle w:val="afe"/>
        <w:spacing w:before="105" w:beforeAutospacing="0" w:after="0" w:afterAutospacing="0" w:line="180" w:lineRule="atLeast"/>
        <w:ind w:firstLine="360"/>
        <w:jc w:val="both"/>
      </w:pPr>
      <w:r>
        <w:t>Для реализации проекта необходима разработка межведомственного документа района, утверждающего общую основу экологического развития района.</w:t>
      </w:r>
    </w:p>
    <w:p w:rsidR="00CF0324" w:rsidRDefault="00CF0324"/>
    <w:p w:rsidR="00CF0324" w:rsidRDefault="00124A10">
      <w:pPr>
        <w:pStyle w:val="2"/>
        <w:rPr>
          <w:lang w:val="ru-RU"/>
        </w:rPr>
      </w:pPr>
      <w:bookmarkStart w:id="70" w:name="_Toc68"/>
      <w:r>
        <w:rPr>
          <w:lang w:val="ru-RU"/>
        </w:rPr>
        <w:t xml:space="preserve">10.2. </w:t>
      </w:r>
      <w:r w:rsidRPr="00124A10">
        <w:rPr>
          <w:lang w:val="ru-RU"/>
        </w:rPr>
        <w:t>Флагманский проект «</w:t>
      </w:r>
      <w:r>
        <w:rPr>
          <w:lang w:val="ru-RU"/>
        </w:rPr>
        <w:t>Продовольственное самообеспечение Кондинского района!»</w:t>
      </w:r>
      <w:bookmarkEnd w:id="70"/>
    </w:p>
    <w:p w:rsidR="00CF0324" w:rsidRDefault="00124A10">
      <w:pPr>
        <w:spacing w:line="276" w:lineRule="auto"/>
        <w:ind w:firstLine="708"/>
        <w:jc w:val="both"/>
        <w:rPr>
          <w:b/>
          <w:bCs/>
        </w:rPr>
      </w:pPr>
      <w:r>
        <w:t>Стратегическая цель проекта - формирование продовольственной самообеспеченности района путем создания гарантированного спроса на продукцию местных сельскохозяйственных товаропроизводителей для устойчивого развития агропромышленного комплекса района.</w:t>
      </w:r>
    </w:p>
    <w:p w:rsidR="00CF0324" w:rsidRDefault="00124A10">
      <w:pPr>
        <w:spacing w:line="276" w:lineRule="auto"/>
        <w:ind w:firstLine="708"/>
        <w:jc w:val="both"/>
      </w:pPr>
      <w:r>
        <w:rPr>
          <w:bCs/>
        </w:rPr>
        <w:t xml:space="preserve">Кондинский район имеет </w:t>
      </w:r>
      <w:r>
        <w:t>природные условия для развития производства сельскохозяйственной продукции с использованием свободных мощностей, развитием крестьянско-фермерских хозяйств, созданием и обновлением мощностей по переработке мясомолочной продукции, дикорастущей продукции (гриб, ягода), рыбной продукции, выращиванием овощей, в перспективе включая в этот процесс личные подсобные хозяйства населения.</w:t>
      </w:r>
    </w:p>
    <w:p w:rsidR="00CF0324" w:rsidRDefault="00124A10">
      <w:pPr>
        <w:spacing w:line="276" w:lineRule="auto"/>
        <w:ind w:firstLine="708"/>
        <w:jc w:val="both"/>
        <w:rPr>
          <w:b/>
        </w:rPr>
      </w:pPr>
      <w:r>
        <w:t>Основная задача создания системы продовольственного самообеспечения района: сформировать микроэкономическую систему района, связанную с обеспечением качественной продукцией местных товаропроизводителей, население и образовательных организаций района для сохранения здоровья молодого поколения, с учетом специфики агропромышленного комплекса, организации продовольственного рынка района.</w:t>
      </w:r>
    </w:p>
    <w:p w:rsidR="00CF0324" w:rsidRDefault="00124A10">
      <w:pPr>
        <w:pStyle w:val="afe"/>
        <w:spacing w:before="0" w:beforeAutospacing="0" w:after="0" w:afterAutospacing="0" w:line="180" w:lineRule="atLeast"/>
        <w:ind w:firstLine="360"/>
        <w:jc w:val="both"/>
      </w:pPr>
      <w:r>
        <w:t>Предполагается для достижения поставленных задач, провести следующие мероприятия:</w:t>
      </w:r>
    </w:p>
    <w:p w:rsidR="00CF0324" w:rsidRDefault="00124A10">
      <w:pPr>
        <w:pStyle w:val="afe"/>
        <w:spacing w:before="0" w:beforeAutospacing="0" w:after="0" w:afterAutospacing="0"/>
        <w:ind w:firstLine="360"/>
        <w:jc w:val="both"/>
      </w:pPr>
      <w:r>
        <w:t>вовлечь в сельскохозяйственный оборот земли сельскохозяйственного назначения на территории района;</w:t>
      </w:r>
    </w:p>
    <w:p w:rsidR="00CF0324" w:rsidRDefault="00124A10">
      <w:pPr>
        <w:pStyle w:val="afe"/>
        <w:spacing w:before="0" w:beforeAutospacing="0" w:after="0" w:afterAutospacing="0"/>
        <w:ind w:firstLine="360"/>
        <w:jc w:val="both"/>
        <w:rPr>
          <w:color w:val="1E1D1E"/>
          <w:sz w:val="23"/>
          <w:szCs w:val="23"/>
        </w:rPr>
      </w:pPr>
      <w:r>
        <w:t xml:space="preserve">предоставить поддержку местным сельскохозяйственным товаропроизводителям в рамках муниципальных программ </w:t>
      </w:r>
      <w:r>
        <w:rPr>
          <w:color w:val="1E1D1E"/>
          <w:sz w:val="23"/>
          <w:szCs w:val="23"/>
        </w:rPr>
        <w:t>«Развитие агропромышленного комплекса», «</w:t>
      </w:r>
      <w:r>
        <w:rPr>
          <w:color w:val="1E1D1E"/>
          <w:sz w:val="23"/>
          <w:szCs w:val="23"/>
          <w:shd w:val="clear" w:color="auto" w:fill="FFFFFF"/>
        </w:rPr>
        <w:t>Развитие малого и среднего предпринимательства»</w:t>
      </w:r>
      <w:r>
        <w:t>;</w:t>
      </w:r>
    </w:p>
    <w:p w:rsidR="00CF0324" w:rsidRDefault="00124A10">
      <w:pPr>
        <w:pStyle w:val="afe"/>
        <w:spacing w:before="0" w:beforeAutospacing="0" w:after="0" w:afterAutospacing="0" w:line="180" w:lineRule="atLeast"/>
        <w:ind w:firstLine="360"/>
        <w:jc w:val="both"/>
      </w:pPr>
      <w:r>
        <w:t>предоставить преимущества субъектам малого предпринимательства в соответствии с действующим законодательством Российской Федерации при закупке для муниципальных нужд;</w:t>
      </w:r>
    </w:p>
    <w:p w:rsidR="00CF0324" w:rsidRDefault="00124A10">
      <w:pPr>
        <w:pStyle w:val="afe"/>
        <w:spacing w:before="0" w:beforeAutospacing="0" w:after="0" w:afterAutospacing="0" w:line="180" w:lineRule="atLeast"/>
        <w:ind w:firstLine="360"/>
        <w:jc w:val="both"/>
      </w:pPr>
      <w:r>
        <w:lastRenderedPageBreak/>
        <w:t>популяризовать продукты местных товаропроизводителей среди населения в официальных источниках информации, в социальных сетях.</w:t>
      </w:r>
    </w:p>
    <w:p w:rsidR="00CF0324" w:rsidRDefault="00CF0324">
      <w:pPr>
        <w:pStyle w:val="afe"/>
        <w:spacing w:before="105" w:beforeAutospacing="0" w:after="0" w:afterAutospacing="0" w:line="180" w:lineRule="atLeast"/>
        <w:ind w:firstLine="360"/>
        <w:jc w:val="both"/>
      </w:pPr>
    </w:p>
    <w:p w:rsidR="00CF0324" w:rsidRDefault="00124A10">
      <w:pPr>
        <w:pStyle w:val="2"/>
        <w:rPr>
          <w:lang w:val="ru-RU"/>
        </w:rPr>
      </w:pPr>
      <w:bookmarkStart w:id="71" w:name="_Toc69"/>
      <w:r>
        <w:rPr>
          <w:lang w:val="ru-RU"/>
        </w:rPr>
        <w:t xml:space="preserve">10.3. </w:t>
      </w:r>
      <w:r w:rsidRPr="00124A10">
        <w:rPr>
          <w:lang w:val="ru-RU"/>
        </w:rPr>
        <w:t>Флагманский проект «</w:t>
      </w:r>
      <w:r>
        <w:rPr>
          <w:lang w:val="ru-RU"/>
        </w:rPr>
        <w:t>Продвижение бренда Кондинского района»</w:t>
      </w:r>
      <w:bookmarkEnd w:id="71"/>
    </w:p>
    <w:p w:rsidR="00CF0324" w:rsidRDefault="00124A10">
      <w:pPr>
        <w:spacing w:line="276" w:lineRule="auto"/>
        <w:ind w:firstLine="360"/>
        <w:jc w:val="both"/>
      </w:pPr>
      <w:r>
        <w:t>Кондинский район Ханты-Мансийского автономного округа – Югра – территория комфортного проживания!</w:t>
      </w:r>
    </w:p>
    <w:p w:rsidR="00CF0324" w:rsidRDefault="00124A10">
      <w:pPr>
        <w:spacing w:line="276" w:lineRule="auto"/>
        <w:ind w:firstLine="360"/>
        <w:jc w:val="both"/>
      </w:pPr>
      <w:r>
        <w:t>Стратегическая цель проекта - сформировать положительный имидж территории Кондинского района для местных жителей и жителей близлежащих муниципальных образований автономного округа, вовлечь в процесс брендинга, вызвать эмоции гордости и привязанности к территории района, улучшить миграционную ситуацию района.</w:t>
      </w:r>
    </w:p>
    <w:p w:rsidR="00CF0324" w:rsidRDefault="00124A10">
      <w:pPr>
        <w:spacing w:line="276" w:lineRule="auto"/>
        <w:ind w:firstLine="360"/>
        <w:jc w:val="both"/>
      </w:pPr>
      <w:r>
        <w:t>Задача проекта: сократить отток населения в другие муниципальные образования автономного округа и Тюменской области, Свердловской области, и в будущем (в долгосрочной перспективе до 2036 года) увеличить численность постоянного населения Кондинского района.</w:t>
      </w:r>
    </w:p>
    <w:p w:rsidR="00CF0324" w:rsidRDefault="00124A10">
      <w:pPr>
        <w:pStyle w:val="afe"/>
        <w:spacing w:before="0" w:beforeAutospacing="0" w:after="0" w:afterAutospacing="0" w:line="276" w:lineRule="auto"/>
        <w:ind w:firstLine="360"/>
        <w:jc w:val="both"/>
      </w:pPr>
      <w:r>
        <w:t>Предполагается для достижения поставленных задач, провести следующие мероприятия:</w:t>
      </w:r>
    </w:p>
    <w:p w:rsidR="00CF0324" w:rsidRDefault="00124A10">
      <w:pPr>
        <w:spacing w:line="276" w:lineRule="auto"/>
        <w:ind w:firstLine="360"/>
        <w:jc w:val="both"/>
      </w:pPr>
      <w:r>
        <w:t>позиционирование бренда Кондинского района комфортного проживания, в части функциональных преимуществ: качественные, натуральные, свежие продукты питания местных товаропроизводителей (молочная продукция, мясо и мясная продукция, дикоросы, рыба); доступная социальная инфраструктура, жилье; безопасность и экологичность проживания (чистый воздух, близость природы); доступный внутренний экотуризм на территории Кондинского района; дополнительный доход от сбора даров природы района и рыболовства; в части эмоциональных преимуществ: восхищение красивой, неповторимой, северной природой, реками, озерами; спокойствие, умиротворенность, размеренность жизни граждан; добрые, отзывчивые люди с сильным характером;</w:t>
      </w:r>
    </w:p>
    <w:p w:rsidR="00CF0324" w:rsidRDefault="00124A10">
      <w:pPr>
        <w:spacing w:line="276" w:lineRule="auto"/>
        <w:ind w:firstLine="360"/>
        <w:jc w:val="both"/>
      </w:pPr>
      <w:r>
        <w:t>разработать комплексные мероприятия, способствующие продвижению и популяризации бренда Кондинского района;</w:t>
      </w:r>
    </w:p>
    <w:p w:rsidR="00CF0324" w:rsidRDefault="00124A10">
      <w:pPr>
        <w:spacing w:line="276" w:lineRule="auto"/>
        <w:ind w:firstLine="360"/>
        <w:jc w:val="both"/>
      </w:pPr>
      <w:r>
        <w:t>осуществлять благоустройство населенных пунктов с визуализацией бренда Кондинского района;</w:t>
      </w:r>
    </w:p>
    <w:p w:rsidR="00CF0324" w:rsidRDefault="00124A10">
      <w:pPr>
        <w:spacing w:line="276" w:lineRule="auto"/>
        <w:ind w:firstLine="360"/>
        <w:jc w:val="both"/>
      </w:pPr>
      <w:r>
        <w:t>создание центра креативных индустрий в пгт. Междуреченский для производства сувенирной продукции и сохранение ремесел Конды.</w:t>
      </w:r>
    </w:p>
    <w:p w:rsidR="00CF0324" w:rsidRDefault="00CF0324"/>
    <w:p w:rsidR="00CF0324" w:rsidRDefault="00124A10">
      <w:pPr>
        <w:pStyle w:val="2"/>
        <w:rPr>
          <w:lang w:val="ru-RU"/>
        </w:rPr>
      </w:pPr>
      <w:bookmarkStart w:id="72" w:name="_Toc70"/>
      <w:r>
        <w:rPr>
          <w:lang w:val="ru-RU"/>
        </w:rPr>
        <w:t xml:space="preserve">10.4. </w:t>
      </w:r>
      <w:r w:rsidRPr="00124A10">
        <w:rPr>
          <w:lang w:val="ru-RU"/>
        </w:rPr>
        <w:t>Флагманский проект «</w:t>
      </w:r>
      <w:r>
        <w:rPr>
          <w:lang w:val="ru-RU"/>
        </w:rPr>
        <w:t>Развитие придорожного сервиса в Кондинском районе»</w:t>
      </w:r>
      <w:bookmarkEnd w:id="72"/>
    </w:p>
    <w:p w:rsidR="00CF0324" w:rsidRDefault="00CF0324">
      <w:pPr>
        <w:spacing w:line="276" w:lineRule="auto"/>
        <w:ind w:firstLine="360"/>
        <w:jc w:val="both"/>
      </w:pPr>
    </w:p>
    <w:p w:rsidR="00CF0324" w:rsidRDefault="00124A10">
      <w:pPr>
        <w:spacing w:line="276" w:lineRule="auto"/>
        <w:ind w:firstLine="360"/>
        <w:jc w:val="both"/>
      </w:pPr>
      <w:r>
        <w:t xml:space="preserve">Проект предполагает развитие услуг придорожного сервиса региональной автомобильной дороги «Югра-Юг», проходящей по территории Кондинского района, которая начнет функционировать после 2027 года. В объекты придорожного сервиса, входят здания и сооружения, расположенные на придорожной полосе и предназначенные для обслуживания участников дорожного движения в пути следования (мотели, гостиницы, кемпинги, станции технического обслуживания, автозаправочные станции, пункты питания, торговли, связи, медицинской помощи, автомойки, средства рекламы и иные сооружения). </w:t>
      </w:r>
    </w:p>
    <w:p w:rsidR="00CF0324" w:rsidRDefault="00124A10">
      <w:pPr>
        <w:spacing w:line="276" w:lineRule="auto"/>
        <w:ind w:firstLine="360"/>
        <w:jc w:val="both"/>
        <w:rPr>
          <w:color w:val="1D1333"/>
        </w:rPr>
      </w:pPr>
      <w:r>
        <w:rPr>
          <w:color w:val="1D1333"/>
        </w:rPr>
        <w:lastRenderedPageBreak/>
        <w:t>Стратегическая цель проекта - создание комфортной инфраструктуры придорожного сервиса обеспечивающей безопасность дорожного движения, развитие въездного «автотуризма» позиционирование Кондинского района как Южные ворота Югры.</w:t>
      </w:r>
    </w:p>
    <w:p w:rsidR="00CF0324" w:rsidRDefault="00124A10">
      <w:pPr>
        <w:pStyle w:val="afe"/>
        <w:spacing w:before="105" w:beforeAutospacing="0" w:after="0" w:afterAutospacing="0" w:line="180" w:lineRule="atLeast"/>
        <w:jc w:val="center"/>
      </w:pPr>
      <w:r>
        <w:t>Предполагается для достижения поставленной цели решить следующие задачи:</w:t>
      </w:r>
    </w:p>
    <w:p w:rsidR="00CF0324" w:rsidRDefault="00124A10">
      <w:pPr>
        <w:spacing w:line="276" w:lineRule="auto"/>
        <w:ind w:firstLine="360"/>
        <w:jc w:val="both"/>
      </w:pPr>
      <w:r>
        <w:t>сформировать схему размещения объектов придорожного сервиса с учетом четырех основных категорий пользователей автомобильной дороги (водители большегрузного транспорта; водителей и пассажиров автомобильного транспорта, предназначенного для пассажирских перевозок; водителей и пассажиров легкового транспорта; организованных групп туристов и туристов, передвигающихся на личном транспорте);</w:t>
      </w:r>
    </w:p>
    <w:p w:rsidR="00CF0324" w:rsidRDefault="00124A10">
      <w:pPr>
        <w:spacing w:line="276" w:lineRule="auto"/>
        <w:ind w:firstLine="360"/>
        <w:jc w:val="both"/>
      </w:pPr>
      <w:r>
        <w:t>синхронизировать схему с документами территориального планирования;</w:t>
      </w:r>
    </w:p>
    <w:p w:rsidR="00CF0324" w:rsidRDefault="00124A10">
      <w:pPr>
        <w:spacing w:line="276" w:lineRule="auto"/>
        <w:ind w:firstLine="360"/>
        <w:jc w:val="both"/>
      </w:pPr>
      <w:r>
        <w:t>создать благоприятные условия для развития предпринимательства и привлечение инвестиций в строительство объектов придорожного сервиса;</w:t>
      </w:r>
    </w:p>
    <w:p w:rsidR="00CF0324" w:rsidRDefault="00124A10">
      <w:pPr>
        <w:spacing w:line="276" w:lineRule="auto"/>
        <w:ind w:firstLine="360"/>
        <w:jc w:val="both"/>
      </w:pPr>
      <w:r>
        <w:t>организовать ярмарочные площадки для цивилизованной торговли с личных подсобных хозяйств;</w:t>
      </w:r>
    </w:p>
    <w:p w:rsidR="00CF0324" w:rsidRDefault="00124A10">
      <w:pPr>
        <w:spacing w:line="276" w:lineRule="auto"/>
        <w:ind w:firstLine="360"/>
        <w:jc w:val="both"/>
      </w:pPr>
      <w:r>
        <w:t>использовать визуализацию бренда Кондинского района на объектах придорожного сервиса;</w:t>
      </w:r>
    </w:p>
    <w:p w:rsidR="00CF0324" w:rsidRDefault="00124A10">
      <w:pPr>
        <w:spacing w:line="276" w:lineRule="auto"/>
        <w:ind w:firstLine="360"/>
        <w:jc w:val="both"/>
      </w:pPr>
      <w:r>
        <w:t>использовать основные требования к объектам придорожного сервиса, установленные ГОСТ 33062-2014 «Межгосударственный стандарт. Дороги автомобильные общего пользования. Требования к размещению объектов дорожного и придорожного сервиса (приказ Росстандарта от 14 августа 2015 года № 1163-ст).</w:t>
      </w:r>
    </w:p>
    <w:p w:rsidR="00CF0324" w:rsidRDefault="00CF0324">
      <w:pPr>
        <w:spacing w:line="276" w:lineRule="auto"/>
        <w:ind w:firstLine="360"/>
        <w:jc w:val="both"/>
      </w:pPr>
    </w:p>
    <w:p w:rsidR="00CF0324" w:rsidRDefault="00124A10">
      <w:pPr>
        <w:pStyle w:val="2"/>
        <w:rPr>
          <w:lang w:val="ru-RU"/>
        </w:rPr>
      </w:pPr>
      <w:bookmarkStart w:id="73" w:name="_Toc71"/>
      <w:r>
        <w:rPr>
          <w:lang w:val="ru-RU"/>
        </w:rPr>
        <w:t xml:space="preserve">10.5. </w:t>
      </w:r>
      <w:r w:rsidRPr="00124A10">
        <w:rPr>
          <w:lang w:val="ru-RU"/>
        </w:rPr>
        <w:t>Флагмански</w:t>
      </w:r>
      <w:r>
        <w:rPr>
          <w:lang w:val="ru-RU"/>
        </w:rPr>
        <w:t>е</w:t>
      </w:r>
      <w:r w:rsidRPr="00124A10">
        <w:rPr>
          <w:lang w:val="ru-RU"/>
        </w:rPr>
        <w:t xml:space="preserve"> </w:t>
      </w:r>
      <w:r>
        <w:rPr>
          <w:lang w:val="ru-RU"/>
        </w:rPr>
        <w:t xml:space="preserve">инвестиционные </w:t>
      </w:r>
      <w:r w:rsidRPr="00124A10">
        <w:rPr>
          <w:lang w:val="ru-RU"/>
        </w:rPr>
        <w:t>проект</w:t>
      </w:r>
      <w:r>
        <w:rPr>
          <w:lang w:val="ru-RU"/>
        </w:rPr>
        <w:t>ы Кондинского района</w:t>
      </w:r>
      <w:bookmarkEnd w:id="73"/>
    </w:p>
    <w:p w:rsidR="00CF0324" w:rsidRDefault="00CF0324">
      <w:pPr>
        <w:spacing w:line="276" w:lineRule="auto"/>
        <w:ind w:firstLine="360"/>
        <w:jc w:val="both"/>
      </w:pPr>
    </w:p>
    <w:p w:rsidR="00CF0324" w:rsidRDefault="00124A10">
      <w:pPr>
        <w:spacing w:line="276" w:lineRule="auto"/>
        <w:ind w:firstLine="360"/>
        <w:jc w:val="both"/>
      </w:pPr>
      <w:r>
        <w:t>Национальным Институтом Инвестиционного развития территорий в 2023 году проведены аналитические исследования в результате которых сформирован пул инвестиционных проектов Кондинского района:</w:t>
      </w:r>
    </w:p>
    <w:p w:rsidR="00CF0324" w:rsidRDefault="00124A10">
      <w:pPr>
        <w:spacing w:line="276" w:lineRule="auto"/>
        <w:ind w:firstLine="360"/>
        <w:jc w:val="both"/>
        <w:rPr>
          <w:b/>
          <w:i/>
        </w:rPr>
      </w:pPr>
      <w:r>
        <w:rPr>
          <w:b/>
          <w:i/>
        </w:rPr>
        <w:t>10.5.1. Организация деревообработки, производства сухого пиломатериала, столярных изделий:</w:t>
      </w:r>
    </w:p>
    <w:p w:rsidR="00CF0324" w:rsidRDefault="00124A10">
      <w:pPr>
        <w:spacing w:line="276" w:lineRule="auto"/>
        <w:ind w:firstLine="360"/>
        <w:jc w:val="both"/>
      </w:pPr>
      <w:r>
        <w:t>Суть проекта заключается в организации переработки древесины, заготавливаемой местными компаниями, с выпуском сухого пиломатериала (брус, доска обрезная/необрезная), столярных изделий и продукции переработки отходов — пеллет, для частных лиц и компаний деревянного домостроения ХМАО-Югры; дополнительной продукцией могут быть доска пола, плоские обшивки, террасная доска, и пр.; объем производства готовой продукции (брус, доска обрезная/необрезная) — 18 тыс. куб. м и до 900 тонн пеллет ежегодно.</w:t>
      </w:r>
    </w:p>
    <w:p w:rsidR="00CF0324" w:rsidRDefault="00CF0324">
      <w:pPr>
        <w:spacing w:line="276" w:lineRule="auto"/>
        <w:ind w:firstLine="360"/>
        <w:jc w:val="both"/>
      </w:pPr>
    </w:p>
    <w:p w:rsidR="00CF0324" w:rsidRDefault="00124A10">
      <w:pPr>
        <w:spacing w:line="276" w:lineRule="auto"/>
        <w:ind w:firstLine="360"/>
        <w:jc w:val="both"/>
        <w:rPr>
          <w:b/>
          <w:i/>
        </w:rPr>
      </w:pPr>
      <w:r>
        <w:rPr>
          <w:b/>
          <w:i/>
        </w:rPr>
        <w:t>10.5.2. Организация животноводческого хозяйства мясного направления с производством полуфабрикатов, колбас, консервов:</w:t>
      </w:r>
    </w:p>
    <w:p w:rsidR="00CF0324" w:rsidRDefault="00124A10">
      <w:pPr>
        <w:spacing w:line="276" w:lineRule="auto"/>
        <w:jc w:val="both"/>
      </w:pPr>
      <w:r>
        <w:t>Строительство и организация работы в сельскохозяйственной зоне животноводческого/фермерского хозяйства (КРС мясного направления, порода Абердин-Ангус, до 4,5 тыс. голов).</w:t>
      </w:r>
    </w:p>
    <w:p w:rsidR="00CF0324" w:rsidRDefault="00124A10">
      <w:pPr>
        <w:spacing w:line="276" w:lineRule="auto"/>
        <w:ind w:firstLine="360"/>
        <w:jc w:val="both"/>
      </w:pPr>
      <w:r>
        <w:t xml:space="preserve">Суть проекта заключается в организации воспроизводства и содержания  КРС мясного направления, с увеличением динамики поголовья, планируется с целью продажи племенного скота живым весом, а также откорма и убоя бычков, с дальнейшей в т. ч. глубокой переработкой и реализацией мясной продукции (туши и полутуши / </w:t>
      </w:r>
      <w:r>
        <w:lastRenderedPageBreak/>
        <w:t>полуфабрикаты — гуляш, фарш, антрекот, суповой набор, вырезка / колбасы и консервы и др.); планируемый объем производства составит до 500 тонн мяса, до 400 тонн мясных полуфабрикатов и до 350 голов племенного скота ежегодно. Потребуется специализированная техника и оборудование (в т. ч. рефрижератор; мини-завод для производства кормов).</w:t>
      </w:r>
    </w:p>
    <w:p w:rsidR="00CF0324" w:rsidRDefault="00CF0324">
      <w:pPr>
        <w:spacing w:line="276" w:lineRule="auto"/>
        <w:ind w:firstLine="360"/>
        <w:jc w:val="both"/>
      </w:pPr>
    </w:p>
    <w:p w:rsidR="00CF0324" w:rsidRDefault="00124A10">
      <w:pPr>
        <w:spacing w:line="276" w:lineRule="auto"/>
        <w:ind w:firstLine="360"/>
        <w:jc w:val="both"/>
        <w:rPr>
          <w:b/>
          <w:i/>
        </w:rPr>
      </w:pPr>
      <w:r>
        <w:rPr>
          <w:b/>
          <w:i/>
        </w:rPr>
        <w:t>10.5.3. Организация животноводческого хозяйства молочного направления для локального рынка с производством молочной продукции:</w:t>
      </w:r>
    </w:p>
    <w:p w:rsidR="00CF0324" w:rsidRDefault="00124A10">
      <w:pPr>
        <w:spacing w:line="276" w:lineRule="auto"/>
        <w:ind w:firstLine="360"/>
        <w:jc w:val="both"/>
      </w:pPr>
      <w:r>
        <w:t>Строительство животноводческого комплекса молочного направления  (КРС на 800 голов дойного стада). Основной объем производимого хозяйством молока будет перерабатываться в конечный продукт — молочную и кисломолочную продукцию на собственных мощностях (программа производства — 5 тыс. тонн в год: молоко, напиток кефирный, сметана или сливки питьевые, творог, мягкий сыр, сливочное масло и пр.). Кроме того, побочной продукцией будет являться мясо КРС (выбраковка, плановая замена дойного стада, бычки) — до 200 голов ежегодно.</w:t>
      </w:r>
    </w:p>
    <w:p w:rsidR="00CF0324" w:rsidRDefault="00CF0324">
      <w:pPr>
        <w:spacing w:line="276" w:lineRule="auto"/>
        <w:ind w:firstLine="360"/>
        <w:jc w:val="both"/>
      </w:pPr>
    </w:p>
    <w:p w:rsidR="00CF0324" w:rsidRDefault="00124A10">
      <w:pPr>
        <w:spacing w:line="276" w:lineRule="auto"/>
        <w:ind w:firstLine="360"/>
        <w:jc w:val="both"/>
        <w:rPr>
          <w:b/>
          <w:i/>
        </w:rPr>
      </w:pPr>
      <w:r>
        <w:rPr>
          <w:b/>
          <w:i/>
        </w:rPr>
        <w:t>10.5.4. Организация глубокой переработки дикоросов с производством сырья для нужд фармацевтической и пищевой промышленности, косметологии (экстракты, эссенции, эфирные масла и т.п.):</w:t>
      </w:r>
    </w:p>
    <w:p w:rsidR="00CF0324" w:rsidRDefault="00124A10">
      <w:pPr>
        <w:spacing w:line="276" w:lineRule="auto"/>
        <w:ind w:firstLine="360"/>
        <w:jc w:val="both"/>
      </w:pPr>
      <w:r>
        <w:t>Создание предприятия по глубокой переработке дикорастущих растений и ягод с выпуском конечной продукции для нужд косметологической и фармацевтической промышленности (прием от населения и организаций сырья и его накопление для обеспечения годовой производственной программы).</w:t>
      </w:r>
    </w:p>
    <w:p w:rsidR="00CF0324" w:rsidRDefault="00124A10">
      <w:pPr>
        <w:spacing w:line="276" w:lineRule="auto"/>
        <w:ind w:firstLine="360"/>
        <w:jc w:val="both"/>
      </w:pPr>
      <w:r>
        <w:t>Основная продукция: фармацевтические субстанции (API) и экстракты, в т. ч. сухие — продукты переработки дикорастущих лекарственных трав, ягод, почек, листьев, березового гриба и пр. (для дальнейшего использования при изготовлении натуральной косметики, например, кремов для рук, сывороток, БАД и функциональных продуктов питания, а также фармацевтических препаратов c иммуностимулирующим и адаптогенным действием); объем производства составит 45—50 тонн экстрактов и субстанций ежегодно.</w:t>
      </w:r>
    </w:p>
    <w:p w:rsidR="00CF0324" w:rsidRDefault="00CF0324">
      <w:pPr>
        <w:spacing w:line="276" w:lineRule="auto"/>
        <w:ind w:firstLine="360"/>
        <w:jc w:val="both"/>
      </w:pPr>
    </w:p>
    <w:p w:rsidR="00CF0324" w:rsidRDefault="00124A10">
      <w:pPr>
        <w:spacing w:line="276" w:lineRule="auto"/>
        <w:ind w:firstLine="360"/>
        <w:jc w:val="both"/>
        <w:rPr>
          <w:b/>
          <w:i/>
        </w:rPr>
      </w:pPr>
      <w:r>
        <w:rPr>
          <w:b/>
          <w:i/>
        </w:rPr>
        <w:t>10.5.5. Организация кооператива по приему/заготовке, первичной обработке и укрупнению партий клюквы, белых грибов, брусники (с мощностями для шоковой заморозки и оптовой упаковки):</w:t>
      </w:r>
    </w:p>
    <w:p w:rsidR="00CF0324" w:rsidRDefault="00124A10">
      <w:pPr>
        <w:spacing w:line="276" w:lineRule="auto"/>
        <w:ind w:firstLine="360"/>
        <w:jc w:val="both"/>
      </w:pPr>
      <w:r>
        <w:t>Создание предприятия по приему от КФХ, индивидуальных предпринимателей и населения (профессиональных сборщиков) дикорастущих ягод и грибов для переработки и реализации под единым брендом; предполагается выпуск продукции заморозки, сушки, ферментации. Объем производства — 150 тонн продукции (ягоды и грибы) в год.</w:t>
      </w:r>
    </w:p>
    <w:p w:rsidR="00CF0324" w:rsidRDefault="00CF0324">
      <w:pPr>
        <w:spacing w:line="276" w:lineRule="auto"/>
        <w:ind w:firstLine="360"/>
        <w:jc w:val="both"/>
      </w:pPr>
    </w:p>
    <w:p w:rsidR="00CF0324" w:rsidRPr="00124A10" w:rsidRDefault="00124A10">
      <w:pPr>
        <w:pStyle w:val="1"/>
        <w:rPr>
          <w:sz w:val="24"/>
          <w:lang w:val="ru-RU"/>
        </w:rPr>
      </w:pPr>
      <w:bookmarkStart w:id="74" w:name="_Toc72"/>
      <w:r w:rsidRPr="00124A10">
        <w:rPr>
          <w:lang w:val="ru-RU"/>
        </w:rPr>
        <w:br w:type="page" w:clear="all"/>
      </w:r>
      <w:r w:rsidRPr="00124A10">
        <w:rPr>
          <w:sz w:val="24"/>
          <w:lang w:val="ru-RU"/>
        </w:rPr>
        <w:lastRenderedPageBreak/>
        <w:t xml:space="preserve">РАЗДЕЛ 11. </w:t>
      </w:r>
      <w:r>
        <w:rPr>
          <w:sz w:val="24"/>
          <w:lang w:val="ru-RU"/>
        </w:rPr>
        <w:t>НАПРАВЛЕНИЯ</w:t>
      </w:r>
      <w:r w:rsidRPr="00124A10">
        <w:rPr>
          <w:sz w:val="24"/>
          <w:lang w:val="ru-RU"/>
        </w:rPr>
        <w:t xml:space="preserve"> ДЕЯТЕЛЬНОСТИ ОРГАНОВ МЕСТНОГО САМОУПРАВЛЕНИЯ КОНДИНСКОГО РАЙОНА </w:t>
      </w:r>
      <w:r w:rsidRPr="00124A10">
        <w:rPr>
          <w:bCs/>
          <w:sz w:val="24"/>
          <w:lang w:val="ru-RU"/>
        </w:rPr>
        <w:t>ХАНТЫ-МАНСИЙСКОГО АВТОНОМНОГО ОКРУГА-ЮГРЫ</w:t>
      </w:r>
      <w:r w:rsidRPr="00124A10">
        <w:rPr>
          <w:sz w:val="24"/>
          <w:lang w:val="ru-RU"/>
        </w:rPr>
        <w:t xml:space="preserve"> НА ПЕРИОД ДО 2036 ГОДА</w:t>
      </w:r>
      <w:bookmarkEnd w:id="74"/>
    </w:p>
    <w:p w:rsidR="00CF0324" w:rsidRDefault="00124A10">
      <w:pPr>
        <w:pStyle w:val="afff1"/>
      </w:pPr>
      <w:bookmarkStart w:id="75" w:name="_Toc73"/>
      <w:r>
        <w:t>11.1. МЕСТНОЕ САМОУПРАВЛЕНИЕ</w:t>
      </w:r>
      <w:bookmarkEnd w:id="75"/>
    </w:p>
    <w:p w:rsidR="00CF0324" w:rsidRDefault="00124A10">
      <w:pPr>
        <w:spacing w:line="276" w:lineRule="auto"/>
        <w:ind w:firstLine="708"/>
        <w:jc w:val="both"/>
        <w:rPr>
          <w:rFonts w:eastAsia="TimesNewRomanPSMT"/>
        </w:rPr>
      </w:pPr>
      <w:r>
        <w:rPr>
          <w:rFonts w:eastAsia="TimesNewRomanPSMT"/>
        </w:rPr>
        <w:t>Стратегическая цель развития системы местного самоуправления Кондинского района в период реализации настоящей Стратегии – улучшение качества жизни населения за счет проведения и обеспечения реализации</w:t>
      </w:r>
      <w:r>
        <w:t xml:space="preserve"> </w:t>
      </w:r>
      <w:r>
        <w:rPr>
          <w:rFonts w:eastAsia="TimesNewRomanPSMT"/>
        </w:rPr>
        <w:t>эффективной социально-экономический политики в соответствии с региональными и федеральными ориентирами социально-экономического развития.</w:t>
      </w:r>
    </w:p>
    <w:p w:rsidR="00CF0324" w:rsidRDefault="00124A10">
      <w:pPr>
        <w:spacing w:line="276" w:lineRule="auto"/>
        <w:ind w:firstLine="708"/>
        <w:jc w:val="both"/>
        <w:rPr>
          <w:rFonts w:eastAsia="TimesNewRomanPSMT"/>
        </w:rPr>
      </w:pPr>
      <w:r>
        <w:rPr>
          <w:rFonts w:eastAsia="TimesNewRomanPSMT"/>
        </w:rPr>
        <w:t>Основные задачи, обеспечивающие достижение поставленной цели:</w:t>
      </w:r>
    </w:p>
    <w:p w:rsidR="00CF0324" w:rsidRDefault="00124A10">
      <w:pPr>
        <w:spacing w:line="276" w:lineRule="auto"/>
        <w:ind w:firstLine="708"/>
        <w:jc w:val="both"/>
        <w:rPr>
          <w:rFonts w:eastAsia="TimesNewRomanPSMT"/>
        </w:rPr>
      </w:pPr>
      <w:r>
        <w:rPr>
          <w:rFonts w:eastAsia="TimesNewRomanPSMT"/>
        </w:rPr>
        <w:t>повышение эффективности деятельности органов местного самоуправления путем формирования оптимальной структуры, соответствующей для решения вопросов местного значения, переданным полномочиям и поставленным Правительством Ханты-Мансийского автономного округа – Югры задачам;</w:t>
      </w:r>
    </w:p>
    <w:p w:rsidR="00CF0324" w:rsidRDefault="00124A10">
      <w:pPr>
        <w:spacing w:line="276" w:lineRule="auto"/>
        <w:ind w:firstLine="708"/>
        <w:jc w:val="both"/>
        <w:rPr>
          <w:rFonts w:eastAsia="TimesNewRomanPSMT"/>
        </w:rPr>
      </w:pPr>
      <w:r>
        <w:rPr>
          <w:rFonts w:eastAsia="TimesNewRomanPSMT"/>
        </w:rPr>
        <w:t>выявление социальных целей, приоритетов и потребностей населения района;</w:t>
      </w:r>
    </w:p>
    <w:p w:rsidR="00CF0324" w:rsidRDefault="00124A10">
      <w:pPr>
        <w:spacing w:line="276" w:lineRule="auto"/>
        <w:ind w:firstLine="708"/>
        <w:jc w:val="both"/>
        <w:rPr>
          <w:rFonts w:eastAsia="TimesNewRomanPSMT"/>
        </w:rPr>
      </w:pPr>
      <w:r>
        <w:rPr>
          <w:rFonts w:eastAsia="TimesNewRomanPSMT"/>
        </w:rPr>
        <w:t>создание необходимых условий для эффективной деятельности расположенных на территории района предприятий и организаций всех форм собственности и ведомственной принадлежности;</w:t>
      </w:r>
    </w:p>
    <w:p w:rsidR="00CF0324" w:rsidRDefault="00124A10">
      <w:pPr>
        <w:spacing w:line="276" w:lineRule="auto"/>
        <w:ind w:firstLine="708"/>
        <w:jc w:val="both"/>
        <w:rPr>
          <w:rFonts w:eastAsia="TimesNewRomanPSMT"/>
        </w:rPr>
      </w:pPr>
      <w:r>
        <w:rPr>
          <w:rFonts w:eastAsia="TimesNewRomanPSMT"/>
        </w:rPr>
        <w:t>достижение лучших результатов сравнительной рейтинговой оценки эффективности деятельности органов местного самоуправления Кондинского района среди муниципальных образований Ханты-Мансийского автономного округа-Югры (в 2022 году район занял 7 место по комплексной оценке среди 22 муниципальных образований);</w:t>
      </w:r>
    </w:p>
    <w:p w:rsidR="00CF0324" w:rsidRDefault="00124A10">
      <w:pPr>
        <w:spacing w:line="276" w:lineRule="auto"/>
        <w:ind w:firstLine="708"/>
        <w:jc w:val="both"/>
      </w:pPr>
      <w:r>
        <w:t>укрепление финансово-экономической основы муниципалитета;</w:t>
      </w:r>
    </w:p>
    <w:p w:rsidR="00CF0324" w:rsidRDefault="00124A10">
      <w:pPr>
        <w:spacing w:line="276" w:lineRule="auto"/>
        <w:ind w:firstLine="708"/>
        <w:jc w:val="both"/>
      </w:pPr>
      <w:r>
        <w:t>формирование новых устойчивых источников доходов местного бюджета и повышение инвестиционной привлекательности территории;</w:t>
      </w:r>
    </w:p>
    <w:p w:rsidR="00CF0324" w:rsidRDefault="00124A10">
      <w:pPr>
        <w:spacing w:line="276" w:lineRule="auto"/>
        <w:ind w:firstLine="708"/>
        <w:jc w:val="both"/>
      </w:pPr>
      <w:r>
        <w:t>развитие форм участия граждан в местном самоуправлении путем обеспечения условий для реализации их прав, стимулирования реального участия населения в общественно значимых проектах, конструирования каналов прямой и обратной связи «муниципалитет – население» с использованием современных информационных технологий, достижения гражданского согласия, реализация проектов инициативного бюджетирования.</w:t>
      </w:r>
    </w:p>
    <w:p w:rsidR="00CF0324" w:rsidRDefault="00124A10">
      <w:pPr>
        <w:spacing w:line="276" w:lineRule="auto"/>
        <w:ind w:firstLine="708"/>
        <w:jc w:val="both"/>
      </w:pPr>
      <w:r>
        <w:t>Структуру органов местного самоуправления Кондинского района составляют: Дума (представительный орган); глава района; администрация района (исполнительно-распорядительный орган местного самоуправления); Контрольно-счетная палата; совещательные органы местного самоуправления.</w:t>
      </w:r>
    </w:p>
    <w:p w:rsidR="00CF0324" w:rsidRDefault="00124A10">
      <w:pPr>
        <w:spacing w:line="276" w:lineRule="auto"/>
        <w:ind w:firstLine="708"/>
        <w:jc w:val="both"/>
      </w:pPr>
      <w:r>
        <w:t>Административно-территориальное устройство Кондинского района включает 5 городских и 5 сельских поселений.</w:t>
      </w:r>
    </w:p>
    <w:p w:rsidR="00CF0324" w:rsidRDefault="00124A10">
      <w:pPr>
        <w:spacing w:line="276" w:lineRule="auto"/>
        <w:ind w:firstLine="708"/>
        <w:jc w:val="both"/>
      </w:pPr>
      <w:r>
        <w:t>Основными направлениями развития местного самоуправления в Кондинском районе в период реализации настоящей Стратегии будут являться:</w:t>
      </w:r>
    </w:p>
    <w:p w:rsidR="00CF0324" w:rsidRDefault="00124A10">
      <w:pPr>
        <w:spacing w:line="276" w:lineRule="auto"/>
        <w:ind w:firstLine="708"/>
        <w:jc w:val="both"/>
      </w:pPr>
      <w:r>
        <w:t>разработка стратегии, прогнозов, планов социально-экономического развития и муниципальных программ;</w:t>
      </w:r>
    </w:p>
    <w:p w:rsidR="00CF0324" w:rsidRDefault="00124A10">
      <w:pPr>
        <w:spacing w:line="276" w:lineRule="auto"/>
        <w:ind w:firstLine="708"/>
        <w:jc w:val="both"/>
      </w:pPr>
      <w:r>
        <w:t xml:space="preserve">повышения эффективности муниципального управления и развития партнерских отношений с гражданским обществом и бизнесом за счет использования информационно-коммуникационных технологий (далее – ИКТ); </w:t>
      </w:r>
    </w:p>
    <w:p w:rsidR="00CF0324" w:rsidRDefault="00124A10">
      <w:pPr>
        <w:spacing w:line="276" w:lineRule="auto"/>
        <w:ind w:firstLine="708"/>
        <w:jc w:val="both"/>
        <w:rPr>
          <w:lang w:eastAsia="en-US"/>
        </w:rPr>
      </w:pPr>
      <w:r>
        <w:rPr>
          <w:lang w:eastAsia="en-US"/>
        </w:rPr>
        <w:lastRenderedPageBreak/>
        <w:t>повышение качества предоставления государственных и муниципальных услуг гражданам и организациям за счет внедрения ИКТ;</w:t>
      </w:r>
    </w:p>
    <w:p w:rsidR="00CF0324" w:rsidRDefault="00124A10">
      <w:pPr>
        <w:spacing w:line="276" w:lineRule="auto"/>
        <w:ind w:firstLine="708"/>
        <w:jc w:val="both"/>
      </w:pPr>
      <w:r>
        <w:t>информатизация секторов социальной сферы;</w:t>
      </w:r>
    </w:p>
    <w:p w:rsidR="00CF0324" w:rsidRDefault="00124A10">
      <w:pPr>
        <w:spacing w:line="276" w:lineRule="auto"/>
        <w:ind w:firstLine="708"/>
        <w:jc w:val="both"/>
        <w:rPr>
          <w:rFonts w:eastAsia="TimesNewRomanPSMT"/>
        </w:rPr>
      </w:pPr>
      <w:r>
        <w:t>стимулирование эффективного использования трудового потенциала района;</w:t>
      </w:r>
    </w:p>
    <w:p w:rsidR="00CF0324" w:rsidRDefault="00124A10">
      <w:pPr>
        <w:spacing w:line="276" w:lineRule="auto"/>
        <w:ind w:firstLine="708"/>
        <w:jc w:val="both"/>
      </w:pPr>
      <w:r>
        <w:t>поддержание и развитие социальной и производственной инфраструктуры;</w:t>
      </w:r>
    </w:p>
    <w:p w:rsidR="00CF0324" w:rsidRDefault="00124A10">
      <w:pPr>
        <w:spacing w:line="276" w:lineRule="auto"/>
        <w:ind w:firstLine="708"/>
        <w:jc w:val="both"/>
      </w:pPr>
      <w:r>
        <w:t>инициирование конкурентной борьбы по предоставлению услуг населению, в том числе муниципальными структурами;</w:t>
      </w:r>
    </w:p>
    <w:p w:rsidR="00CF0324" w:rsidRDefault="00124A10">
      <w:pPr>
        <w:spacing w:line="276" w:lineRule="auto"/>
        <w:ind w:firstLine="708"/>
        <w:jc w:val="both"/>
      </w:pPr>
      <w:r>
        <w:t>наполнение местного бюджета и рациональное его использование;</w:t>
      </w:r>
    </w:p>
    <w:p w:rsidR="00CF0324" w:rsidRDefault="00124A10">
      <w:pPr>
        <w:spacing w:line="276" w:lineRule="auto"/>
        <w:ind w:firstLine="708"/>
        <w:jc w:val="both"/>
      </w:pPr>
      <w:r>
        <w:t>сохранение социальной направленности бюджета;</w:t>
      </w:r>
    </w:p>
    <w:p w:rsidR="00CF0324" w:rsidRDefault="00124A10">
      <w:pPr>
        <w:spacing w:line="276" w:lineRule="auto"/>
        <w:ind w:firstLine="708"/>
        <w:jc w:val="both"/>
      </w:pPr>
      <w:r>
        <w:t>обеспечение роста притока внебюджетных ресурсов;</w:t>
      </w:r>
    </w:p>
    <w:p w:rsidR="00CF0324" w:rsidRDefault="00124A10">
      <w:pPr>
        <w:spacing w:line="276" w:lineRule="auto"/>
        <w:ind w:firstLine="708"/>
        <w:jc w:val="both"/>
      </w:pPr>
      <w:r>
        <w:t>эффективное владение и распоряжение муниципальной собственностью, рациональное ее использование;</w:t>
      </w:r>
    </w:p>
    <w:p w:rsidR="00CF0324" w:rsidRDefault="00124A10">
      <w:pPr>
        <w:spacing w:line="276" w:lineRule="auto"/>
        <w:ind w:firstLine="708"/>
        <w:jc w:val="both"/>
      </w:pPr>
      <w:r>
        <w:t>совершенствование системы управления муниципальной собственностью за счет разработки комплексных подходов, обеспечивающих эффективное использование земель и муниципального имущества;</w:t>
      </w:r>
    </w:p>
    <w:p w:rsidR="00CF0324" w:rsidRDefault="00124A10">
      <w:pPr>
        <w:spacing w:line="276" w:lineRule="auto"/>
        <w:ind w:firstLine="708"/>
        <w:jc w:val="both"/>
      </w:pPr>
      <w:r>
        <w:t>создание условий для развития рыночной среды;</w:t>
      </w:r>
    </w:p>
    <w:p w:rsidR="00CF0324" w:rsidRDefault="00124A10">
      <w:pPr>
        <w:spacing w:line="276" w:lineRule="auto"/>
        <w:ind w:firstLine="708"/>
        <w:jc w:val="both"/>
      </w:pPr>
      <w:r>
        <w:t>организация рабочих мест, оптимизация занятости и демографической нагрузки на экономику района;</w:t>
      </w:r>
    </w:p>
    <w:p w:rsidR="00CF0324" w:rsidRDefault="00124A10">
      <w:pPr>
        <w:spacing w:line="276" w:lineRule="auto"/>
        <w:ind w:firstLine="708"/>
        <w:jc w:val="both"/>
      </w:pPr>
      <w:r>
        <w:t>налаживание и укрепление экономических и производственных связей с другими городами, районами (развитие межмуниципального взаимодействия), странами;</w:t>
      </w:r>
    </w:p>
    <w:p w:rsidR="00CF0324" w:rsidRDefault="00124A10">
      <w:pPr>
        <w:spacing w:line="276" w:lineRule="auto"/>
        <w:ind w:firstLine="708"/>
        <w:jc w:val="both"/>
      </w:pPr>
      <w:r>
        <w:t>вовлечение граждан в процесс осуществления муниципального управления;</w:t>
      </w:r>
    </w:p>
    <w:p w:rsidR="00CF0324" w:rsidRDefault="00124A10">
      <w:pPr>
        <w:spacing w:line="276" w:lineRule="auto"/>
        <w:ind w:firstLine="708"/>
        <w:jc w:val="both"/>
      </w:pPr>
      <w:r>
        <w:t>поддержка традиционных средств распространения информации (радио-, телевещание, печатные средства массовой информации);</w:t>
      </w:r>
    </w:p>
    <w:p w:rsidR="00CF0324" w:rsidRDefault="00124A10">
      <w:pPr>
        <w:spacing w:line="276" w:lineRule="auto"/>
        <w:ind w:firstLine="708"/>
        <w:jc w:val="both"/>
      </w:pPr>
      <w:r>
        <w:t>обеспечение возможности использования информационных и коммуникационных технологий при проведении опросов населения;</w:t>
      </w:r>
    </w:p>
    <w:p w:rsidR="00CF0324" w:rsidRDefault="00124A10">
      <w:pPr>
        <w:spacing w:line="276" w:lineRule="auto"/>
        <w:ind w:firstLine="708"/>
        <w:jc w:val="both"/>
      </w:pPr>
      <w:r>
        <w:t>поддержание деятельности общественных организаций на территории района (ветеранов войны и труда, профсоюзов и др.);</w:t>
      </w:r>
    </w:p>
    <w:p w:rsidR="00CF0324" w:rsidRDefault="00124A10">
      <w:pPr>
        <w:spacing w:line="276" w:lineRule="auto"/>
        <w:ind w:firstLine="708"/>
        <w:jc w:val="both"/>
      </w:pPr>
      <w:r>
        <w:t>взаимодействие с многофункциональным центром (МФЦ), реализующим принцип «одного окна» при предоставлении государственных и муниципальных услуг в Ханты-Мансийском автономном округе – Югре;</w:t>
      </w:r>
    </w:p>
    <w:p w:rsidR="00CF0324" w:rsidRDefault="00124A10">
      <w:pPr>
        <w:spacing w:line="276" w:lineRule="auto"/>
        <w:ind w:firstLine="708"/>
        <w:jc w:val="both"/>
      </w:pPr>
      <w:r>
        <w:t>повышение престижа муниципальной службы и авторитета муниципальных служащих, формирование кадрового состава (с привлечением молодых сотрудников), обладающего необходимыми профессиональными качествами и способного решать вопросы жизнеобеспечения горожан.</w:t>
      </w:r>
    </w:p>
    <w:p w:rsidR="00CF0324" w:rsidRDefault="00124A10">
      <w:pPr>
        <w:pStyle w:val="afff1"/>
      </w:pPr>
      <w:bookmarkStart w:id="76" w:name="_Toc74"/>
      <w:r>
        <w:t>11.2. УПРАВЛЕНИЕ МУНИЦИПАЛЬНОЙ СОБСТВЕННОСТЬЮ</w:t>
      </w:r>
      <w:bookmarkEnd w:id="76"/>
    </w:p>
    <w:p w:rsidR="00CF0324" w:rsidRDefault="00124A10">
      <w:pPr>
        <w:spacing w:line="276" w:lineRule="auto"/>
        <w:ind w:firstLine="708"/>
        <w:jc w:val="both"/>
      </w:pPr>
      <w:r>
        <w:t xml:space="preserve">Основными стратегическими целями управления муниципальной собственностью Кондинского района являются: </w:t>
      </w:r>
      <w:r>
        <w:rPr>
          <w:lang w:eastAsia="en-US"/>
        </w:rPr>
        <w:t>обеспечение устойчивого пополнения доходов местного бюджета, эффективное выполнение социальных обязательств.</w:t>
      </w:r>
    </w:p>
    <w:p w:rsidR="00CF0324" w:rsidRDefault="00124A10">
      <w:pPr>
        <w:spacing w:line="276" w:lineRule="auto"/>
        <w:ind w:firstLine="708"/>
        <w:jc w:val="both"/>
      </w:pPr>
      <w:r>
        <w:t>Для достижения указанных целей необходимо решить следующие задачи:</w:t>
      </w:r>
    </w:p>
    <w:p w:rsidR="00CF0324" w:rsidRDefault="00124A10">
      <w:pPr>
        <w:spacing w:line="276" w:lineRule="auto"/>
        <w:ind w:firstLine="708"/>
        <w:jc w:val="both"/>
        <w:rPr>
          <w:lang w:eastAsia="en-US"/>
        </w:rPr>
      </w:pPr>
      <w:r>
        <w:rPr>
          <w:lang w:eastAsia="en-US"/>
        </w:rPr>
        <w:t>оптимизация количественного и качественного состава муниципального имущества;</w:t>
      </w:r>
    </w:p>
    <w:p w:rsidR="00CF0324" w:rsidRDefault="00124A10">
      <w:pPr>
        <w:spacing w:line="276" w:lineRule="auto"/>
        <w:ind w:firstLine="708"/>
        <w:jc w:val="both"/>
        <w:rPr>
          <w:lang w:eastAsia="en-US"/>
        </w:rPr>
      </w:pPr>
      <w:r>
        <w:rPr>
          <w:lang w:eastAsia="en-US"/>
        </w:rPr>
        <w:t>повышение эффективности использования муниципального имущества;</w:t>
      </w:r>
    </w:p>
    <w:p w:rsidR="00CF0324" w:rsidRDefault="00124A10">
      <w:pPr>
        <w:spacing w:line="276" w:lineRule="auto"/>
        <w:ind w:firstLine="708"/>
        <w:jc w:val="both"/>
      </w:pPr>
      <w:r>
        <w:rPr>
          <w:lang w:eastAsia="en-US"/>
        </w:rPr>
        <w:t>пополнение доходов местного бюджета от использования и приватизации муниципального имущества;</w:t>
      </w:r>
    </w:p>
    <w:p w:rsidR="00CF0324" w:rsidRDefault="00124A10">
      <w:pPr>
        <w:spacing w:line="276" w:lineRule="auto"/>
        <w:ind w:firstLine="708"/>
        <w:jc w:val="both"/>
      </w:pPr>
      <w:r>
        <w:lastRenderedPageBreak/>
        <w:t>увеличение количества предоставляемых в пользование (аренду) земельных участков.</w:t>
      </w:r>
    </w:p>
    <w:p w:rsidR="00CF0324" w:rsidRDefault="00124A10">
      <w:pPr>
        <w:spacing w:line="276" w:lineRule="auto"/>
        <w:ind w:firstLine="708"/>
        <w:jc w:val="both"/>
      </w:pPr>
      <w:r>
        <w:t>В период реализации Стратегии целесообразно реализовывать следующие мероприятия по повышению эффективности управления муниципальной собственностью района:</w:t>
      </w:r>
    </w:p>
    <w:p w:rsidR="00CF0324" w:rsidRDefault="00124A10">
      <w:pPr>
        <w:spacing w:line="276" w:lineRule="auto"/>
        <w:jc w:val="both"/>
        <w:rPr>
          <w:b/>
        </w:rPr>
      </w:pPr>
      <w:r>
        <w:rPr>
          <w:b/>
        </w:rPr>
        <w:t>1. Администрации района:</w:t>
      </w:r>
    </w:p>
    <w:p w:rsidR="00CF0324" w:rsidRDefault="00124A10">
      <w:pPr>
        <w:spacing w:line="276" w:lineRule="auto"/>
        <w:ind w:firstLine="708"/>
        <w:jc w:val="both"/>
      </w:pPr>
      <w:r>
        <w:t>использование территорий и объектов муниципальной собственности для размещения коммерческой рекламы;</w:t>
      </w:r>
    </w:p>
    <w:p w:rsidR="00CF0324" w:rsidRDefault="00124A10">
      <w:pPr>
        <w:spacing w:line="276" w:lineRule="auto"/>
        <w:ind w:firstLine="708"/>
        <w:jc w:val="both"/>
      </w:pPr>
      <w:r>
        <w:t>вовлечение в хозяйственный оборот бесхозного имущества;</w:t>
      </w:r>
    </w:p>
    <w:p w:rsidR="00CF0324" w:rsidRDefault="00124A10">
      <w:pPr>
        <w:spacing w:line="276" w:lineRule="auto"/>
        <w:ind w:firstLine="708"/>
        <w:jc w:val="both"/>
      </w:pPr>
      <w:r>
        <w:t>активизация работы с собственниками объектов недвижимости по вопросам официального оформления земельных участков под принадлежащим им имуществом в собственность;</w:t>
      </w:r>
    </w:p>
    <w:p w:rsidR="00CF0324" w:rsidRDefault="00124A10">
      <w:pPr>
        <w:spacing w:line="276" w:lineRule="auto"/>
        <w:ind w:firstLine="708"/>
        <w:jc w:val="both"/>
      </w:pPr>
      <w:r>
        <w:t>обеспечение информационной открытости торгов по продаже и аренде имущества и земельных участков.</w:t>
      </w:r>
    </w:p>
    <w:p w:rsidR="00CF0324" w:rsidRDefault="00124A10">
      <w:pPr>
        <w:spacing w:line="276" w:lineRule="auto"/>
        <w:jc w:val="both"/>
        <w:rPr>
          <w:b/>
        </w:rPr>
      </w:pPr>
      <w:r>
        <w:rPr>
          <w:b/>
        </w:rPr>
        <w:t>2. Муниципальным учреждениям:</w:t>
      </w:r>
    </w:p>
    <w:p w:rsidR="00CF0324" w:rsidRDefault="00124A10">
      <w:pPr>
        <w:spacing w:line="276" w:lineRule="auto"/>
        <w:ind w:firstLine="708"/>
        <w:jc w:val="both"/>
      </w:pPr>
      <w:r>
        <w:t>сокращение неэффективных расходов;</w:t>
      </w:r>
    </w:p>
    <w:p w:rsidR="00CF0324" w:rsidRDefault="00124A10">
      <w:pPr>
        <w:spacing w:line="276" w:lineRule="auto"/>
        <w:ind w:firstLine="708"/>
        <w:jc w:val="both"/>
      </w:pPr>
      <w:r>
        <w:t>передача муниципальных услуг на оказание социально-ориентированным некоммерческим организациям и социальным предпринимателям;</w:t>
      </w:r>
    </w:p>
    <w:p w:rsidR="00CF0324" w:rsidRDefault="00124A10">
      <w:pPr>
        <w:spacing w:line="276" w:lineRule="auto"/>
        <w:ind w:firstLine="708"/>
        <w:jc w:val="both"/>
      </w:pPr>
      <w:r>
        <w:t>внедрение в хозяйственную практику дополнительных инструментов для стимулирования экономии бюджетных средств в части содержания имущества.</w:t>
      </w:r>
    </w:p>
    <w:p w:rsidR="00CF0324" w:rsidRDefault="00CF0324">
      <w:pPr>
        <w:spacing w:line="276" w:lineRule="auto"/>
        <w:ind w:firstLine="708"/>
        <w:jc w:val="both"/>
      </w:pPr>
    </w:p>
    <w:p w:rsidR="00CF0324" w:rsidRDefault="00124A10">
      <w:pPr>
        <w:pStyle w:val="afff1"/>
      </w:pPr>
      <w:bookmarkStart w:id="77" w:name="_Toc75"/>
      <w:r>
        <w:t>11.3. БЮДЖЕТНАЯ ПОЛИТИКА</w:t>
      </w:r>
      <w:bookmarkEnd w:id="77"/>
    </w:p>
    <w:p w:rsidR="00CF0324" w:rsidRDefault="00124A10">
      <w:pPr>
        <w:spacing w:line="276" w:lineRule="auto"/>
        <w:ind w:firstLine="708"/>
        <w:jc w:val="both"/>
      </w:pPr>
      <w:r>
        <w:t>В период реализации Стратегии необходимо продолжить работы по концентрации бюджетных расходов Кондинского района на приоритетных направлениях, в первую очередь, обеспечивающих достижение национальных целей и целевых показателей муниципальных программ. Должна быть сохранена социальная направленность бюджета района, расширена поддержка предприятий коммунального комплекса.</w:t>
      </w:r>
    </w:p>
    <w:p w:rsidR="00CF0324" w:rsidRDefault="00124A10">
      <w:pPr>
        <w:spacing w:line="276" w:lineRule="auto"/>
        <w:ind w:firstLine="708"/>
        <w:jc w:val="both"/>
      </w:pPr>
      <w:r>
        <w:t>Стратегическими целями в области бюджетной политики</w:t>
      </w:r>
      <w:r>
        <w:rPr>
          <w:b/>
        </w:rPr>
        <w:t xml:space="preserve"> </w:t>
      </w:r>
      <w:r>
        <w:t>Кондинского района в период реализации настоящей Стратегии</w:t>
      </w:r>
      <w:r>
        <w:rPr>
          <w:b/>
        </w:rPr>
        <w:t xml:space="preserve"> </w:t>
      </w:r>
      <w:r>
        <w:t>будут являться: полное исполнение принятых обязательств эффективным способом; превращение местного бюджета в эффективный инструмент социально-экономической политики района; повышение эффективности управления средствами бюджета.</w:t>
      </w:r>
    </w:p>
    <w:p w:rsidR="00CF0324" w:rsidRDefault="00124A10">
      <w:pPr>
        <w:spacing w:line="276" w:lineRule="auto"/>
        <w:ind w:firstLine="708"/>
        <w:jc w:val="both"/>
      </w:pPr>
      <w:r>
        <w:rPr>
          <w:rFonts w:eastAsia="TimesNewRomanPSMT"/>
        </w:rPr>
        <w:t>Достижение поставленной цели предполагает решение следующих задач:</w:t>
      </w:r>
      <w:r>
        <w:t xml:space="preserve"> обеспечение устойчивости бюджета; увеличение доходной базы бюджета; рост бюджетной обеспеченности; </w:t>
      </w:r>
      <w:r>
        <w:rPr>
          <w:rFonts w:eastAsia="TimesNewRomanPSMT"/>
        </w:rPr>
        <w:t>с</w:t>
      </w:r>
      <w:r>
        <w:t>осредоточение бюджетных расходов на приоритетных направлениях социально-экономического развития района.</w:t>
      </w:r>
    </w:p>
    <w:p w:rsidR="00CF0324" w:rsidRDefault="00124A10">
      <w:pPr>
        <w:spacing w:line="276" w:lineRule="auto"/>
        <w:ind w:firstLine="708"/>
        <w:jc w:val="both"/>
        <w:rPr>
          <w:rFonts w:eastAsia="TimesNewRomanPSMT"/>
        </w:rPr>
      </w:pPr>
      <w:r>
        <w:rPr>
          <w:rFonts w:eastAsia="TimesNewRomanPSMT"/>
        </w:rPr>
        <w:t>В среднесрочном и долгосрочном периодах бюджетная политика Кондинского района будет находиться под сильным влиянием макроэкономической ситуации и состояния бюджетной системы России. Несмотря на значительную зависимость местного бюджета от межбюджетных трансфертов, рост собственных доходов показывает потенциальную возможность повышения эффективности решения большинства социально-экономические задачи района уже в среднесрочной перспективе. Развитие доходной базы муниципального бюджета за счет реализации всего комплекса предлагаемых в настоящей Стратегии мероприятий (в первую</w:t>
      </w:r>
      <w:r>
        <w:rPr>
          <w:lang w:eastAsia="en-US"/>
        </w:rPr>
        <w:t xml:space="preserve"> </w:t>
      </w:r>
      <w:r>
        <w:rPr>
          <w:rFonts w:eastAsia="TimesNewRomanPSMT"/>
        </w:rPr>
        <w:t xml:space="preserve">очередь, </w:t>
      </w:r>
      <w:r>
        <w:rPr>
          <w:rFonts w:eastAsia="TimesNewRomanPSMT"/>
        </w:rPr>
        <w:lastRenderedPageBreak/>
        <w:t>импортозамещения продукции животноводства, развития малого и среднего предпринимательства, реализация флагманских проектов) позволит качественно улучшить состояние бюджетной обеспеченности.</w:t>
      </w:r>
    </w:p>
    <w:p w:rsidR="00CF0324" w:rsidRDefault="00124A10">
      <w:pPr>
        <w:spacing w:line="276" w:lineRule="auto"/>
        <w:ind w:firstLine="708"/>
        <w:jc w:val="both"/>
      </w:pPr>
      <w:r>
        <w:rPr>
          <w:rFonts w:eastAsia="TimesNewRomanPSMT"/>
        </w:rPr>
        <w:t>Выполнение задачи в части определения приоритетов бюджетных расходов должно опираться на приоритет программного подхода при составлении проектов бюджета.</w:t>
      </w:r>
    </w:p>
    <w:p w:rsidR="00CF0324" w:rsidRDefault="00124A10">
      <w:pPr>
        <w:spacing w:line="276" w:lineRule="auto"/>
        <w:ind w:firstLine="708"/>
        <w:jc w:val="both"/>
        <w:rPr>
          <w:lang w:eastAsia="en-US"/>
        </w:rPr>
      </w:pPr>
      <w:r>
        <w:rPr>
          <w:lang w:eastAsia="en-US"/>
        </w:rPr>
        <w:t>В период реализации настоящей Стратегии целесообразно реализовывать следующие мероприятия по повышению эффективности бюджетной политики:</w:t>
      </w:r>
    </w:p>
    <w:p w:rsidR="00CF0324" w:rsidRDefault="00124A10">
      <w:pPr>
        <w:spacing w:line="276" w:lineRule="auto"/>
        <w:jc w:val="both"/>
        <w:rPr>
          <w:b/>
          <w:lang w:eastAsia="en-US"/>
        </w:rPr>
      </w:pPr>
      <w:r>
        <w:rPr>
          <w:b/>
          <w:lang w:eastAsia="en-US"/>
        </w:rPr>
        <w:t>1. По направлению обеспечение сбалансированности бюджета и выполнения социальных обязательств:</w:t>
      </w:r>
    </w:p>
    <w:p w:rsidR="00CF0324" w:rsidRDefault="00124A10">
      <w:pPr>
        <w:spacing w:line="276" w:lineRule="auto"/>
        <w:ind w:firstLine="708"/>
        <w:jc w:val="both"/>
        <w:rPr>
          <w:iCs/>
          <w:lang w:eastAsia="en-US"/>
        </w:rPr>
      </w:pPr>
      <w:r>
        <w:rPr>
          <w:iCs/>
          <w:lang w:eastAsia="en-US"/>
        </w:rPr>
        <w:t>разработка муниципальных программ, определение объемов и источников их финансирования</w:t>
      </w:r>
      <w:r>
        <w:rPr>
          <w:lang w:eastAsia="en-US"/>
        </w:rPr>
        <w:t xml:space="preserve"> </w:t>
      </w:r>
      <w:r>
        <w:rPr>
          <w:iCs/>
          <w:lang w:eastAsia="en-US"/>
        </w:rPr>
        <w:t xml:space="preserve">в соответствии с целями, сроками, показателями национальных проектов Российской Федерации; государственных программ Российской Федерации и государственных программ </w:t>
      </w:r>
      <w:r>
        <w:rPr>
          <w:lang w:eastAsia="en-US"/>
        </w:rPr>
        <w:t>Ханты-Мансийского автономного округа – Югра;</w:t>
      </w:r>
    </w:p>
    <w:p w:rsidR="00CF0324" w:rsidRDefault="00124A10">
      <w:pPr>
        <w:spacing w:line="276" w:lineRule="auto"/>
        <w:ind w:firstLine="708"/>
        <w:jc w:val="both"/>
        <w:rPr>
          <w:rFonts w:eastAsia="TimesNewRomanPSMT"/>
        </w:rPr>
      </w:pPr>
      <w:r>
        <w:rPr>
          <w:lang w:eastAsia="en-US"/>
        </w:rPr>
        <w:t>обеспечение полного финансирование реализации Национальных проектов Российской Федерации.</w:t>
      </w:r>
    </w:p>
    <w:p w:rsidR="00CF0324" w:rsidRDefault="00124A10">
      <w:pPr>
        <w:spacing w:line="276" w:lineRule="auto"/>
        <w:jc w:val="both"/>
        <w:rPr>
          <w:b/>
          <w:lang w:eastAsia="en-US"/>
        </w:rPr>
      </w:pPr>
      <w:r>
        <w:rPr>
          <w:b/>
          <w:lang w:eastAsia="en-US"/>
        </w:rPr>
        <w:t>2. По направлению оптимизации расходов бюджета:</w:t>
      </w:r>
    </w:p>
    <w:p w:rsidR="00CF0324" w:rsidRDefault="00124A10">
      <w:pPr>
        <w:spacing w:line="276" w:lineRule="auto"/>
        <w:ind w:firstLine="708"/>
        <w:jc w:val="both"/>
        <w:rPr>
          <w:lang w:eastAsia="en-US"/>
        </w:rPr>
      </w:pPr>
      <w:r>
        <w:rPr>
          <w:lang w:eastAsia="en-US"/>
        </w:rPr>
        <w:t>снижение текущих и капитальных расходов при условии передачи муниципальных услуг на оказание социально ориентированным некоммерческим организациям и социальным предпринимателям;</w:t>
      </w:r>
    </w:p>
    <w:p w:rsidR="00CF0324" w:rsidRDefault="00124A10">
      <w:pPr>
        <w:spacing w:line="276" w:lineRule="auto"/>
        <w:ind w:firstLine="708"/>
        <w:jc w:val="both"/>
        <w:rPr>
          <w:lang w:eastAsia="en-US"/>
        </w:rPr>
      </w:pPr>
      <w:r>
        <w:rPr>
          <w:lang w:eastAsia="en-US"/>
        </w:rPr>
        <w:t>создание механизма направления бюджетных инвестиций в объекты муниципальной собственности исходя из приоритетов, определенных в настоящей Стратегии.</w:t>
      </w:r>
    </w:p>
    <w:p w:rsidR="00CF0324" w:rsidRDefault="00124A10">
      <w:pPr>
        <w:spacing w:line="276" w:lineRule="auto"/>
        <w:jc w:val="both"/>
        <w:rPr>
          <w:b/>
        </w:rPr>
      </w:pPr>
      <w:r>
        <w:rPr>
          <w:b/>
        </w:rPr>
        <w:t>3. По направлению увеличения доходов бюджета:</w:t>
      </w:r>
    </w:p>
    <w:p w:rsidR="00CF0324" w:rsidRDefault="00124A10">
      <w:pPr>
        <w:spacing w:line="276" w:lineRule="auto"/>
        <w:ind w:firstLine="708"/>
        <w:jc w:val="both"/>
      </w:pPr>
      <w:r>
        <w:t>организация эффективного взаимодействия с главными администраторами доходов бюджета и крупными налогоплательщиками;</w:t>
      </w:r>
    </w:p>
    <w:p w:rsidR="00CF0324" w:rsidRDefault="00124A10">
      <w:pPr>
        <w:spacing w:line="276" w:lineRule="auto"/>
        <w:ind w:firstLine="708"/>
        <w:jc w:val="both"/>
      </w:pPr>
      <w:r>
        <w:t xml:space="preserve">активизация организационно-методической работы для участия в государственных программах округа, предполагающих выделение субсидий и субвенций из бюджета Ханты-Мансийского автономного округа – Югры </w:t>
      </w:r>
    </w:p>
    <w:p w:rsidR="00CF0324" w:rsidRDefault="00124A10">
      <w:pPr>
        <w:spacing w:line="276" w:lineRule="auto"/>
        <w:ind w:firstLine="708"/>
        <w:jc w:val="both"/>
        <w:rPr>
          <w:lang w:eastAsia="en-US"/>
        </w:rPr>
      </w:pPr>
      <w:r>
        <w:t>развитие доходной базы бюджета района за счет осуществления мероприятий настоящей Стратегии по направлениям развития новых и традиционных секторов экономики, повышения эффективности управления муниципальной собственностью, развития малого и среднего предпринимательства;</w:t>
      </w:r>
    </w:p>
    <w:p w:rsidR="00CF0324" w:rsidRDefault="00124A10">
      <w:pPr>
        <w:spacing w:line="276" w:lineRule="auto"/>
        <w:ind w:firstLine="708"/>
        <w:jc w:val="both"/>
      </w:pPr>
      <w:r>
        <w:t>осуществление оценки эффективности и расчёта потерь от предоставления налоговых льгот по местным налогам, разработка предложений по их оптимизации на очередной финансовый год;</w:t>
      </w:r>
    </w:p>
    <w:p w:rsidR="00CF0324" w:rsidRDefault="00124A10">
      <w:pPr>
        <w:spacing w:line="276" w:lineRule="auto"/>
        <w:ind w:firstLine="708"/>
        <w:jc w:val="both"/>
      </w:pPr>
      <w:r>
        <w:t>сокращение бюджетных расходов при проведении муниципальных закупок;</w:t>
      </w:r>
    </w:p>
    <w:p w:rsidR="00CF0324" w:rsidRDefault="00124A10">
      <w:pPr>
        <w:spacing w:line="276" w:lineRule="auto"/>
        <w:ind w:firstLine="708"/>
        <w:jc w:val="both"/>
      </w:pPr>
      <w:r>
        <w:t>внедрение мероприятий по повышению энергетической эффективности для муниципальных учреждений;</w:t>
      </w:r>
    </w:p>
    <w:p w:rsidR="00CF0324" w:rsidRDefault="00124A10">
      <w:pPr>
        <w:spacing w:line="276" w:lineRule="auto"/>
        <w:ind w:firstLine="708"/>
        <w:jc w:val="both"/>
      </w:pPr>
      <w:r>
        <w:t>экономия текущих затрат бюджета по содержанию объектов муниципальной собственности за счет снижения потерь тепла, воды, энергоресурсов через выполнение муниципального заказа.</w:t>
      </w:r>
    </w:p>
    <w:p w:rsidR="00CF0324" w:rsidRDefault="00124A10">
      <w:pPr>
        <w:spacing w:line="276" w:lineRule="auto"/>
        <w:jc w:val="both"/>
        <w:rPr>
          <w:b/>
        </w:rPr>
      </w:pPr>
      <w:r>
        <w:rPr>
          <w:b/>
        </w:rPr>
        <w:t>4. По направлению совершенствования бюджетного процесса:</w:t>
      </w:r>
    </w:p>
    <w:p w:rsidR="00CF0324" w:rsidRDefault="00124A10">
      <w:pPr>
        <w:spacing w:line="276" w:lineRule="auto"/>
        <w:ind w:firstLine="708"/>
        <w:jc w:val="both"/>
      </w:pPr>
      <w:r>
        <w:t>своевременная подготовка и принятие бюджетов Кондинского района на очередной финансовый год и плановый период;</w:t>
      </w:r>
    </w:p>
    <w:p w:rsidR="00CF0324" w:rsidRDefault="00124A10">
      <w:pPr>
        <w:spacing w:line="276" w:lineRule="auto"/>
        <w:ind w:firstLine="708"/>
        <w:jc w:val="both"/>
      </w:pPr>
      <w:r>
        <w:lastRenderedPageBreak/>
        <w:t>повышение качества социально-экономического прогнозирования, снижение разночтений между плановыми показателями бюджета и их фактическим исполнением;</w:t>
      </w:r>
    </w:p>
    <w:p w:rsidR="00CF0324" w:rsidRDefault="00124A10">
      <w:pPr>
        <w:spacing w:line="276" w:lineRule="auto"/>
        <w:ind w:firstLine="708"/>
        <w:jc w:val="both"/>
      </w:pPr>
      <w:r>
        <w:t>представление проектов бюджета с разбивкой по утвержденным муниципальным программам.</w:t>
      </w:r>
    </w:p>
    <w:p w:rsidR="00CF0324" w:rsidRDefault="00124A10">
      <w:pPr>
        <w:spacing w:line="276" w:lineRule="auto"/>
        <w:jc w:val="both"/>
        <w:rPr>
          <w:b/>
        </w:rPr>
      </w:pPr>
      <w:r>
        <w:rPr>
          <w:b/>
        </w:rPr>
        <w:t>5. По направлению повышения качества финансового менеджмента:</w:t>
      </w:r>
    </w:p>
    <w:p w:rsidR="00CF0324" w:rsidRDefault="00124A10">
      <w:pPr>
        <w:spacing w:line="276" w:lineRule="auto"/>
        <w:ind w:firstLine="708"/>
        <w:jc w:val="both"/>
      </w:pPr>
      <w:r>
        <w:t>повышение эффективности управления муниципальным долгом;</w:t>
      </w:r>
    </w:p>
    <w:p w:rsidR="00CF0324" w:rsidRDefault="00124A10">
      <w:pPr>
        <w:spacing w:line="276" w:lineRule="auto"/>
        <w:ind w:firstLine="708"/>
        <w:jc w:val="both"/>
      </w:pPr>
      <w:r>
        <w:t>мониторинг оценки качества финансового менеджмента, осуществляемого главными распорядителями средств бюджета района, главными администраторами доходов бюджета района;</w:t>
      </w:r>
    </w:p>
    <w:p w:rsidR="00CF0324" w:rsidRDefault="00124A10">
      <w:pPr>
        <w:spacing w:line="276" w:lineRule="auto"/>
        <w:ind w:firstLine="708"/>
        <w:jc w:val="both"/>
      </w:pPr>
      <w:r>
        <w:t>повышение уровня контроля за получателями бюджетных кредитов в части сроков их возврата и платы за пользование.</w:t>
      </w:r>
    </w:p>
    <w:p w:rsidR="00CF0324" w:rsidRDefault="00124A10">
      <w:pPr>
        <w:spacing w:line="276" w:lineRule="auto"/>
        <w:jc w:val="both"/>
        <w:rPr>
          <w:b/>
        </w:rPr>
      </w:pPr>
      <w:r>
        <w:rPr>
          <w:b/>
        </w:rPr>
        <w:t>6. По направлению обеспечения эффективной финансовой поддержки городских и сельских поселений Кондинского района:</w:t>
      </w:r>
    </w:p>
    <w:p w:rsidR="00CF0324" w:rsidRDefault="00124A10">
      <w:pPr>
        <w:spacing w:line="276" w:lineRule="auto"/>
        <w:ind w:firstLine="708"/>
        <w:jc w:val="both"/>
      </w:pPr>
      <w:r>
        <w:t>выравнивание бюджетной обеспеченности городских и сельских поселений района;</w:t>
      </w:r>
    </w:p>
    <w:p w:rsidR="00CF0324" w:rsidRDefault="00124A10">
      <w:pPr>
        <w:spacing w:line="276" w:lineRule="auto"/>
        <w:ind w:firstLine="708"/>
        <w:jc w:val="both"/>
      </w:pPr>
      <w:r>
        <w:t>повышение эффективности бюджетного планирования и управления.</w:t>
      </w:r>
    </w:p>
    <w:p w:rsidR="00CF0324" w:rsidRDefault="00124A10">
      <w:pPr>
        <w:spacing w:line="276" w:lineRule="auto"/>
        <w:ind w:firstLine="708"/>
        <w:jc w:val="both"/>
      </w:pPr>
      <w:r>
        <w:t>При выполнении мероприятий в области совершенствования бюджетной политики Кондинского района ожидается: увеличение доходов бюджета; создание финансовых условий для обеспечения устойчивого экономического роста, повышения уровня и качества жизни населения; полномасштабное внедрение программно-целевого принципа организации деятельности органов местного самоуправления и формирование программного бюджета; безусловное исполнение социальных обязательств; повышение качества финансового менеджмента в секторе государственного управления.</w:t>
      </w:r>
    </w:p>
    <w:p w:rsidR="00CF0324" w:rsidRDefault="00124A10">
      <w:pPr>
        <w:pStyle w:val="afff1"/>
      </w:pPr>
      <w:bookmarkStart w:id="78" w:name="_Toc76"/>
      <w:r>
        <w:t>РАЗДЕЛ 12. ПЕРСПЕКТИВЫ И ПРИОРИТЕТЫ РАЗВИТИЯ ГОРОДСКИХ И СЕЛЬСКИХ ПОСЕЛЕНИЙ КОНДИНСКОГО РАЙОНА ХАНТЫ-МАНСИЙСКОГО АВТОНОМНОГО ОКРУГА - ЮГРЫ В ПЕРИОД ДО 2036 ГОДА</w:t>
      </w:r>
      <w:bookmarkEnd w:id="78"/>
    </w:p>
    <w:p w:rsidR="00CF0324" w:rsidRDefault="00CF0324">
      <w:pPr>
        <w:spacing w:line="276" w:lineRule="auto"/>
        <w:jc w:val="both"/>
      </w:pPr>
    </w:p>
    <w:p w:rsidR="00CF0324" w:rsidRDefault="00124A10">
      <w:pPr>
        <w:spacing w:line="276" w:lineRule="auto"/>
        <w:ind w:firstLine="708"/>
        <w:jc w:val="both"/>
      </w:pPr>
      <w:r>
        <w:t xml:space="preserve">В соответствии со статьей 5 Закона Ханты-Мансийского автономного округа – Югры от 25.11.2004 года №63-оз «О статусе и границах муниципальных образований Ханты-Мансийского автономного округа - Югры» в границах Кондинского района находятся 10 административно-территориальных единиц, в которых расположены 27 населенных пунктов. Территории городских поселений: Кондинское (с находящимися в его составе населенными пунктами: поселок городского типа Кондинское, деревня Никулкина, деревня Старый Катыш, деревня Ильичевка); Куминский; Луговой; Междуреченский; Мортка (с находящимися в его составе населенными пунктами: поселок городского типа Мортка, деревня Юмас, село Ямки, деревня Сотник). </w:t>
      </w:r>
      <w:r>
        <w:rPr>
          <w:bCs/>
        </w:rPr>
        <w:t>Территории сельских поселений:</w:t>
      </w:r>
      <w:r>
        <w:t xml:space="preserve"> Болчары (с находящимися в его составе населенными пунктами: село Болчары, село Алтай, деревня Кама); Леуши (с находящимися в его составе населенными пунктами: село Леуши, поселок Лиственичный, поселок Ягодный, поселок Дальний); Мулымья (с находящимися в его составе населенными пунктами: поселок Мулымья, поселок Назарово, село Чантырья, село Шаим, деревня Ушья, поселок Супра); Половинка; Шугур (с находящимися в его составе населенными пунктами: деревня Шугур, село Карым).</w:t>
      </w:r>
    </w:p>
    <w:p w:rsidR="00CF0324" w:rsidRDefault="00124A10">
      <w:pPr>
        <w:spacing w:line="276" w:lineRule="auto"/>
        <w:ind w:firstLine="708"/>
        <w:jc w:val="both"/>
      </w:pPr>
      <w:r>
        <w:lastRenderedPageBreak/>
        <w:t>Территориальные особенности поселений обусловлены ресурсным потенциалом, размерами, транспортным положением, численностью населения и его этнической структурой.</w:t>
      </w:r>
    </w:p>
    <w:p w:rsidR="00CF0324" w:rsidRDefault="00124A10">
      <w:pPr>
        <w:spacing w:line="276" w:lineRule="auto"/>
        <w:ind w:firstLine="708"/>
        <w:jc w:val="both"/>
      </w:pPr>
      <w:r>
        <w:rPr>
          <w:bCs/>
        </w:rPr>
        <w:t xml:space="preserve">Значительная часть поселений Кондинского района характеризуется ограниченной транспортной доступностью, что является серьёзным препятствием для экономического роста. Населенные пункты </w:t>
      </w:r>
      <w:r>
        <w:t>Кондинское, Никулкина, Старый Катыш, Ильичевка, Болчары, Луговой, Карым, Шугур, Алтай, Кама не имеют круглогодичного выхода на транспортную сеть общего пользования. Доступ к ним автотранспортом обеспечивается только по зимникам, в остальное время – воздушным и водным транспортом, а в п. Шугур и д. Карым – только воздушным.</w:t>
      </w:r>
    </w:p>
    <w:p w:rsidR="00CF0324" w:rsidRDefault="00124A10">
      <w:pPr>
        <w:spacing w:line="276" w:lineRule="auto"/>
        <w:ind w:firstLine="708"/>
        <w:jc w:val="both"/>
      </w:pPr>
      <w:r>
        <w:t>Качественное улучшение транспортной доступности территорий района является одним из ключевых приоритетов Стратегии. Реализация предусмотренных Стратегией инвестиционных проектов по развитию транспортной инфраструктуры позволит существенным образом улучшить экономику населенных пунктов, обладающих значительным ресурсным потенциалом, но не имеющих выхода на товарные рынки.</w:t>
      </w:r>
    </w:p>
    <w:p w:rsidR="00CF0324" w:rsidRDefault="00124A10">
      <w:pPr>
        <w:pStyle w:val="afff1"/>
      </w:pPr>
      <w:bookmarkStart w:id="79" w:name="_Toc77"/>
      <w:r>
        <w:t>12.1. Городское поселение Междуреченский</w:t>
      </w:r>
      <w:bookmarkEnd w:id="79"/>
    </w:p>
    <w:p w:rsidR="00CF0324" w:rsidRDefault="00124A10">
      <w:pPr>
        <w:spacing w:line="276" w:lineRule="auto"/>
        <w:ind w:firstLine="708"/>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производственный комплекс рыбоперерабатывающих цехов пгт.Междуреченский (2030г.) Карта развития Югры;</w:t>
      </w:r>
    </w:p>
    <w:p w:rsidR="00CF0324" w:rsidRDefault="00124A10">
      <w:pPr>
        <w:spacing w:line="276" w:lineRule="auto"/>
        <w:ind w:firstLine="708"/>
        <w:jc w:val="both"/>
      </w:pPr>
      <w:r>
        <w:t>развитие заготовительного и перерабатывающего процесса продукции дикорастущей на территории Кондинского района, Программа 100-летия Конды;</w:t>
      </w:r>
    </w:p>
    <w:p w:rsidR="00CF0324" w:rsidRDefault="00124A10">
      <w:pPr>
        <w:spacing w:line="276" w:lineRule="auto"/>
        <w:ind w:firstLine="708"/>
        <w:jc w:val="both"/>
      </w:pPr>
      <w:r>
        <w:t>организация тепличного хозяйства (не реализованное мероприятие из Стратегии-2030);</w:t>
      </w:r>
    </w:p>
    <w:p w:rsidR="00CF0324" w:rsidRDefault="00124A10">
      <w:pPr>
        <w:spacing w:line="276" w:lineRule="auto"/>
        <w:ind w:firstLine="708"/>
        <w:jc w:val="both"/>
        <w:rPr>
          <w:bCs/>
        </w:rPr>
      </w:pPr>
      <w:r>
        <w:rPr>
          <w:bCs/>
        </w:rPr>
        <w:t xml:space="preserve">сохранение (создание) малых предприятий по заготовке и переработке древесины </w:t>
      </w:r>
      <w:r>
        <w:t>(в период реализации Стратегии – 2036).</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9"/>
        <w:jc w:val="both"/>
        <w:rPr>
          <w:rFonts w:eastAsia="TimesNewRomanPSMT"/>
        </w:rPr>
      </w:pPr>
      <w:r>
        <w:rPr>
          <w:rFonts w:eastAsia="TimesNewRomanPSMT"/>
        </w:rPr>
        <w:t xml:space="preserve">развитие бытового и промышленного сервиса; строительство дома быта с отделением химчистки в пгт. Междуреченский </w:t>
      </w:r>
      <w:r>
        <w:t>(не реализованные мероприятия из Стратегии-2030);</w:t>
      </w:r>
    </w:p>
    <w:p w:rsidR="00CF0324" w:rsidRDefault="00124A10">
      <w:pPr>
        <w:spacing w:line="276" w:lineRule="auto"/>
        <w:ind w:firstLine="708"/>
        <w:jc w:val="both"/>
      </w:pPr>
      <w:r>
        <w:rPr>
          <w:rFonts w:eastAsia="TimesNewRomanPSMT"/>
          <w:bCs/>
          <w:iCs/>
        </w:rPr>
        <w:t xml:space="preserve">создание районного центра креативных индустрий в пгт. Междуреченский </w:t>
      </w:r>
      <w:r>
        <w:t>(не реализованное мероприятие из Стратегии-2030); Программа 100-летия Конды);</w:t>
      </w:r>
    </w:p>
    <w:p w:rsidR="00CF0324" w:rsidRDefault="00124A10">
      <w:pPr>
        <w:spacing w:line="276" w:lineRule="auto"/>
        <w:ind w:firstLine="708"/>
        <w:jc w:val="both"/>
      </w:pPr>
      <w:r>
        <w:t>организация цеха по производству морсов, газированных и слабоалкогольных напитков на основе дикоросов (клюква, брусника и др.);</w:t>
      </w:r>
    </w:p>
    <w:p w:rsidR="00CF0324" w:rsidRDefault="00124A10">
      <w:pPr>
        <w:spacing w:line="276" w:lineRule="auto"/>
        <w:ind w:firstLine="708"/>
        <w:jc w:val="both"/>
        <w:rPr>
          <w:rFonts w:eastAsia="TimesNewRomanPSMT"/>
          <w:bCs/>
          <w:iCs/>
        </w:rPr>
      </w:pPr>
      <w:r>
        <w:rPr>
          <w:rFonts w:eastAsia="TimesNewRomanPSMT"/>
          <w:bCs/>
          <w:iCs/>
        </w:rPr>
        <w:t>развитие сети общественного питания;</w:t>
      </w:r>
    </w:p>
    <w:p w:rsidR="00CF0324" w:rsidRDefault="00124A10">
      <w:pPr>
        <w:spacing w:line="276" w:lineRule="auto"/>
        <w:ind w:firstLine="708"/>
        <w:jc w:val="both"/>
      </w:pPr>
      <w:r>
        <w:t>развитие туристической инфраструктуры (мини-гостиницы, глэмпинги, аттракционы, карусели, велодорожки, горка для сноубордов, объекты благоустройства общественных пространств, мест отдыха, в том числе с использованием бренда Кондинского района и др. (в период реализации Стратегии – 2036);</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rPr>
          <w:rFonts w:eastAsia="TimesNewRomanPSMT"/>
        </w:rPr>
      </w:pPr>
      <w:r>
        <w:rPr>
          <w:rFonts w:eastAsia="TimesNewRomanPSMT"/>
        </w:rPr>
        <w:t>развитие частных медицинских кабинетов, клинико-диагностических лабораторий, стоматологических кабинетов (Развитие конкуренции);</w:t>
      </w:r>
    </w:p>
    <w:p w:rsidR="00CF0324" w:rsidRDefault="00124A10">
      <w:pPr>
        <w:spacing w:line="276" w:lineRule="auto"/>
        <w:ind w:firstLine="708"/>
        <w:jc w:val="both"/>
        <w:rPr>
          <w:rFonts w:eastAsia="TimesNewRomanPSMT"/>
        </w:rPr>
      </w:pPr>
      <w:r>
        <w:rPr>
          <w:rFonts w:eastAsia="TimesNewRomanPSMT"/>
        </w:rPr>
        <w:lastRenderedPageBreak/>
        <w:t xml:space="preserve">организация частной ветеринарной клиники </w:t>
      </w:r>
      <w:r>
        <w:t>(обращение жителей в ходе опроса о реализации Стратегии - 2030);</w:t>
      </w:r>
    </w:p>
    <w:p w:rsidR="00CF0324" w:rsidRDefault="00124A10">
      <w:pPr>
        <w:spacing w:line="276" w:lineRule="auto"/>
        <w:ind w:firstLine="708"/>
        <w:jc w:val="both"/>
        <w:rPr>
          <w:rFonts w:eastAsia="TimesNewRomanPSMT"/>
        </w:rPr>
      </w:pPr>
      <w:r>
        <w:rPr>
          <w:rFonts w:eastAsia="TimesNewRomanPSMT"/>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CF0324" w:rsidRDefault="00124A10">
      <w:pPr>
        <w:spacing w:line="276" w:lineRule="auto"/>
        <w:ind w:firstLine="708"/>
        <w:jc w:val="both"/>
        <w:rPr>
          <w:rFonts w:eastAsia="TimesNewRomanPSMT"/>
        </w:rPr>
      </w:pPr>
      <w:r>
        <w:rPr>
          <w:rFonts w:eastAsia="TimesNewRomanPSMT"/>
        </w:rPr>
        <w:t>развитие сети пунктов выдачи маркетплейсов;</w:t>
      </w:r>
    </w:p>
    <w:p w:rsidR="00CF0324" w:rsidRDefault="00124A10">
      <w:pPr>
        <w:spacing w:line="276" w:lineRule="auto"/>
        <w:ind w:firstLine="708"/>
        <w:jc w:val="both"/>
        <w:rPr>
          <w:rFonts w:eastAsia="TimesNewRomanPSMT"/>
        </w:rPr>
      </w:pPr>
      <w:r>
        <w:rPr>
          <w:rFonts w:eastAsia="TimesNewRomanPSMT"/>
        </w:rPr>
        <w:t>строительство логистического центра.</w:t>
      </w:r>
    </w:p>
    <w:p w:rsidR="00CF0324" w:rsidRDefault="00CF0324">
      <w:pPr>
        <w:spacing w:line="276" w:lineRule="auto"/>
        <w:jc w:val="both"/>
        <w:rPr>
          <w:b/>
        </w:rPr>
      </w:pP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both"/>
      </w:pPr>
      <w:r>
        <w:t>строительство школы на 550 мест (2026-2028 гг.), Карта развития Югры;</w:t>
      </w:r>
    </w:p>
    <w:p w:rsidR="00CF0324" w:rsidRDefault="00124A10">
      <w:pPr>
        <w:spacing w:line="276" w:lineRule="auto"/>
        <w:ind w:firstLine="708"/>
        <w:jc w:val="both"/>
      </w:pPr>
      <w:r>
        <w:t>лыжная роллер-трасса по биатлону (2025г.), Карта развития Югры;</w:t>
      </w:r>
    </w:p>
    <w:p w:rsidR="00CF0324" w:rsidRDefault="00124A10">
      <w:pPr>
        <w:spacing w:line="276" w:lineRule="auto"/>
        <w:ind w:firstLine="708"/>
        <w:jc w:val="both"/>
      </w:pPr>
      <w:r>
        <w:rPr>
          <w:rFonts w:eastAsia="TimesNewRomanPSMT"/>
        </w:rPr>
        <w:t xml:space="preserve">создание общественного пространства для подростков и молодежи, направленного на раскрытие творческого, научно-технического потенциала и патриотическое воспитание </w:t>
      </w:r>
      <w:r>
        <w:t>(обращение жителей в ходе опроса о реализации Стратегии - 2030);</w:t>
      </w:r>
    </w:p>
    <w:p w:rsidR="00CF0324" w:rsidRDefault="00124A10">
      <w:pPr>
        <w:spacing w:line="276" w:lineRule="auto"/>
        <w:ind w:firstLine="708"/>
        <w:jc w:val="both"/>
      </w:pPr>
      <w:r>
        <w:t>создание музея в пгт.Междуреченский для сбора исторического реквизита, сохранение истории лесозаготовителей (обращение жителей в ходе опроса о реализации Стратегии - 2030);</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строительство бассейна;</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ind w:firstLine="708"/>
        <w:jc w:val="both"/>
        <w:rPr>
          <w:rFonts w:eastAsia="TimesNewRomanPSMT"/>
        </w:rPr>
      </w:pPr>
      <w:r>
        <w:rPr>
          <w:rFonts w:eastAsia="TimesNewRomanPSMT"/>
        </w:rPr>
        <w:t>создание на базе бюджетного учреждения Ханты-Мансийского автономного округа – Югры «Междуреченский агропромышленный колледж» центра селекции плодовоягодных культур с питомником;</w:t>
      </w:r>
    </w:p>
    <w:p w:rsidR="00CF0324" w:rsidRDefault="00124A10">
      <w:pPr>
        <w:spacing w:line="276" w:lineRule="auto"/>
        <w:ind w:firstLine="708"/>
        <w:jc w:val="both"/>
        <w:rPr>
          <w:rFonts w:eastAsia="TimesNewRomanPSMT"/>
        </w:rPr>
      </w:pPr>
      <w:r>
        <w:rPr>
          <w:rFonts w:eastAsia="TimesNewRomanPSMT"/>
        </w:rPr>
        <w:t>создание районного центра креативных индустрий (ремесел Конды) с выставочным центром в пгт.Междуреченский;</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пгт.Междуреченский (1 этап: 2024-2030; Карта развития Югры);</w:t>
      </w:r>
    </w:p>
    <w:p w:rsidR="00CF0324" w:rsidRDefault="00124A10">
      <w:pPr>
        <w:spacing w:line="276" w:lineRule="auto"/>
        <w:ind w:firstLine="708"/>
        <w:jc w:val="both"/>
        <w:rPr>
          <w:rFonts w:eastAsia="TimesNewRomanPSMT"/>
        </w:rPr>
      </w:pPr>
      <w:r>
        <w:t>строительство канализационно-очистных сооружений (2025-2027 гг.) Карта развития Югры; (2028-2029 в госпрограмме 477-п);</w:t>
      </w:r>
    </w:p>
    <w:p w:rsidR="00CF0324" w:rsidRDefault="00124A10">
      <w:pPr>
        <w:spacing w:line="276" w:lineRule="auto"/>
        <w:ind w:firstLine="708"/>
        <w:jc w:val="both"/>
      </w:pPr>
      <w:r>
        <w:t>ликвидация свалок (2023-2024 г.г.) Карта развития Югры;</w:t>
      </w:r>
    </w:p>
    <w:p w:rsidR="00CF0324" w:rsidRDefault="00124A10">
      <w:pPr>
        <w:spacing w:line="276" w:lineRule="auto"/>
        <w:ind w:firstLine="708"/>
        <w:jc w:val="both"/>
      </w:pPr>
      <w:r>
        <w:t>строительство нового полигона твердых коммунальных отходов (ТКО) в связи с окончанием срока эксплуатации действующего полигона в 2029 году;</w:t>
      </w:r>
    </w:p>
    <w:p w:rsidR="00CF0324" w:rsidRDefault="00124A10">
      <w:pPr>
        <w:spacing w:line="276" w:lineRule="auto"/>
        <w:ind w:firstLine="708"/>
        <w:jc w:val="both"/>
      </w:pPr>
      <w:r>
        <w:t>строительство 2 котельных общей мощностью 10 мВт;</w:t>
      </w:r>
    </w:p>
    <w:p w:rsidR="00CF0324" w:rsidRDefault="00124A10">
      <w:pPr>
        <w:spacing w:line="276" w:lineRule="auto"/>
        <w:ind w:firstLine="708"/>
        <w:jc w:val="both"/>
      </w:pPr>
      <w:r>
        <w:t>установка фильтров на дымовые трубы котельных (обращение жителей в ходе опроса о реализации Стратегии - 2030);</w:t>
      </w:r>
    </w:p>
    <w:p w:rsidR="00CF0324" w:rsidRDefault="00124A10">
      <w:pPr>
        <w:spacing w:line="276" w:lineRule="auto"/>
        <w:ind w:firstLine="708"/>
        <w:jc w:val="both"/>
      </w:pPr>
      <w:r>
        <w:t>эстетическое озеленение, устройство клумб в пгт.Междуреченский, (обращение жителей в ходе опроса о реализации Стратегии - 2030);</w:t>
      </w:r>
    </w:p>
    <w:p w:rsidR="00CF0324" w:rsidRDefault="00124A10">
      <w:pPr>
        <w:spacing w:line="276" w:lineRule="auto"/>
        <w:ind w:firstLine="708"/>
        <w:jc w:val="both"/>
      </w:pPr>
      <w:r>
        <w:t>улучшение качества воды (обращение жителей в ходе опроса о реализации Стратегии - 2030);</w:t>
      </w:r>
    </w:p>
    <w:p w:rsidR="00CF0324" w:rsidRDefault="00124A10">
      <w:pPr>
        <w:spacing w:line="276" w:lineRule="auto"/>
        <w:ind w:firstLine="708"/>
        <w:jc w:val="both"/>
        <w:rPr>
          <w:rFonts w:eastAsia="TimesNewRomanPSMT"/>
        </w:rPr>
      </w:pPr>
      <w:r>
        <w:t>установка видеонаблюдения на набережной, на контейнерных площадках ТКО (обращение жителей в ходе опроса о реализации Стратегии - 2030).</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rPr>
          <w:lang w:eastAsia="en-US"/>
        </w:rPr>
      </w:pPr>
      <w:r>
        <w:rPr>
          <w:lang w:eastAsia="en-US"/>
        </w:rPr>
        <w:t xml:space="preserve">речпорт в пгт. Междуреченский (2030 г.) </w:t>
      </w:r>
      <w:r>
        <w:t>Карта развития Югры</w:t>
      </w:r>
      <w:r>
        <w:rPr>
          <w:lang w:eastAsia="en-US"/>
        </w:rPr>
        <w:t>;</w:t>
      </w:r>
    </w:p>
    <w:p w:rsidR="00CF0324" w:rsidRDefault="00124A10">
      <w:pPr>
        <w:spacing w:line="276" w:lineRule="auto"/>
        <w:ind w:firstLine="708"/>
        <w:jc w:val="both"/>
        <w:rPr>
          <w:lang w:eastAsia="en-US"/>
        </w:rPr>
      </w:pPr>
      <w:r>
        <w:rPr>
          <w:lang w:eastAsia="en-US"/>
        </w:rPr>
        <w:lastRenderedPageBreak/>
        <w:t>строительство автомобильной дороги круглогодичного действия «Междуреченский-Луговой», 16 км (2030 г.)</w:t>
      </w:r>
      <w:r>
        <w:t xml:space="preserve"> Карта развития Югры)</w:t>
      </w:r>
      <w:r>
        <w:rPr>
          <w:lang w:eastAsia="en-US"/>
        </w:rPr>
        <w:t xml:space="preserve">; </w:t>
      </w:r>
      <w:r>
        <w:t>(Программа 100-летия Конды);</w:t>
      </w:r>
    </w:p>
    <w:p w:rsidR="00CF0324" w:rsidRDefault="00124A10">
      <w:pPr>
        <w:spacing w:line="276" w:lineRule="auto"/>
        <w:ind w:firstLine="708"/>
        <w:jc w:val="both"/>
      </w:pPr>
      <w:r>
        <w:t>устройство внутрипоселковых дорог в капитальном исполнении, и строительство тротуаров, велосипедных дорожек (обращение жителей в ходе опроса о реализации Стратегии - 2030);</w:t>
      </w:r>
    </w:p>
    <w:p w:rsidR="00CF0324" w:rsidRDefault="00124A10">
      <w:pPr>
        <w:spacing w:line="276" w:lineRule="auto"/>
        <w:ind w:firstLine="708"/>
        <w:jc w:val="both"/>
      </w:pPr>
      <w:r>
        <w:rPr>
          <w:lang w:eastAsia="en-US"/>
        </w:rPr>
        <w:t xml:space="preserve">благоустройство привокзальной площади в пгт.Междуреченский </w:t>
      </w:r>
      <w:r>
        <w:t>(обращение жителей в ходе опроса о реализации Стратегии - 2030).</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jc w:val="both"/>
      </w:pPr>
      <w:r>
        <w:rPr>
          <w:rFonts w:eastAsia="TimesNewRomanPSMT"/>
        </w:rPr>
        <w:tab/>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w:t>
      </w:r>
      <w:r>
        <w:t xml:space="preserve"> (предложение жителя в ходе опроса о реализации Стратегии - 2030);</w:t>
      </w:r>
    </w:p>
    <w:p w:rsidR="00CF0324" w:rsidRDefault="00124A10">
      <w:pPr>
        <w:spacing w:line="276" w:lineRule="auto"/>
        <w:jc w:val="both"/>
        <w:rPr>
          <w:rFonts w:eastAsia="TimesNewRomanPSMT"/>
        </w:rPr>
      </w:pPr>
      <w:r>
        <w:tab/>
        <w:t>экологическое воспитание детей и подростков.</w:t>
      </w:r>
    </w:p>
    <w:p w:rsidR="00CF0324" w:rsidRDefault="00124A10">
      <w:pPr>
        <w:pStyle w:val="afff1"/>
      </w:pPr>
      <w:bookmarkStart w:id="80" w:name="_Toc78"/>
      <w:r>
        <w:t>12.2. Городское поселение Мортка</w:t>
      </w:r>
      <w:bookmarkEnd w:id="80"/>
    </w:p>
    <w:p w:rsidR="00CF0324" w:rsidRDefault="00124A10">
      <w:pPr>
        <w:spacing w:line="276" w:lineRule="auto"/>
        <w:ind w:firstLine="708"/>
        <w:jc w:val="both"/>
        <w:rPr>
          <w:b/>
          <w:bCs/>
        </w:rPr>
      </w:pPr>
      <w:r>
        <w:rPr>
          <w:b/>
          <w:bCs/>
        </w:rPr>
        <w:t>Развитие малого и среднего предпринимательства, промышленности и сельского хозяйства:</w:t>
      </w:r>
    </w:p>
    <w:p w:rsidR="00CF0324" w:rsidRDefault="00124A10">
      <w:pPr>
        <w:spacing w:line="276" w:lineRule="auto"/>
        <w:ind w:firstLine="708"/>
        <w:jc w:val="both"/>
      </w:pPr>
      <w:r>
        <w:t>развитие индустриального парка «Кондинский» (в период реализации Стратегии-2036); в том числе: развитие деревянного домостроения (не реализованное мероприятие из Стратегии-2030);</w:t>
      </w:r>
    </w:p>
    <w:p w:rsidR="00CF0324" w:rsidRDefault="00124A10">
      <w:pPr>
        <w:spacing w:line="276" w:lineRule="auto"/>
        <w:ind w:firstLine="708"/>
        <w:jc w:val="both"/>
      </w:pPr>
      <w:r>
        <w:t>выход на производственные мощности нефтеперерабатывающего завода;</w:t>
      </w:r>
    </w:p>
    <w:p w:rsidR="00CF0324" w:rsidRDefault="00124A10">
      <w:pPr>
        <w:spacing w:line="276" w:lineRule="auto"/>
        <w:ind w:firstLine="708"/>
        <w:jc w:val="both"/>
        <w:rPr>
          <w:bCs/>
        </w:rPr>
      </w:pPr>
      <w:r>
        <w:rPr>
          <w:bCs/>
        </w:rPr>
        <w:t xml:space="preserve">сохранение (создание) малых предприятий по заготовке и переработке древесины </w:t>
      </w:r>
      <w:r>
        <w:t>(в период реализации Стратегии-2036);</w:t>
      </w:r>
    </w:p>
    <w:p w:rsidR="00CF0324" w:rsidRDefault="00124A10">
      <w:pPr>
        <w:spacing w:line="276" w:lineRule="auto"/>
        <w:ind w:firstLine="708"/>
        <w:jc w:val="both"/>
      </w:pPr>
      <w:r>
        <w:t>строительство (организация) пунктов приема водных биологических ресурсов в д.Юмас (до 2030 гг.) Карта развития Югры;</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организация производства по выпуску удобрений из торфа и топливных брикетов (не реализованное мероприятие из Стратегии-2030);</w:t>
      </w:r>
    </w:p>
    <w:p w:rsidR="00CF0324" w:rsidRDefault="00124A10">
      <w:pPr>
        <w:spacing w:line="276" w:lineRule="auto"/>
        <w:ind w:firstLine="708"/>
        <w:jc w:val="both"/>
      </w:pPr>
      <w:r>
        <w:t>развитие социального предпринимательства в то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rPr>
          <w:rFonts w:eastAsia="TimesNewRomanPSMT"/>
        </w:rPr>
      </w:pPr>
      <w:r>
        <w:rPr>
          <w:rFonts w:eastAsia="TimesNewRomanPSMT"/>
        </w:rPr>
        <w:t>развитие частных медицинских кабинетов, клинико-диагностических лабораторий, стоматологических кабинетов (Развитие конкуренции);</w:t>
      </w:r>
    </w:p>
    <w:p w:rsidR="00CF0324" w:rsidRDefault="00124A10">
      <w:pPr>
        <w:spacing w:line="276" w:lineRule="auto"/>
        <w:ind w:firstLine="708"/>
        <w:jc w:val="both"/>
        <w:rPr>
          <w:rFonts w:eastAsia="TimesNewRomanPSMT"/>
        </w:rPr>
      </w:pPr>
      <w:r>
        <w:rPr>
          <w:rFonts w:eastAsia="TimesNewRomanPSMT"/>
        </w:rP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CF0324" w:rsidRDefault="00124A10">
      <w:pPr>
        <w:spacing w:line="276" w:lineRule="auto"/>
        <w:ind w:firstLine="708"/>
        <w:jc w:val="both"/>
        <w:rPr>
          <w:rFonts w:eastAsia="TimesNewRomanPSMT"/>
        </w:rPr>
      </w:pPr>
      <w:r>
        <w:rPr>
          <w:rFonts w:eastAsia="TimesNewRomanPSMT"/>
        </w:rPr>
        <w:t>развитие сети пунктов выдачи маркетплейсов.</w:t>
      </w: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both"/>
      </w:pPr>
      <w:r>
        <w:t>строительство детского сада в пгт. Мортка на 120 мест;</w:t>
      </w:r>
    </w:p>
    <w:p w:rsidR="00CF0324" w:rsidRDefault="00124A10">
      <w:pPr>
        <w:spacing w:line="276" w:lineRule="auto"/>
        <w:ind w:firstLine="708"/>
        <w:jc w:val="both"/>
        <w:rPr>
          <w:lang w:eastAsia="en-US"/>
        </w:rPr>
      </w:pPr>
      <w:r>
        <w:rPr>
          <w:lang w:eastAsia="en-US"/>
        </w:rPr>
        <w:t>строительство плоскостных сооружений в пгт. Мортка, д. Юмас (ПКР);</w:t>
      </w:r>
    </w:p>
    <w:p w:rsidR="00CF0324" w:rsidRDefault="00124A10">
      <w:pPr>
        <w:spacing w:line="276" w:lineRule="auto"/>
        <w:ind w:firstLine="708"/>
        <w:jc w:val="both"/>
      </w:pPr>
      <w:r>
        <w:rPr>
          <w:lang w:eastAsia="en-US"/>
        </w:rPr>
        <w:t xml:space="preserve">строительство площадки для занятий игровыми видами спорта </w:t>
      </w:r>
      <w:r>
        <w:t>(обращение жителей в ходе опроса о реализации Стратегии - 2030);</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строительство сельского дома культуры с. Ямки;</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rPr>
      </w:pPr>
      <w:r>
        <w:rPr>
          <w:b/>
        </w:rPr>
        <w:lastRenderedPageBreak/>
        <w:t>Развитие транспортной инфраструктуры:</w:t>
      </w:r>
    </w:p>
    <w:p w:rsidR="00CF0324" w:rsidRDefault="00124A10">
      <w:pPr>
        <w:spacing w:line="276" w:lineRule="auto"/>
        <w:ind w:firstLine="708"/>
        <w:jc w:val="both"/>
      </w:pPr>
      <w:r>
        <w:t>строительство автодороги д. Ямки - д. Юмас, 10 км (2030 г.) Карта развития Югры;</w:t>
      </w:r>
    </w:p>
    <w:p w:rsidR="00CF0324" w:rsidRDefault="00124A10">
      <w:pPr>
        <w:spacing w:line="276" w:lineRule="auto"/>
        <w:ind w:firstLine="708"/>
        <w:jc w:val="both"/>
      </w:pPr>
      <w:r>
        <w:t>у</w:t>
      </w:r>
      <w:r>
        <w:rPr>
          <w:lang w:eastAsia="en-US"/>
        </w:rPr>
        <w:t xml:space="preserve">стройство внутрипоселковых дорог, тротуаров </w:t>
      </w:r>
      <w:r>
        <w:t>в пгт. Мортка (обращение жителей в ходе опроса о реализации Стратегии - 2030).</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пгт. Мортка (1 этап: 2024-2030 г.г.) Карта развития Югры;</w:t>
      </w:r>
    </w:p>
    <w:p w:rsidR="00CF0324" w:rsidRDefault="00124A10">
      <w:pPr>
        <w:spacing w:line="276" w:lineRule="auto"/>
        <w:ind w:firstLine="708"/>
        <w:jc w:val="both"/>
      </w:pPr>
      <w:r>
        <w:t>ликвидация свалок (2024) Карта развития Югры;</w:t>
      </w:r>
    </w:p>
    <w:p w:rsidR="00CF0324" w:rsidRDefault="00124A10">
      <w:pPr>
        <w:spacing w:line="276" w:lineRule="auto"/>
        <w:ind w:firstLine="708"/>
        <w:jc w:val="both"/>
      </w:pPr>
      <w:r>
        <w:t>строительство локальных канализационных очистных сооружений в д. Юмас (2030) Карта развития Югры;</w:t>
      </w:r>
    </w:p>
    <w:p w:rsidR="00CF0324" w:rsidRDefault="00124A10">
      <w:pPr>
        <w:spacing w:line="276" w:lineRule="auto"/>
        <w:ind w:firstLine="708"/>
        <w:jc w:val="both"/>
      </w:pPr>
      <w:r>
        <w:t>капитальный ремонт КОС-400 в пгт. Мортка;</w:t>
      </w:r>
    </w:p>
    <w:p w:rsidR="00CF0324" w:rsidRDefault="00124A10">
      <w:pPr>
        <w:spacing w:line="276" w:lineRule="auto"/>
        <w:ind w:firstLine="708"/>
        <w:jc w:val="both"/>
      </w:pPr>
      <w:r>
        <w:t>благоустройство центральной части пгт. Мортка (обращение жителей в ходе опроса о реализации Стратегии - 2030);</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jc w:val="both"/>
      </w:pPr>
      <w:r>
        <w:rPr>
          <w:rFonts w:eastAsia="TimesNewRomanPSMT"/>
        </w:rPr>
        <w:tab/>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w:t>
      </w:r>
      <w:r>
        <w:t xml:space="preserve"> (предложение жителей в ходе опроса о реализации Стратегии - 2030);</w:t>
      </w:r>
    </w:p>
    <w:p w:rsidR="00CF0324" w:rsidRDefault="00124A10">
      <w:pPr>
        <w:spacing w:line="276" w:lineRule="auto"/>
        <w:jc w:val="both"/>
        <w:rPr>
          <w:rFonts w:eastAsia="TimesNewRomanPSMT"/>
        </w:rPr>
      </w:pPr>
      <w:r>
        <w:tab/>
        <w:t>экологическое воспитание детей и подростков.</w:t>
      </w:r>
    </w:p>
    <w:p w:rsidR="00CF0324" w:rsidRDefault="00124A10">
      <w:pPr>
        <w:pStyle w:val="afff1"/>
      </w:pPr>
      <w:bookmarkStart w:id="81" w:name="_Toc79"/>
      <w:r>
        <w:t>12.3. Городское поселение Кондинское</w:t>
      </w:r>
      <w:bookmarkEnd w:id="81"/>
    </w:p>
    <w:p w:rsidR="00CF0324" w:rsidRDefault="00124A10">
      <w:pPr>
        <w:spacing w:line="276" w:lineRule="auto"/>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организация производственного комплекса рыбоперерабатывающих цехов пгт.Кондинское (2030г.) Карта развития Югры;</w:t>
      </w:r>
    </w:p>
    <w:p w:rsidR="00CF0324" w:rsidRDefault="00124A10">
      <w:pPr>
        <w:spacing w:line="276" w:lineRule="auto"/>
        <w:ind w:firstLine="708"/>
        <w:jc w:val="both"/>
      </w:pPr>
      <w:r>
        <w:t>строительство (организация) пунктов приема водных биологических ресурсов пгт.Кондинское, д. Никулкина (до 2030 гг.) Карта развития Югры;</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развитие деревянного домостроения;</w:t>
      </w:r>
    </w:p>
    <w:p w:rsidR="00CF0324" w:rsidRDefault="00124A10">
      <w:pPr>
        <w:spacing w:line="276" w:lineRule="auto"/>
        <w:ind w:firstLine="708"/>
        <w:jc w:val="both"/>
      </w:pPr>
      <w:r>
        <w:t>развитие инфраструктуры туризма (гостевых домов, производств сувенирной продукции, баз отдыха);</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частных медицинских кабинетов, клинико-диагностических лабораторий, стоматологических кабинетов (Развитие конкуренции);</w:t>
      </w:r>
    </w:p>
    <w:p w:rsidR="00CF0324" w:rsidRDefault="00124A10">
      <w:pPr>
        <w:spacing w:line="276" w:lineRule="auto"/>
        <w:ind w:firstLine="708"/>
        <w:jc w:val="both"/>
      </w:pPr>
      <w:r>
        <w:t>создание филиала центра креативных индустрий.</w:t>
      </w: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both"/>
      </w:pPr>
      <w:r>
        <w:t>строительство поликлиники на 49 посещений в смену (2023-2025 г.г.);</w:t>
      </w:r>
    </w:p>
    <w:p w:rsidR="00CF0324" w:rsidRDefault="00124A10">
      <w:pPr>
        <w:spacing w:line="276" w:lineRule="auto"/>
        <w:ind w:firstLine="708"/>
        <w:jc w:val="both"/>
      </w:pPr>
      <w:r>
        <w:t>строительство дома культуры в пгт. Кондинское (до 2029 г. в ПКР);</w:t>
      </w:r>
    </w:p>
    <w:p w:rsidR="00CF0324" w:rsidRDefault="00124A10">
      <w:pPr>
        <w:spacing w:line="276" w:lineRule="auto"/>
        <w:ind w:firstLine="708"/>
        <w:jc w:val="both"/>
      </w:pPr>
      <w:r>
        <w:rPr>
          <w:lang w:eastAsia="en-US"/>
        </w:rPr>
        <w:t>строительство плоскостных сооружений (сроки не определены в ПКР);</w:t>
      </w:r>
    </w:p>
    <w:p w:rsidR="00CF0324" w:rsidRDefault="00124A10">
      <w:pPr>
        <w:spacing w:line="276" w:lineRule="auto"/>
        <w:ind w:firstLine="708"/>
        <w:jc w:val="both"/>
        <w:rPr>
          <w:lang w:eastAsia="en-US"/>
        </w:rPr>
      </w:pPr>
      <w:r>
        <w:rPr>
          <w:lang w:eastAsia="en-US"/>
        </w:rPr>
        <w:t>строительство спортивного комплекса (сроки не определены в ПКР);</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строительство здания музея;</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lastRenderedPageBreak/>
        <w:t>газификация пгт. Кондинское (1 этап: 2024-2030 г.г.) Карта развития Югры;</w:t>
      </w:r>
    </w:p>
    <w:p w:rsidR="00CF0324" w:rsidRDefault="00124A10">
      <w:pPr>
        <w:spacing w:line="276" w:lineRule="auto"/>
        <w:ind w:firstLine="708"/>
        <w:jc w:val="both"/>
      </w:pPr>
      <w:r>
        <w:t>ликвидация свалок (2024 г.) Карта развития Югры;</w:t>
      </w:r>
    </w:p>
    <w:p w:rsidR="00CF0324" w:rsidRDefault="00124A10">
      <w:pPr>
        <w:spacing w:line="276" w:lineRule="auto"/>
        <w:ind w:firstLine="708"/>
        <w:jc w:val="both"/>
      </w:pPr>
      <w:r>
        <w:t>строительство канализационных очистных сооружений 300 м3/сутки в пгт.Кондинское (до 2030г.) Карта развития Югры;</w:t>
      </w:r>
    </w:p>
    <w:p w:rsidR="00CF0324" w:rsidRDefault="00124A10">
      <w:pPr>
        <w:spacing w:line="276" w:lineRule="auto"/>
        <w:ind w:firstLine="708"/>
        <w:jc w:val="both"/>
      </w:pPr>
      <w:r>
        <w:t>строительство котельной № 1;</w:t>
      </w:r>
    </w:p>
    <w:p w:rsidR="00CF0324" w:rsidRDefault="00124A10">
      <w:pPr>
        <w:spacing w:line="276" w:lineRule="auto"/>
        <w:ind w:firstLine="708"/>
        <w:jc w:val="both"/>
      </w:pPr>
      <w:r>
        <w:t xml:space="preserve">строительство полигона твердых коммунальных отходов в пгт. Кондинское </w:t>
      </w:r>
    </w:p>
    <w:p w:rsidR="00CF0324" w:rsidRDefault="00124A10">
      <w:pPr>
        <w:spacing w:line="276" w:lineRule="auto"/>
        <w:ind w:firstLine="708"/>
        <w:jc w:val="both"/>
      </w:pPr>
      <w:r>
        <w:t>благоустройство мест отдыха, развитие общественных пространств (требуется пляж), (обращение жителя в ходе опроса о реализации Стратегии - 2030).</w:t>
      </w:r>
    </w:p>
    <w:p w:rsidR="00CF0324" w:rsidRDefault="00CF0324">
      <w:pPr>
        <w:spacing w:line="276" w:lineRule="auto"/>
        <w:ind w:firstLine="708"/>
        <w:jc w:val="both"/>
      </w:pP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pPr>
      <w:r>
        <w:t>у</w:t>
      </w:r>
      <w:r>
        <w:rPr>
          <w:lang w:eastAsia="en-US"/>
        </w:rPr>
        <w:t xml:space="preserve">стройство внутрипоселковых дорог, тротуаров </w:t>
      </w:r>
      <w:r>
        <w:t>в пгт. Кондинское (обращение жителей в ходе опроса о реализации Стратегии - 2030);</w:t>
      </w:r>
    </w:p>
    <w:p w:rsidR="00CF0324" w:rsidRDefault="00124A10">
      <w:pPr>
        <w:spacing w:line="276" w:lineRule="auto"/>
        <w:ind w:firstLine="708"/>
        <w:jc w:val="both"/>
      </w:pPr>
      <w:r>
        <w:t>увеличение рейсов воздушного и водного транспорта (обращение жителей в ходе опроса о реализации Стратегии - 2030);</w:t>
      </w:r>
    </w:p>
    <w:p w:rsidR="00CF0324" w:rsidRDefault="00124A10">
      <w:pPr>
        <w:spacing w:line="276" w:lineRule="auto"/>
        <w:ind w:firstLine="708"/>
        <w:jc w:val="both"/>
      </w:pPr>
      <w:r>
        <w:t>строительство автомобильной дороги д. Старый Катыш – пгт. Кондинское (34 км).</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jc w:val="both"/>
      </w:pPr>
      <w:r>
        <w:rPr>
          <w:rFonts w:eastAsia="TimesNewRomanPSMT"/>
        </w:rPr>
        <w:tab/>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w:t>
      </w:r>
      <w:r>
        <w:t xml:space="preserve"> (предложение жителя в ходе опроса о реализации Стратегии - 2030);</w:t>
      </w:r>
    </w:p>
    <w:p w:rsidR="00CF0324" w:rsidRDefault="00124A10">
      <w:pPr>
        <w:spacing w:line="276" w:lineRule="auto"/>
        <w:jc w:val="both"/>
        <w:rPr>
          <w:rFonts w:eastAsia="TimesNewRomanPSMT"/>
        </w:rPr>
      </w:pPr>
      <w:r>
        <w:tab/>
        <w:t>экологическое воспитание детей и подростков.</w:t>
      </w:r>
    </w:p>
    <w:p w:rsidR="00CF0324" w:rsidRDefault="00124A10">
      <w:pPr>
        <w:pStyle w:val="afff1"/>
      </w:pPr>
      <w:bookmarkStart w:id="82" w:name="_Toc80"/>
      <w:r>
        <w:t>12.4. Городское поселение Луговой</w:t>
      </w:r>
      <w:bookmarkEnd w:id="82"/>
    </w:p>
    <w:p w:rsidR="00CF0324" w:rsidRDefault="00124A10">
      <w:pPr>
        <w:spacing w:line="276" w:lineRule="auto"/>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строительство (организация) пунктов приема водных биологических ресурсов в пгт. Луговой (до 2030 гг.) Карта развития Югры;</w:t>
      </w:r>
    </w:p>
    <w:p w:rsidR="00CF0324" w:rsidRDefault="00124A10">
      <w:pPr>
        <w:spacing w:line="276" w:lineRule="auto"/>
        <w:ind w:firstLine="708"/>
        <w:jc w:val="both"/>
      </w:pPr>
      <w:r>
        <w:t>организация рыболовного, охотничьего, собирательного (сбор дикоросов), этнографического туризма, Программа 100-летия Конды;</w:t>
      </w:r>
    </w:p>
    <w:p w:rsidR="00CF0324" w:rsidRDefault="00124A10">
      <w:pPr>
        <w:spacing w:line="276" w:lineRule="auto"/>
        <w:ind w:firstLine="708"/>
        <w:jc w:val="both"/>
      </w:pPr>
      <w:r>
        <w:t>инновационное развитие лесопромышленного комплекса;</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сети пунктов выдачи маркетплейсов;</w:t>
      </w:r>
    </w:p>
    <w:p w:rsidR="00CF0324" w:rsidRDefault="00124A10">
      <w:pPr>
        <w:spacing w:line="276" w:lineRule="auto"/>
        <w:ind w:firstLine="708"/>
        <w:jc w:val="both"/>
      </w:pPr>
      <w:r>
        <w:t>развитие инфраструктуры туризма (гостевых домов, производств сувенирной продукции, баз отдыха).</w:t>
      </w:r>
    </w:p>
    <w:p w:rsidR="00CF0324" w:rsidRDefault="00124A10">
      <w:pPr>
        <w:spacing w:line="276" w:lineRule="auto"/>
        <w:jc w:val="both"/>
        <w:rPr>
          <w:b/>
        </w:rPr>
      </w:pPr>
      <w:r>
        <w:rPr>
          <w:b/>
        </w:rPr>
        <w:t>Развитие социальной инфраструктуры:</w:t>
      </w:r>
    </w:p>
    <w:p w:rsidR="00CF0324" w:rsidRDefault="00124A10">
      <w:pPr>
        <w:ind w:firstLine="708"/>
        <w:jc w:val="both"/>
      </w:pPr>
      <w:r>
        <w:t xml:space="preserve">строительство </w:t>
      </w:r>
      <w:r>
        <w:rPr>
          <w:lang w:val="en-US"/>
        </w:rPr>
        <w:t>II</w:t>
      </w:r>
      <w:r>
        <w:t xml:space="preserve"> очереди детского оздоровительно-образовательного центра «Юбилейный» (в период реализации Стратегии)</w:t>
      </w:r>
      <w:r>
        <w:rPr>
          <w:rStyle w:val="16"/>
        </w:rPr>
        <w:footnoteReference w:id="51"/>
      </w:r>
      <w:r>
        <w:t xml:space="preserve">; </w:t>
      </w:r>
    </w:p>
    <w:p w:rsidR="00CF0324" w:rsidRDefault="00124A10">
      <w:pPr>
        <w:spacing w:line="276" w:lineRule="auto"/>
        <w:ind w:firstLine="708"/>
        <w:jc w:val="both"/>
      </w:pPr>
      <w:r>
        <w:t xml:space="preserve">строительство дома культуры </w:t>
      </w:r>
      <w:r>
        <w:rPr>
          <w:lang w:eastAsia="en-US"/>
        </w:rPr>
        <w:t>200 мест/15000 экз.</w:t>
      </w:r>
      <w:r>
        <w:t xml:space="preserve"> (2023-2024 гг. в ПКР);</w:t>
      </w:r>
    </w:p>
    <w:p w:rsidR="00CF0324" w:rsidRDefault="00124A10">
      <w:pPr>
        <w:spacing w:line="276" w:lineRule="auto"/>
        <w:ind w:firstLine="708"/>
        <w:jc w:val="both"/>
      </w:pPr>
      <w:r>
        <w:t>строительство врачебной амбулатории на 40 посещений в смену (2023-2024 гг.).</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lastRenderedPageBreak/>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пгт. Луговой (2 этап: 2030г.), Карта развития Югры;</w:t>
      </w:r>
    </w:p>
    <w:p w:rsidR="00CF0324" w:rsidRDefault="00124A10">
      <w:pPr>
        <w:spacing w:line="276" w:lineRule="auto"/>
        <w:ind w:firstLine="708"/>
        <w:jc w:val="both"/>
      </w:pPr>
      <w:r>
        <w:t>строительство локальных канализационных очистных сооружений (2024-2025 г.г.) Карта развития Югры;</w:t>
      </w:r>
    </w:p>
    <w:p w:rsidR="00CF0324" w:rsidRDefault="00124A10">
      <w:pPr>
        <w:spacing w:line="276" w:lineRule="auto"/>
        <w:ind w:firstLine="708"/>
        <w:jc w:val="both"/>
      </w:pPr>
      <w:r>
        <w:t>строительство сетей водоснабжения (обращение жителей в ходе опроса о реализации Стратегии - 2030);</w:t>
      </w:r>
    </w:p>
    <w:p w:rsidR="00CF0324" w:rsidRDefault="00124A10">
      <w:pPr>
        <w:spacing w:line="276" w:lineRule="auto"/>
        <w:ind w:firstLine="708"/>
        <w:jc w:val="both"/>
      </w:pPr>
      <w:r>
        <w:t>благоустройство общественных пространств (обращение жителей в ходе опроса о реализации Стратегии - 2030);</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pPr>
      <w:r>
        <w:t>строительство автомобильной дороги круглогодичного действия п. Луговой - пгт.Междуреченский, 16 км (2030 г.), Карта развития Югры;</w:t>
      </w:r>
    </w:p>
    <w:p w:rsidR="00CF0324" w:rsidRDefault="00124A10">
      <w:pPr>
        <w:spacing w:line="276" w:lineRule="auto"/>
        <w:ind w:firstLine="708"/>
        <w:jc w:val="both"/>
      </w:pPr>
      <w:r>
        <w:t>устройство внутрипоселковых дорог в капитальном исполнении, строительство тротуаров (в период реализации Стратегии);</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jc w:val="both"/>
      </w:pPr>
      <w:r>
        <w:rPr>
          <w:rFonts w:eastAsia="TimesNewRomanPSMT"/>
        </w:rPr>
        <w:tab/>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w:t>
      </w:r>
      <w:r>
        <w:t xml:space="preserve"> (предложение жителя в ходе опроса о реализации Стратегии - 2030);</w:t>
      </w:r>
    </w:p>
    <w:p w:rsidR="00CF0324" w:rsidRDefault="00124A10">
      <w:pPr>
        <w:spacing w:line="276" w:lineRule="auto"/>
        <w:jc w:val="both"/>
        <w:rPr>
          <w:rFonts w:eastAsia="TimesNewRomanPSMT"/>
        </w:rPr>
      </w:pPr>
      <w:r>
        <w:tab/>
        <w:t>экологическое воспитание детей и подростков.</w:t>
      </w:r>
    </w:p>
    <w:p w:rsidR="00CF0324" w:rsidRDefault="00124A10">
      <w:pPr>
        <w:pStyle w:val="afff1"/>
      </w:pPr>
      <w:bookmarkStart w:id="83" w:name="_Toc81"/>
      <w:r>
        <w:t>12.5. Городское поселение Куминский</w:t>
      </w:r>
      <w:bookmarkEnd w:id="83"/>
    </w:p>
    <w:p w:rsidR="00CF0324" w:rsidRDefault="00124A10">
      <w:pPr>
        <w:spacing w:line="276" w:lineRule="auto"/>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сохранение малых предприятий по заготовке и переработке древесины, инновационное создание ЛПК;</w:t>
      </w:r>
    </w:p>
    <w:p w:rsidR="00CF0324" w:rsidRDefault="00124A10">
      <w:pPr>
        <w:spacing w:line="276" w:lineRule="auto"/>
        <w:ind w:firstLine="708"/>
        <w:jc w:val="both"/>
        <w:rPr>
          <w:rFonts w:eastAsia="TimesNewRomanPSMT"/>
        </w:rPr>
      </w:pPr>
      <w:r>
        <w:t>развитие крестьянско-фермерских хозяйств (обращение жителей в ходе опроса о реализации Стратегии - 2030);</w:t>
      </w:r>
    </w:p>
    <w:p w:rsidR="00CF0324" w:rsidRDefault="00124A10">
      <w:pPr>
        <w:spacing w:line="276" w:lineRule="auto"/>
        <w:ind w:firstLine="708"/>
        <w:jc w:val="both"/>
      </w:pPr>
      <w:r>
        <w:t>создание фруктово-ягодного сада (смородина, яблони) (обращение жителя в ходе опроса о реализации Стратегии - 2030);</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CF0324" w:rsidRDefault="00124A10">
      <w:pPr>
        <w:spacing w:line="276" w:lineRule="auto"/>
        <w:ind w:firstLine="708"/>
        <w:jc w:val="both"/>
      </w:pPr>
      <w:r>
        <w:t>развитие сети пунктов выдачи маркетплейсов.</w:t>
      </w: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both"/>
      </w:pPr>
      <w:r>
        <w:t>строительство поликлиники (до 2030 года в ПКР);</w:t>
      </w:r>
    </w:p>
    <w:p w:rsidR="00CF0324" w:rsidRDefault="00124A10">
      <w:pPr>
        <w:spacing w:line="276" w:lineRule="auto"/>
        <w:ind w:firstLine="708"/>
        <w:jc w:val="both"/>
      </w:pPr>
      <w:r>
        <w:t>строительство дома культуры (до 2030 года в ПКР);</w:t>
      </w:r>
    </w:p>
    <w:p w:rsidR="00CF0324" w:rsidRDefault="00124A10">
      <w:pPr>
        <w:spacing w:line="276" w:lineRule="auto"/>
        <w:ind w:firstLine="708"/>
        <w:jc w:val="both"/>
        <w:rPr>
          <w:lang w:eastAsia="en-US"/>
        </w:rPr>
      </w:pPr>
      <w:r>
        <w:rPr>
          <w:lang w:eastAsia="en-US"/>
        </w:rPr>
        <w:t>строительство  плоскостных сооружений (до 2030 года в ПКР)</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пгт. Куминский (1 этап: 2024-2030 г.г.), Карта развития Югры;</w:t>
      </w:r>
    </w:p>
    <w:p w:rsidR="00CF0324" w:rsidRDefault="00124A10">
      <w:pPr>
        <w:spacing w:line="276" w:lineRule="auto"/>
        <w:ind w:firstLine="708"/>
        <w:jc w:val="both"/>
      </w:pPr>
      <w:r>
        <w:t>строительство сетей электроснабжения (2027), Карта развития Югры;</w:t>
      </w:r>
    </w:p>
    <w:p w:rsidR="00CF0324" w:rsidRDefault="00124A10">
      <w:pPr>
        <w:spacing w:line="276" w:lineRule="auto"/>
        <w:ind w:firstLine="708"/>
        <w:jc w:val="both"/>
      </w:pPr>
      <w:r>
        <w:lastRenderedPageBreak/>
        <w:t>строительство локальных канализационных очистных сооружений (2030), Карта развития Югры;</w:t>
      </w:r>
    </w:p>
    <w:p w:rsidR="00CF0324" w:rsidRDefault="00124A10">
      <w:pPr>
        <w:spacing w:line="276" w:lineRule="auto"/>
        <w:ind w:firstLine="708"/>
        <w:jc w:val="both"/>
      </w:pPr>
      <w:r>
        <w:t>улучшение качества питьевой воды (обращение жителей в ходе опроса о реализации Стратегии - 2030);</w:t>
      </w:r>
    </w:p>
    <w:p w:rsidR="00CF0324" w:rsidRDefault="00124A10">
      <w:pPr>
        <w:spacing w:line="276" w:lineRule="auto"/>
        <w:ind w:firstLine="708"/>
        <w:jc w:val="both"/>
      </w:pPr>
      <w:r>
        <w:t>благоустройство поселка (обращение жителей в ходе опроса о реализации Стратегии - 2030).</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rPr>
          <w:rFonts w:eastAsia="TimesNewRomanPSMT"/>
          <w:iCs/>
        </w:rPr>
      </w:pPr>
      <w:r>
        <w:rPr>
          <w:rFonts w:eastAsia="TimesNewRomanPSMT"/>
          <w:iCs/>
        </w:rPr>
        <w:t>строительство автозаправочной станции;</w:t>
      </w:r>
    </w:p>
    <w:p w:rsidR="00CF0324" w:rsidRDefault="00124A10">
      <w:pPr>
        <w:spacing w:line="276" w:lineRule="auto"/>
        <w:ind w:firstLine="708"/>
        <w:jc w:val="both"/>
        <w:rPr>
          <w:lang w:eastAsia="en-US"/>
        </w:rPr>
      </w:pPr>
      <w:r>
        <w:rPr>
          <w:rFonts w:eastAsia="TimesNewRomanPSMT"/>
          <w:iCs/>
        </w:rPr>
        <w:t xml:space="preserve">строительство автомобильной </w:t>
      </w:r>
      <w:r>
        <w:rPr>
          <w:lang w:eastAsia="en-US"/>
        </w:rPr>
        <w:t xml:space="preserve">дороги «Тюмень – Верхня Тавда – Междуреченский – Урай – Нягань – Приобье» на участке «Тюмень – Верхняя Тавда – Междуреченский» </w:t>
      </w:r>
      <w:r>
        <w:rPr>
          <w:lang w:val="en-US" w:eastAsia="en-US"/>
        </w:rPr>
        <w:t>VIII</w:t>
      </w:r>
      <w:r>
        <w:rPr>
          <w:lang w:eastAsia="en-US"/>
        </w:rPr>
        <w:t xml:space="preserve"> пусковой комплекс «от пгт. Куминский до границы со Свердловской областью», 23,4 км (2024-2027 гг.), Карта развития Югры;</w:t>
      </w:r>
    </w:p>
    <w:p w:rsidR="00CF0324" w:rsidRDefault="00124A10">
      <w:pPr>
        <w:spacing w:line="276" w:lineRule="auto"/>
        <w:ind w:firstLine="708"/>
        <w:jc w:val="both"/>
      </w:pPr>
      <w:r>
        <w:t>устройство внутрипоселковых дорог в капитальном исполнении, строительство тротуаров (обращение жителей в ходе опроса о реализации Стратегии - 2030).</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jc w:val="both"/>
      </w:pPr>
      <w:r>
        <w:rPr>
          <w:rFonts w:eastAsia="TimesNewRomanPSMT"/>
        </w:rPr>
        <w:tab/>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w:t>
      </w:r>
      <w:r>
        <w:t xml:space="preserve"> (предложение жителя в ходе опроса о реализации Стратегии - 2030);</w:t>
      </w:r>
    </w:p>
    <w:p w:rsidR="00CF0324" w:rsidRDefault="00124A10">
      <w:pPr>
        <w:spacing w:line="276" w:lineRule="auto"/>
        <w:jc w:val="both"/>
        <w:rPr>
          <w:rFonts w:eastAsia="TimesNewRomanPSMT"/>
        </w:rPr>
      </w:pPr>
      <w:r>
        <w:tab/>
        <w:t>экологическое воспитание детей и подростков.</w:t>
      </w:r>
    </w:p>
    <w:p w:rsidR="00CF0324" w:rsidRDefault="00124A10">
      <w:pPr>
        <w:pStyle w:val="afff1"/>
      </w:pPr>
      <w:bookmarkStart w:id="84" w:name="_Toc82"/>
      <w:r>
        <w:t>12.6. Сельское поселение Мулымья</w:t>
      </w:r>
      <w:bookmarkEnd w:id="84"/>
    </w:p>
    <w:p w:rsidR="00CF0324" w:rsidRDefault="00124A10">
      <w:pPr>
        <w:spacing w:line="276" w:lineRule="auto"/>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строительство тепличного комплекса в п. Мулымья (2030), Карта развития Югры; Программа 100-летия Конды;</w:t>
      </w:r>
    </w:p>
    <w:p w:rsidR="00CF0324" w:rsidRDefault="00124A10">
      <w:pPr>
        <w:spacing w:line="276" w:lineRule="auto"/>
        <w:ind w:firstLine="708"/>
        <w:jc w:val="both"/>
        <w:rPr>
          <w:rFonts w:eastAsia="TimesNewRomanPSMT"/>
        </w:rPr>
      </w:pPr>
      <w:r>
        <w:t>строительство (организация) пунктов по приему дикоросов, сельхозпродукции (2017-2030 г.);</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CF0324" w:rsidRDefault="00124A10">
      <w:pPr>
        <w:spacing w:line="276" w:lineRule="auto"/>
        <w:ind w:firstLine="708"/>
        <w:jc w:val="both"/>
      </w:pPr>
      <w:r>
        <w:t>развитие сети пунктов выдачи маркетплейсов;</w:t>
      </w:r>
    </w:p>
    <w:p w:rsidR="00CF0324" w:rsidRDefault="00124A10">
      <w:pPr>
        <w:spacing w:line="276" w:lineRule="auto"/>
        <w:ind w:firstLine="708"/>
        <w:jc w:val="both"/>
      </w:pPr>
      <w:r>
        <w:t>развитие инфраструктуры туризма (гостевых домов, производств сувенирной продукции, баз отдыха).</w:t>
      </w: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center"/>
      </w:pPr>
      <w:r>
        <w:t>строительство спортивного комплекса в п.Мулымья (сроки не определены в ПКР);</w:t>
      </w:r>
    </w:p>
    <w:p w:rsidR="00CF0324" w:rsidRDefault="00124A10">
      <w:pPr>
        <w:spacing w:line="276" w:lineRule="auto"/>
        <w:ind w:firstLine="708"/>
        <w:jc w:val="both"/>
      </w:pPr>
      <w:r>
        <w:t>строительство плоскостных спортивных сооружений в п.Мулымья (сроки не определены в ПКР), (обращение жителей в ходе опроса о реализации Стратегии - 2030);</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lastRenderedPageBreak/>
        <w:t>газификация п. Назарово, п. Чантырья (1 этап: 2024-2030 гг.), Карта развития Югры;</w:t>
      </w:r>
    </w:p>
    <w:p w:rsidR="00CF0324" w:rsidRDefault="00124A10">
      <w:pPr>
        <w:spacing w:line="276" w:lineRule="auto"/>
        <w:ind w:firstLine="708"/>
        <w:jc w:val="both"/>
      </w:pPr>
      <w:r>
        <w:t>благоустройство общественных мест, организация парковых зон с лавочками, парк Победы, зоны отдыха, пляжной территории (обращение жителей в ходе опроса о реализации Стратегии - 2030);</w:t>
      </w:r>
    </w:p>
    <w:p w:rsidR="00CF0324" w:rsidRDefault="00124A10">
      <w:pPr>
        <w:spacing w:line="276" w:lineRule="auto"/>
        <w:ind w:firstLine="708"/>
        <w:jc w:val="both"/>
      </w:pPr>
      <w:r>
        <w:t>снос брошенных домов (обращение жителей в ходе опроса о реализации Стратегии - 2030);</w:t>
      </w:r>
    </w:p>
    <w:p w:rsidR="00CF0324" w:rsidRDefault="00124A10">
      <w:pPr>
        <w:spacing w:line="276" w:lineRule="auto"/>
        <w:ind w:firstLine="708"/>
        <w:jc w:val="both"/>
      </w:pPr>
      <w:r>
        <w:t>организация водоснабжения (обращение жителей в ходе опроса о реализации Стратегии - 2030);</w:t>
      </w:r>
    </w:p>
    <w:p w:rsidR="00CF0324" w:rsidRDefault="00124A10">
      <w:pPr>
        <w:spacing w:line="276" w:lineRule="auto"/>
        <w:ind w:firstLine="708"/>
        <w:jc w:val="both"/>
      </w:pPr>
      <w:r>
        <w:t>строительство водоочистных сооружений мощностью 100 м3/сутки в п. Мулымья.</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pPr>
      <w:r>
        <w:t>устройство внутрипоселковых дорог в капитальном исполнении, строительство тротуаров (обращение жителей в ходе опроса о реализации Стратегии - 2030);</w:t>
      </w:r>
    </w:p>
    <w:p w:rsidR="00CF0324" w:rsidRDefault="00124A10">
      <w:pPr>
        <w:spacing w:line="276" w:lineRule="auto"/>
        <w:ind w:firstLine="708"/>
        <w:jc w:val="both"/>
      </w:pPr>
      <w:r>
        <w:t>строительство автомобильной дороги Ушья – Назарово – Чантырья – Шаим (2022-2024 гг.), Карта развития Югры.</w:t>
      </w:r>
    </w:p>
    <w:p w:rsidR="00CF0324" w:rsidRDefault="00124A10">
      <w:pPr>
        <w:spacing w:line="276" w:lineRule="auto"/>
        <w:jc w:val="both"/>
        <w:rPr>
          <w:b/>
        </w:rPr>
      </w:pPr>
      <w:r>
        <w:rPr>
          <w:b/>
        </w:rPr>
        <w:t>Реализация экологических мероприятий:</w:t>
      </w:r>
    </w:p>
    <w:p w:rsidR="00CF0324" w:rsidRDefault="00124A10">
      <w:pPr>
        <w:spacing w:line="276" w:lineRule="auto"/>
        <w:ind w:firstLine="708"/>
        <w:jc w:val="both"/>
      </w:pPr>
      <w:r>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CF0324" w:rsidRDefault="00124A10">
      <w:pPr>
        <w:spacing w:line="276" w:lineRule="auto"/>
        <w:ind w:firstLine="708"/>
        <w:jc w:val="both"/>
      </w:pPr>
      <w:r>
        <w:t>экологическое воспитание детей и подростков.</w:t>
      </w:r>
    </w:p>
    <w:p w:rsidR="00CF0324" w:rsidRDefault="00124A10">
      <w:pPr>
        <w:pStyle w:val="afff1"/>
      </w:pPr>
      <w:bookmarkStart w:id="85" w:name="_Toc83"/>
      <w:r>
        <w:t>12.7. Сельское поселение Леуши</w:t>
      </w:r>
      <w:bookmarkEnd w:id="85"/>
    </w:p>
    <w:p w:rsidR="00CF0324" w:rsidRDefault="00124A10">
      <w:pPr>
        <w:spacing w:line="276" w:lineRule="auto"/>
        <w:ind w:firstLine="708"/>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rPr>
          <w:bCs/>
        </w:rPr>
        <w:t xml:space="preserve">строительство </w:t>
      </w:r>
      <w:r>
        <w:t>второй очереди корпуса молочного животноводческого комплекса в п.Лиственничный (2025), Карта развития Югры, Программа 100-летия Конды;</w:t>
      </w:r>
    </w:p>
    <w:p w:rsidR="00CF0324" w:rsidRDefault="00124A10">
      <w:pPr>
        <w:spacing w:line="276" w:lineRule="auto"/>
        <w:ind w:firstLine="708"/>
        <w:jc w:val="both"/>
      </w:pPr>
      <w:r>
        <w:t>строительство цеха по производству сыров в п. Лиственичный (2025) Карта развития Югры, Программа 100-летия Конды;</w:t>
      </w:r>
    </w:p>
    <w:p w:rsidR="00CF0324" w:rsidRDefault="00124A10">
      <w:pPr>
        <w:spacing w:line="276" w:lineRule="auto"/>
        <w:ind w:firstLine="708"/>
        <w:jc w:val="both"/>
      </w:pPr>
      <w:r>
        <w:t>строительство птицефермы в п. Ягодный (2025) Карта развития Югры; (Программа 100-летия Конды)</w:t>
      </w:r>
      <w:r>
        <w:rPr>
          <w:lang w:eastAsia="en-US"/>
        </w:rPr>
        <w:t>;</w:t>
      </w:r>
    </w:p>
    <w:p w:rsidR="00CF0324" w:rsidRDefault="00124A10">
      <w:pPr>
        <w:spacing w:line="276" w:lineRule="auto"/>
        <w:ind w:firstLine="708"/>
        <w:jc w:val="both"/>
      </w:pPr>
      <w:r>
        <w:t>развитие семейной фермы КФХ Мухин И.А. (2023-2025);</w:t>
      </w:r>
    </w:p>
    <w:p w:rsidR="00CF0324" w:rsidRDefault="00124A10">
      <w:pPr>
        <w:spacing w:line="276" w:lineRule="auto"/>
        <w:ind w:firstLine="708"/>
        <w:jc w:val="both"/>
      </w:pPr>
      <w:r>
        <w:t>создание (сохранение) малых предприятий по заготовке и переработке древесины, инновационное создание ЛПК;</w:t>
      </w:r>
    </w:p>
    <w:p w:rsidR="00CF0324" w:rsidRDefault="00124A10">
      <w:pPr>
        <w:spacing w:line="276" w:lineRule="auto"/>
        <w:ind w:firstLine="708"/>
        <w:jc w:val="both"/>
      </w:pPr>
      <w:r>
        <w:t>реализация мероприятий по вовлечению в сельскохозяйственный оборот неиспользуемых сельскохозяйственных земель;</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придорожного сервиса, в том числе станций технического обслуживания, объектов транспортной инфраструктуры, (Программа 100-летия Конды);</w:t>
      </w:r>
    </w:p>
    <w:p w:rsidR="00CF0324" w:rsidRDefault="00124A10">
      <w:pPr>
        <w:spacing w:line="276" w:lineRule="auto"/>
        <w:ind w:firstLine="708"/>
        <w:jc w:val="both"/>
      </w:pPr>
      <w:r>
        <w:t>развитие сети пунктов выдачи маркетплейсов;</w:t>
      </w:r>
    </w:p>
    <w:p w:rsidR="00CF0324" w:rsidRDefault="00124A10">
      <w:pPr>
        <w:spacing w:line="276" w:lineRule="auto"/>
        <w:ind w:firstLine="708"/>
        <w:jc w:val="both"/>
        <w:rPr>
          <w:rFonts w:eastAsia="TimesNewRomanPSMT"/>
        </w:rPr>
      </w:pPr>
      <w:r>
        <w:t>развитие туристической инфраструктуры, общественного питания (обращение жителей в ходе опроса о реализации Стратегии - 2030)</w:t>
      </w:r>
      <w:r>
        <w:rPr>
          <w:rFonts w:eastAsia="TimesNewRomanPSMT"/>
        </w:rPr>
        <w:t>.</w:t>
      </w:r>
    </w:p>
    <w:p w:rsidR="00CF0324" w:rsidRDefault="00124A10">
      <w:pPr>
        <w:spacing w:line="276" w:lineRule="auto"/>
        <w:jc w:val="both"/>
        <w:rPr>
          <w:b/>
        </w:rPr>
      </w:pPr>
      <w:r>
        <w:rPr>
          <w:b/>
        </w:rPr>
        <w:t>Развитие социальной инфраструктуры:</w:t>
      </w:r>
    </w:p>
    <w:p w:rsidR="00CF0324" w:rsidRDefault="00124A10">
      <w:pPr>
        <w:spacing w:line="276" w:lineRule="auto"/>
        <w:ind w:firstLine="708"/>
        <w:jc w:val="both"/>
      </w:pPr>
      <w:r>
        <w:lastRenderedPageBreak/>
        <w:t xml:space="preserve">строительство домов культуры в с. Леуши, п. Лиственичный (2030), Карта развития Югры; </w:t>
      </w:r>
    </w:p>
    <w:p w:rsidR="00CF0324" w:rsidRDefault="00124A10">
      <w:pPr>
        <w:spacing w:line="276" w:lineRule="auto"/>
        <w:ind w:firstLine="708"/>
        <w:jc w:val="both"/>
      </w:pPr>
      <w:r>
        <w:t>строительство дома культуры п. Дальний;</w:t>
      </w:r>
    </w:p>
    <w:p w:rsidR="00CF0324" w:rsidRDefault="00124A10">
      <w:pPr>
        <w:spacing w:line="276" w:lineRule="auto"/>
        <w:ind w:firstLine="708"/>
        <w:jc w:val="both"/>
        <w:rPr>
          <w:rFonts w:eastAsia="TimesNewRomanPSMT"/>
        </w:rPr>
      </w:pPr>
      <w:r>
        <w:t>устройство лыжной трассы на лыжной базе в с. Леуши</w:t>
      </w:r>
      <w:r>
        <w:rPr>
          <w:rFonts w:eastAsia="TimesNewRomanPSMT"/>
        </w:rPr>
        <w:t xml:space="preserve"> </w:t>
      </w:r>
      <w:r>
        <w:t>(обращение жителей в ходе опроса о реализации Стратегии - 2030)</w:t>
      </w:r>
      <w:r>
        <w:rPr>
          <w:rFonts w:eastAsia="TimesNewRomanPSMT"/>
        </w:rPr>
        <w:t>;</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 Леуши, п. Лиственичный (1 этап: 2024-2030), Карта развития Югры;</w:t>
      </w:r>
    </w:p>
    <w:p w:rsidR="00CF0324" w:rsidRDefault="00124A10">
      <w:pPr>
        <w:spacing w:line="276" w:lineRule="auto"/>
        <w:ind w:firstLine="708"/>
        <w:jc w:val="both"/>
      </w:pPr>
      <w:r>
        <w:t>ликвидация свалок (2024), Карта развития Югры;</w:t>
      </w:r>
    </w:p>
    <w:p w:rsidR="00CF0324" w:rsidRDefault="00124A10">
      <w:pPr>
        <w:spacing w:line="276" w:lineRule="auto"/>
        <w:ind w:firstLine="708"/>
        <w:jc w:val="both"/>
        <w:rPr>
          <w:lang w:eastAsia="en-US"/>
        </w:rPr>
      </w:pPr>
      <w:r>
        <w:t>с</w:t>
      </w:r>
      <w:r>
        <w:rPr>
          <w:lang w:eastAsia="en-US"/>
        </w:rPr>
        <w:t>троительство водоочистных сооружений в п. Ягодный (2025-2026), Карта развития Югры;</w:t>
      </w:r>
    </w:p>
    <w:p w:rsidR="00CF0324" w:rsidRDefault="00124A10">
      <w:pPr>
        <w:spacing w:line="276" w:lineRule="auto"/>
        <w:ind w:firstLine="708"/>
        <w:jc w:val="both"/>
        <w:rPr>
          <w:lang w:eastAsia="en-US"/>
        </w:rPr>
      </w:pPr>
      <w:r>
        <w:t>установка</w:t>
      </w:r>
      <w:r>
        <w:rPr>
          <w:lang w:eastAsia="en-US"/>
        </w:rPr>
        <w:t xml:space="preserve"> водоочистных сооружений в п. Дальний (2024), </w:t>
      </w:r>
      <w:r>
        <w:t>Программа 100-летия Конды</w:t>
      </w:r>
      <w:r>
        <w:rPr>
          <w:lang w:eastAsia="en-US"/>
        </w:rPr>
        <w:t>;</w:t>
      </w:r>
    </w:p>
    <w:p w:rsidR="00CF0324" w:rsidRDefault="00124A10">
      <w:pPr>
        <w:spacing w:line="276" w:lineRule="auto"/>
        <w:ind w:firstLine="708"/>
        <w:jc w:val="both"/>
        <w:rPr>
          <w:rFonts w:eastAsia="TimesNewRomanPSMT"/>
        </w:rPr>
      </w:pPr>
      <w:r>
        <w:rPr>
          <w:rFonts w:eastAsia="TimesNewRomanPSMT"/>
        </w:rPr>
        <w:t xml:space="preserve">развитие сети водоснабжения, улучшение качества питьевой воды </w:t>
      </w:r>
      <w:r>
        <w:t>(обращение жителей в ходе опроса о реализации Стратегии - 2030)</w:t>
      </w:r>
      <w:r>
        <w:rPr>
          <w:rFonts w:eastAsia="TimesNewRomanPSMT"/>
        </w:rPr>
        <w:t>;</w:t>
      </w:r>
    </w:p>
    <w:p w:rsidR="00CF0324" w:rsidRDefault="00124A10">
      <w:pPr>
        <w:spacing w:line="276" w:lineRule="auto"/>
        <w:ind w:firstLine="708"/>
        <w:jc w:val="both"/>
        <w:rPr>
          <w:rFonts w:eastAsia="TimesNewRomanPSMT"/>
        </w:rPr>
      </w:pPr>
      <w:r>
        <w:rPr>
          <w:rFonts w:eastAsia="TimesNewRomanPSMT"/>
        </w:rPr>
        <w:t xml:space="preserve">благоустройство общественных пространств </w:t>
      </w:r>
      <w:r>
        <w:t>(обращение жителей в ходе опроса о реализации Стратегии - 2030)</w:t>
      </w:r>
      <w:r>
        <w:rPr>
          <w:rFonts w:eastAsia="TimesNewRomanPSMT"/>
        </w:rPr>
        <w:t>;</w:t>
      </w:r>
    </w:p>
    <w:p w:rsidR="00CF0324" w:rsidRDefault="00124A10">
      <w:pPr>
        <w:spacing w:line="276" w:lineRule="auto"/>
        <w:ind w:firstLine="708"/>
        <w:jc w:val="both"/>
      </w:pPr>
      <w:r>
        <w:rPr>
          <w:rFonts w:eastAsia="TimesNewRomanPSMT"/>
        </w:rPr>
        <w:t>строительство очистных сооружение в с. Леуши, п. Лиственичный;</w:t>
      </w:r>
    </w:p>
    <w:p w:rsidR="00CF0324" w:rsidRDefault="00124A10">
      <w:pPr>
        <w:spacing w:line="276" w:lineRule="auto"/>
        <w:jc w:val="both"/>
        <w:rPr>
          <w:b/>
        </w:rPr>
      </w:pPr>
      <w:r>
        <w:rPr>
          <w:b/>
        </w:rPr>
        <w:t>Развитие транспортной инфраструктуры:</w:t>
      </w:r>
    </w:p>
    <w:p w:rsidR="00CF0324" w:rsidRDefault="00124A10">
      <w:pPr>
        <w:spacing w:line="276" w:lineRule="auto"/>
        <w:ind w:firstLine="708"/>
        <w:jc w:val="both"/>
      </w:pPr>
      <w:r>
        <w:rPr>
          <w:rFonts w:eastAsia="TimesNewRomanPSMT"/>
        </w:rPr>
        <w:t>строительство внутрипоселковых дорог, тротуаров (в период реализации Стратегии-2036)</w:t>
      </w:r>
      <w:r>
        <w:t xml:space="preserve"> (обращение жителей в ходе опроса о реализации Стратегии - 2030);</w:t>
      </w:r>
    </w:p>
    <w:p w:rsidR="00CF0324" w:rsidRDefault="00124A10">
      <w:pPr>
        <w:spacing w:line="276" w:lineRule="auto"/>
        <w:ind w:firstLine="708"/>
        <w:jc w:val="both"/>
        <w:rPr>
          <w:rFonts w:eastAsia="TimesNewRomanPSMT"/>
        </w:rPr>
      </w:pPr>
      <w:r>
        <w:rPr>
          <w:rFonts w:eastAsia="TimesNewRomanPSMT"/>
        </w:rPr>
        <w:t>капитальный ремонт автомобильной дороги ул. Космонавтов п. Лиственичный «Фермерский проезд к молокозаводу» 1,8 километров.</w:t>
      </w:r>
    </w:p>
    <w:p w:rsidR="00CF0324" w:rsidRDefault="00124A10">
      <w:pPr>
        <w:spacing w:line="276" w:lineRule="auto"/>
        <w:ind w:firstLine="708"/>
        <w:jc w:val="both"/>
        <w:rPr>
          <w:b/>
        </w:rPr>
      </w:pPr>
      <w:r>
        <w:rPr>
          <w:b/>
        </w:rPr>
        <w:t>Реализация экологических мероприятий:</w:t>
      </w:r>
    </w:p>
    <w:p w:rsidR="00CF0324" w:rsidRDefault="00124A10">
      <w:pPr>
        <w:spacing w:line="276" w:lineRule="auto"/>
        <w:ind w:firstLine="708"/>
        <w:jc w:val="both"/>
      </w:pPr>
      <w:r>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CF0324" w:rsidRDefault="00124A10">
      <w:pPr>
        <w:spacing w:line="276" w:lineRule="auto"/>
        <w:ind w:firstLine="708"/>
        <w:jc w:val="both"/>
      </w:pPr>
      <w:r>
        <w:t>экологическое воспитание детей и подростков.</w:t>
      </w:r>
    </w:p>
    <w:p w:rsidR="00CF0324" w:rsidRDefault="00124A10">
      <w:pPr>
        <w:pStyle w:val="afff1"/>
      </w:pPr>
      <w:bookmarkStart w:id="86" w:name="_Toc84"/>
      <w:r>
        <w:t>12.8. Сельское поселение Болчары</w:t>
      </w:r>
      <w:bookmarkEnd w:id="86"/>
    </w:p>
    <w:p w:rsidR="00CF0324" w:rsidRDefault="00124A10">
      <w:pPr>
        <w:spacing w:line="276" w:lineRule="auto"/>
        <w:ind w:firstLine="708"/>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rPr>
          <w:rFonts w:eastAsia="TimesNewRomanPSMT"/>
        </w:rPr>
        <w:t xml:space="preserve">строительство (организация) приемных пунктов водных биологических ресурсов в с. Болчары, с. Алтай, д. Кама </w:t>
      </w:r>
      <w:r>
        <w:t>(до 2030 г.), Карта развития Югры;</w:t>
      </w:r>
    </w:p>
    <w:p w:rsidR="00CF0324" w:rsidRDefault="00124A10">
      <w:pPr>
        <w:spacing w:line="276" w:lineRule="auto"/>
        <w:ind w:firstLine="708"/>
        <w:jc w:val="both"/>
      </w:pPr>
      <w:r>
        <w:t>организация производства высококонцентрированных сококонцентратов (красителей) и пищевых продуктов с добавленной пользой на территории сп. Болчары, Программа 100-летия Конды;</w:t>
      </w:r>
    </w:p>
    <w:p w:rsidR="00CF0324" w:rsidRDefault="00124A10">
      <w:pPr>
        <w:spacing w:line="276" w:lineRule="auto"/>
        <w:ind w:firstLine="708"/>
        <w:jc w:val="both"/>
        <w:rPr>
          <w:rFonts w:eastAsia="TimesNewRomanPSMT"/>
        </w:rPr>
      </w:pPr>
      <w:r>
        <w:rPr>
          <w:rFonts w:eastAsia="TimesNewRomanPSMT"/>
        </w:rPr>
        <w:t>создание (сохранение) малых предприятий по заготовке и переработке древесины;</w:t>
      </w:r>
    </w:p>
    <w:p w:rsidR="00CF0324" w:rsidRDefault="00124A10">
      <w:pPr>
        <w:spacing w:line="276" w:lineRule="auto"/>
        <w:ind w:firstLine="708"/>
        <w:jc w:val="both"/>
        <w:rPr>
          <w:rFonts w:eastAsia="TimesNewRomanPSMT"/>
        </w:rPr>
      </w:pPr>
      <w:r>
        <w:t>развитие крестьянско-фермерских хозяйств.</w:t>
      </w:r>
    </w:p>
    <w:p w:rsidR="00CF0324" w:rsidRDefault="00124A10">
      <w:pPr>
        <w:spacing w:line="276" w:lineRule="auto"/>
        <w:ind w:firstLine="708"/>
        <w:jc w:val="both"/>
      </w:pPr>
      <w:r>
        <w:t>развитие инфраструктуры туризма (гостевых домов, производств сувенирной продукции, баз отдыха);</w:t>
      </w:r>
    </w:p>
    <w:p w:rsidR="00CF0324" w:rsidRDefault="00124A10">
      <w:pPr>
        <w:spacing w:line="276" w:lineRule="auto"/>
        <w:ind w:firstLine="708"/>
        <w:jc w:val="both"/>
      </w:pPr>
      <w:r>
        <w:lastRenderedPageBreak/>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jc w:val="both"/>
        <w:rPr>
          <w:rFonts w:eastAsia="TimesNewRomanPSMT"/>
          <w:b/>
        </w:rPr>
      </w:pPr>
      <w:r>
        <w:rPr>
          <w:rFonts w:eastAsia="TimesNewRomanPSMT"/>
          <w:b/>
        </w:rPr>
        <w:t>Развитие социальной инфраструктуры:</w:t>
      </w:r>
    </w:p>
    <w:p w:rsidR="00CF0324" w:rsidRDefault="00124A10">
      <w:pPr>
        <w:spacing w:line="276" w:lineRule="auto"/>
        <w:ind w:firstLine="708"/>
        <w:jc w:val="both"/>
        <w:rPr>
          <w:rFonts w:eastAsia="TimesNewRomanPSMT"/>
        </w:rPr>
      </w:pPr>
      <w:r>
        <w:rPr>
          <w:rFonts w:eastAsia="TimesNewRomanPSMT"/>
        </w:rPr>
        <w:t>строительство врачебной амбулатории в с. Болчары на 26 посещений в смену (2022-2023 гг.), Карта развития Югры;</w:t>
      </w:r>
    </w:p>
    <w:p w:rsidR="00CF0324" w:rsidRDefault="00124A10">
      <w:pPr>
        <w:spacing w:line="276" w:lineRule="auto"/>
        <w:ind w:firstLine="708"/>
        <w:jc w:val="both"/>
        <w:rPr>
          <w:lang w:eastAsia="en-US"/>
        </w:rPr>
      </w:pPr>
      <w:r>
        <w:rPr>
          <w:lang w:eastAsia="en-US"/>
        </w:rPr>
        <w:t>строительство плоскостных спортивных сооружений (сроки не определены в ПКР);</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rPr>
          <w:rFonts w:eastAsia="TimesNewRomanPSMT"/>
        </w:rPr>
      </w:pPr>
      <w:r>
        <w:rPr>
          <w:rFonts w:eastAsia="TimesNewRomanPSMT"/>
        </w:rPr>
        <w:t>газификация с. Болчары (1 этап: 2024-2030) Карта развития Югры;</w:t>
      </w:r>
    </w:p>
    <w:p w:rsidR="00CF0324" w:rsidRDefault="00124A10">
      <w:pPr>
        <w:spacing w:line="276" w:lineRule="auto"/>
        <w:ind w:firstLine="708"/>
        <w:jc w:val="both"/>
        <w:rPr>
          <w:rFonts w:eastAsia="TimesNewRomanPSMT"/>
        </w:rPr>
      </w:pPr>
      <w:r>
        <w:rPr>
          <w:rFonts w:eastAsia="TimesNewRomanPSMT"/>
        </w:rPr>
        <w:t>строительство локальных очистных сооружений с. Болчары (2030) Карта развития Югры;</w:t>
      </w:r>
    </w:p>
    <w:p w:rsidR="00CF0324" w:rsidRDefault="00124A10">
      <w:pPr>
        <w:spacing w:line="276" w:lineRule="auto"/>
        <w:ind w:firstLine="708"/>
        <w:jc w:val="both"/>
        <w:rPr>
          <w:rFonts w:eastAsia="TimesNewRomanPSMT"/>
        </w:rPr>
      </w:pPr>
      <w:r>
        <w:rPr>
          <w:rFonts w:eastAsia="TimesNewRomanPSMT"/>
        </w:rPr>
        <w:t>строительство локальных очистных сооружений с. Алтай (2023-2024) Карта развития Югры;</w:t>
      </w:r>
    </w:p>
    <w:p w:rsidR="00CF0324" w:rsidRDefault="00124A10">
      <w:pPr>
        <w:spacing w:line="276" w:lineRule="auto"/>
        <w:ind w:firstLine="708"/>
        <w:jc w:val="both"/>
        <w:rPr>
          <w:rFonts w:eastAsia="TimesNewRomanPSMT"/>
        </w:rPr>
      </w:pPr>
      <w:r>
        <w:rPr>
          <w:rFonts w:eastAsia="TimesNewRomanPSMT"/>
        </w:rPr>
        <w:t>развитие системы водоснабжения в с. Болчары.</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rPr>
          <w:rFonts w:eastAsia="TimesNewRomanPSMT"/>
        </w:rPr>
      </w:pPr>
      <w:r>
        <w:rPr>
          <w:rFonts w:eastAsia="TimesNewRomanPSMT"/>
        </w:rPr>
        <w:t>строительство автомобильной дороги круглогодичного действия с. Болчары – Демьянское, 50 км (2025-2030 г.), Карта развития Югры;</w:t>
      </w:r>
    </w:p>
    <w:p w:rsidR="00CF0324" w:rsidRDefault="00124A10">
      <w:pPr>
        <w:spacing w:line="276" w:lineRule="auto"/>
        <w:ind w:firstLine="708"/>
        <w:jc w:val="both"/>
      </w:pPr>
      <w:r>
        <w:rPr>
          <w:rFonts w:eastAsia="TimesNewRomanPSMT"/>
        </w:rPr>
        <w:t>строительство внутрипоселковых дорог, строительство тротуаров (в период реализации Стратегии-2036),</w:t>
      </w:r>
      <w:r>
        <w:t xml:space="preserve"> (обращение жителей в ходе опроса о реализации Стратегии - 2030).</w:t>
      </w:r>
    </w:p>
    <w:p w:rsidR="00CF0324" w:rsidRDefault="00124A10">
      <w:pPr>
        <w:spacing w:line="276" w:lineRule="auto"/>
        <w:ind w:firstLine="708"/>
        <w:jc w:val="both"/>
        <w:rPr>
          <w:rFonts w:eastAsia="TimesNewRomanPSMT"/>
          <w:b/>
        </w:rPr>
      </w:pPr>
      <w:r>
        <w:rPr>
          <w:rFonts w:eastAsia="TimesNewRomanPSMT"/>
          <w:b/>
        </w:rPr>
        <w:t>Реализация экологических мероприятий:</w:t>
      </w:r>
    </w:p>
    <w:p w:rsidR="00CF0324" w:rsidRDefault="00124A10">
      <w:pPr>
        <w:spacing w:line="276" w:lineRule="auto"/>
        <w:ind w:firstLine="708"/>
        <w:jc w:val="both"/>
        <w:rPr>
          <w:rFonts w:eastAsia="TimesNewRomanPSMT"/>
        </w:rPr>
      </w:pPr>
      <w:r>
        <w:rPr>
          <w:rFonts w:eastAsia="TimesNewRomanPSMT"/>
        </w:rPr>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CF0324" w:rsidRDefault="00124A10">
      <w:pPr>
        <w:spacing w:line="276" w:lineRule="auto"/>
        <w:ind w:firstLine="708"/>
        <w:jc w:val="both"/>
        <w:rPr>
          <w:rFonts w:eastAsia="TimesNewRomanPSMT"/>
        </w:rPr>
      </w:pPr>
      <w:r>
        <w:rPr>
          <w:rFonts w:eastAsia="TimesNewRomanPSMT"/>
        </w:rPr>
        <w:t>экологическое воспитание детей и подростков.</w:t>
      </w:r>
    </w:p>
    <w:p w:rsidR="00CF0324" w:rsidRDefault="00124A10">
      <w:pPr>
        <w:pStyle w:val="afff1"/>
      </w:pPr>
      <w:bookmarkStart w:id="87" w:name="_Toc85"/>
      <w:r>
        <w:t>12.9. Сельское поселение Половинка</w:t>
      </w:r>
      <w:bookmarkEnd w:id="87"/>
    </w:p>
    <w:p w:rsidR="00CF0324" w:rsidRDefault="00124A10">
      <w:pPr>
        <w:spacing w:line="276" w:lineRule="auto"/>
        <w:ind w:firstLine="708"/>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rPr>
          <w:rFonts w:eastAsia="TimesNewRomanPSMT"/>
        </w:rPr>
      </w:pPr>
      <w:r>
        <w:rPr>
          <w:rFonts w:eastAsia="TimesNewRomanPSMT"/>
        </w:rPr>
        <w:t>создание (сохранение) малых предприятий по заготовке и переработке древесины;</w:t>
      </w:r>
    </w:p>
    <w:p w:rsidR="00CF0324" w:rsidRDefault="00124A10">
      <w:pPr>
        <w:spacing w:line="276" w:lineRule="auto"/>
        <w:ind w:firstLine="708"/>
        <w:jc w:val="both"/>
      </w:pPr>
      <w:r>
        <w:t>развитие крестьянско-фермерских хозяйств;</w:t>
      </w:r>
    </w:p>
    <w:p w:rsidR="00CF0324" w:rsidRDefault="00124A10">
      <w:pPr>
        <w:spacing w:line="276" w:lineRule="auto"/>
        <w:ind w:firstLine="708"/>
        <w:jc w:val="both"/>
      </w:pPr>
      <w:r>
        <w:t>развитие тепличного бизнеса; питомников (предложение жителей в ходе опроса о реализации Стратегии - 2030);</w:t>
      </w:r>
    </w:p>
    <w:p w:rsidR="00CF0324" w:rsidRDefault="00124A10">
      <w:pPr>
        <w:spacing w:line="276" w:lineRule="auto"/>
        <w:ind w:firstLine="708"/>
        <w:jc w:val="both"/>
      </w:pPr>
      <w:r>
        <w:t>развитие социального предпринимательства, в том числе в сферах культуры, физической культуры и спорта, дополнительного образования детей (рейтинг НКО);</w:t>
      </w:r>
    </w:p>
    <w:p w:rsidR="00CF0324" w:rsidRDefault="00124A10">
      <w:pPr>
        <w:spacing w:line="276" w:lineRule="auto"/>
        <w:ind w:firstLine="708"/>
        <w:jc w:val="both"/>
      </w:pPr>
      <w:r>
        <w:t>развитие сети пунктов выдачи маркетплейсов;</w:t>
      </w:r>
    </w:p>
    <w:p w:rsidR="00CF0324" w:rsidRDefault="00124A10">
      <w:pPr>
        <w:spacing w:line="276" w:lineRule="auto"/>
        <w:ind w:firstLine="708"/>
        <w:jc w:val="both"/>
      </w:pPr>
      <w:r>
        <w:t>развитие инфраструктуры этнотуризма (гостевых домов, производств сувенирной продукции, баз отдыха) (не реализованное мероприятие из Стратегии-2030);</w:t>
      </w:r>
    </w:p>
    <w:p w:rsidR="00CF0324" w:rsidRDefault="00124A10">
      <w:pPr>
        <w:spacing w:line="276" w:lineRule="auto"/>
        <w:ind w:firstLine="708"/>
        <w:jc w:val="both"/>
      </w:pPr>
      <w:r>
        <w:t>создание туристско-этнографического комплекса на базе муниципального учреждения культуры «Районный Учинский историко-этнографический музей имени Анатолия Николаевича Хомякова».</w:t>
      </w:r>
    </w:p>
    <w:p w:rsidR="00CF0324" w:rsidRDefault="00124A10">
      <w:pPr>
        <w:spacing w:line="276" w:lineRule="auto"/>
        <w:jc w:val="both"/>
        <w:rPr>
          <w:rFonts w:eastAsia="TimesNewRomanPSMT"/>
          <w:b/>
        </w:rPr>
      </w:pPr>
      <w:r>
        <w:rPr>
          <w:rFonts w:eastAsia="TimesNewRomanPSMT"/>
          <w:b/>
        </w:rPr>
        <w:t>Развитие социальной инфраструктуры:</w:t>
      </w:r>
    </w:p>
    <w:p w:rsidR="00CF0324" w:rsidRDefault="00124A10">
      <w:pPr>
        <w:spacing w:line="276" w:lineRule="auto"/>
        <w:ind w:firstLine="708"/>
      </w:pPr>
      <w:r>
        <w:lastRenderedPageBreak/>
        <w:t>строительство центра культурного развития на 200 мест/15,0 тыс. экз./ 1822 кв. м (2022-2023 ПИР, до 2030 г.), Карта развития Югры;</w:t>
      </w:r>
    </w:p>
    <w:p w:rsidR="00CF0324" w:rsidRDefault="00124A10">
      <w:pPr>
        <w:spacing w:line="276" w:lineRule="auto"/>
        <w:ind w:firstLine="708"/>
        <w:rPr>
          <w:lang w:eastAsia="en-US"/>
        </w:rPr>
      </w:pPr>
      <w:r>
        <w:rPr>
          <w:lang w:eastAsia="en-US"/>
        </w:rPr>
        <w:t>реконструкция муниципального учреждения культуры «Районный Учинский историко – этнографический музей имени Анатолия Николаевича Хомякова» (сроки в ПКР не определены).</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t>газификация п. Половинка (2 этап: 2030 г.), Карта развития Югры;</w:t>
      </w:r>
    </w:p>
    <w:p w:rsidR="00CF0324" w:rsidRDefault="00124A10">
      <w:pPr>
        <w:spacing w:line="276" w:lineRule="auto"/>
        <w:ind w:firstLine="708"/>
        <w:jc w:val="both"/>
      </w:pPr>
      <w:r>
        <w:t>ликвидация свалок (2024), Карта развития Югры.</w:t>
      </w:r>
    </w:p>
    <w:p w:rsidR="00CF0324" w:rsidRDefault="00124A10">
      <w:pPr>
        <w:spacing w:line="276" w:lineRule="auto"/>
        <w:jc w:val="both"/>
        <w:rPr>
          <w:b/>
        </w:rPr>
      </w:pPr>
      <w:r>
        <w:rPr>
          <w:b/>
        </w:rPr>
        <w:t>Развитие транспортно-коммуникационной инфраструктуры:</w:t>
      </w:r>
    </w:p>
    <w:p w:rsidR="00CF0324" w:rsidRDefault="00124A10">
      <w:pPr>
        <w:spacing w:line="276" w:lineRule="auto"/>
        <w:ind w:firstLine="708"/>
        <w:jc w:val="both"/>
      </w:pPr>
      <w:r>
        <w:t>устройство внутрипоселковых дорог, строительство тротуаров (в период реализации Стратегии-2036.) (предложение жителей в ходе опроса о реализации Стратегии - 2030).</w:t>
      </w:r>
    </w:p>
    <w:p w:rsidR="00CF0324" w:rsidRDefault="00124A10">
      <w:pPr>
        <w:spacing w:line="276" w:lineRule="auto"/>
        <w:ind w:firstLine="708"/>
        <w:jc w:val="both"/>
        <w:rPr>
          <w:b/>
        </w:rPr>
      </w:pPr>
      <w:r>
        <w:rPr>
          <w:b/>
        </w:rPr>
        <w:t>Реализация экологических мероприятий:</w:t>
      </w:r>
    </w:p>
    <w:p w:rsidR="00CF0324" w:rsidRDefault="00124A10">
      <w:pPr>
        <w:spacing w:line="276" w:lineRule="auto"/>
        <w:ind w:firstLine="708"/>
        <w:jc w:val="both"/>
      </w:pPr>
      <w:r>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CF0324" w:rsidRDefault="00124A10">
      <w:pPr>
        <w:spacing w:line="276" w:lineRule="auto"/>
        <w:ind w:firstLine="708"/>
        <w:jc w:val="both"/>
      </w:pPr>
      <w:r>
        <w:t>экологическое воспитание детей.</w:t>
      </w:r>
    </w:p>
    <w:p w:rsidR="00CF0324" w:rsidRDefault="00124A10">
      <w:pPr>
        <w:pStyle w:val="afff1"/>
      </w:pPr>
      <w:bookmarkStart w:id="88" w:name="_Toc86"/>
      <w:r>
        <w:t>12.10. Сельское поселение Шугур</w:t>
      </w:r>
      <w:bookmarkEnd w:id="88"/>
    </w:p>
    <w:p w:rsidR="00CF0324" w:rsidRDefault="00124A10">
      <w:pPr>
        <w:spacing w:line="276" w:lineRule="auto"/>
        <w:ind w:firstLine="708"/>
        <w:jc w:val="both"/>
        <w:rPr>
          <w:b/>
          <w:bCs/>
        </w:rPr>
      </w:pPr>
      <w:r>
        <w:rPr>
          <w:b/>
          <w:bCs/>
        </w:rPr>
        <w:t>Развитие малого и среднего предпринимательства, промышленности, сельского хозяйства, туризма:</w:t>
      </w:r>
    </w:p>
    <w:p w:rsidR="00CF0324" w:rsidRDefault="00124A10">
      <w:pPr>
        <w:spacing w:line="276" w:lineRule="auto"/>
        <w:ind w:firstLine="708"/>
        <w:jc w:val="both"/>
      </w:pPr>
      <w:r>
        <w:t>Создание приемного пункта водных биологических ресурсов в п. Шугур (2030) Карта развития Югры;</w:t>
      </w:r>
    </w:p>
    <w:p w:rsidR="00CF0324" w:rsidRDefault="00124A10">
      <w:pPr>
        <w:spacing w:line="276" w:lineRule="auto"/>
        <w:ind w:firstLine="708"/>
        <w:jc w:val="both"/>
      </w:pPr>
      <w:r>
        <w:t>организация рыболовного, охотничьего, собирательного (сбор дикоросов), этнографического туризма, Программа 100-летия Конды.</w:t>
      </w:r>
    </w:p>
    <w:p w:rsidR="00CF0324" w:rsidRDefault="00124A10">
      <w:pPr>
        <w:spacing w:line="276" w:lineRule="auto"/>
        <w:jc w:val="both"/>
        <w:rPr>
          <w:rFonts w:eastAsia="TimesNewRomanPSMT"/>
          <w:b/>
        </w:rPr>
      </w:pPr>
      <w:r>
        <w:rPr>
          <w:rFonts w:eastAsia="TimesNewRomanPSMT"/>
          <w:b/>
        </w:rPr>
        <w:t>Развитие социальной инфраструктуры:</w:t>
      </w:r>
    </w:p>
    <w:p w:rsidR="00CF0324" w:rsidRDefault="00124A10">
      <w:pPr>
        <w:spacing w:line="276" w:lineRule="auto"/>
        <w:ind w:firstLine="708"/>
        <w:jc w:val="both"/>
      </w:pPr>
      <w:r>
        <w:t>строительство сельского дома культуры в д. Шугур на 100 мест (2030), Карта развития Югры; (до 2029 года в ПКР) (обращение жителей в ходе опроса о реализации Стратегии-2030);</w:t>
      </w:r>
    </w:p>
    <w:p w:rsidR="00CF0324" w:rsidRDefault="00124A10">
      <w:pPr>
        <w:spacing w:line="276" w:lineRule="auto"/>
        <w:ind w:firstLine="708"/>
        <w:jc w:val="both"/>
        <w:rPr>
          <w:lang w:eastAsia="en-US"/>
        </w:rPr>
      </w:pPr>
      <w:r>
        <w:rPr>
          <w:lang w:eastAsia="en-US"/>
        </w:rPr>
        <w:t>строительство плоскостных сооружений (сроки в ПКР не определены);</w:t>
      </w:r>
    </w:p>
    <w:p w:rsidR="00CF0324" w:rsidRDefault="00124A10">
      <w:pPr>
        <w:spacing w:line="276" w:lineRule="auto"/>
        <w:ind w:firstLine="708"/>
        <w:jc w:val="both"/>
      </w:pPr>
      <w:r>
        <w:t>повышение качества медицинских услуг (обращение жителей в ходе опроса о реализации Стратегии - 2030);</w:t>
      </w:r>
    </w:p>
    <w:p w:rsidR="00CF0324" w:rsidRDefault="00124A10">
      <w:pPr>
        <w:spacing w:line="276" w:lineRule="auto"/>
        <w:ind w:firstLine="708"/>
        <w:jc w:val="both"/>
      </w:pPr>
      <w:r>
        <w:t>своевременный капитальный ремонт объектов социальной инфраструктуры.</w:t>
      </w:r>
    </w:p>
    <w:p w:rsidR="00CF0324" w:rsidRDefault="00124A10">
      <w:pPr>
        <w:spacing w:line="276" w:lineRule="auto"/>
        <w:jc w:val="both"/>
        <w:rPr>
          <w:b/>
          <w:bCs/>
        </w:rPr>
      </w:pPr>
      <w:r>
        <w:rPr>
          <w:b/>
          <w:bCs/>
        </w:rPr>
        <w:t>Развитие объектов жилищно-коммунального хозяйства:</w:t>
      </w:r>
    </w:p>
    <w:p w:rsidR="00CF0324" w:rsidRDefault="00124A10">
      <w:pPr>
        <w:spacing w:line="276" w:lineRule="auto"/>
        <w:ind w:firstLine="708"/>
        <w:jc w:val="both"/>
      </w:pPr>
      <w:r>
        <w:rPr>
          <w:rFonts w:eastAsia="TimesNewRomanPSMT"/>
        </w:rPr>
        <w:t xml:space="preserve">ликвидация свалки (2024), Карта развития Югры; </w:t>
      </w:r>
      <w:r>
        <w:t>(обращение жителей в ходе опроса о реализации Стратегии-2030);</w:t>
      </w:r>
    </w:p>
    <w:p w:rsidR="00CF0324" w:rsidRDefault="00124A10">
      <w:pPr>
        <w:spacing w:line="276" w:lineRule="auto"/>
        <w:ind w:firstLine="708"/>
        <w:jc w:val="both"/>
      </w:pPr>
      <w:r>
        <w:t>газификация п. Шугур (2 этап: 2030), Карта развития Югры;</w:t>
      </w:r>
    </w:p>
    <w:p w:rsidR="00CF0324" w:rsidRDefault="00124A10">
      <w:pPr>
        <w:spacing w:line="276" w:lineRule="auto"/>
        <w:ind w:firstLine="708"/>
        <w:jc w:val="both"/>
        <w:rPr>
          <w:rFonts w:eastAsia="TimesNewRomanPSMT"/>
        </w:rPr>
      </w:pPr>
      <w:r>
        <w:t>строительство локальных канализационных очистных сооружений в п. Шугур (2030), Карта развития Югры;</w:t>
      </w:r>
    </w:p>
    <w:p w:rsidR="00CF0324" w:rsidRDefault="00124A10">
      <w:pPr>
        <w:spacing w:line="276" w:lineRule="auto"/>
        <w:ind w:firstLine="708"/>
        <w:jc w:val="both"/>
        <w:rPr>
          <w:rFonts w:eastAsia="TimesNewRomanPSMT"/>
        </w:rPr>
      </w:pPr>
      <w:r>
        <w:rPr>
          <w:rFonts w:eastAsia="TimesNewRomanPSMT"/>
        </w:rPr>
        <w:t>развитие сетей водоснабжения в п. Шугур;</w:t>
      </w:r>
    </w:p>
    <w:p w:rsidR="00CF0324" w:rsidRDefault="00124A10">
      <w:pPr>
        <w:spacing w:line="276" w:lineRule="auto"/>
        <w:ind w:firstLine="708"/>
        <w:jc w:val="both"/>
        <w:rPr>
          <w:rFonts w:eastAsia="TimesNewRomanPSMT"/>
        </w:rPr>
      </w:pPr>
      <w:r>
        <w:rPr>
          <w:rFonts w:eastAsia="TimesNewRomanPSMT"/>
        </w:rPr>
        <w:t>благоустройство общественных пространств.</w:t>
      </w:r>
    </w:p>
    <w:p w:rsidR="00CF0324" w:rsidRDefault="00124A10">
      <w:pPr>
        <w:spacing w:line="276" w:lineRule="auto"/>
        <w:ind w:firstLine="708"/>
        <w:jc w:val="both"/>
        <w:rPr>
          <w:b/>
          <w:bCs/>
        </w:rPr>
      </w:pPr>
      <w:r>
        <w:rPr>
          <w:b/>
          <w:bCs/>
        </w:rPr>
        <w:lastRenderedPageBreak/>
        <w:t>Реализация экологических мероприятий:</w:t>
      </w:r>
    </w:p>
    <w:p w:rsidR="00CF0324" w:rsidRDefault="00124A10">
      <w:pPr>
        <w:spacing w:line="276" w:lineRule="auto"/>
        <w:ind w:firstLine="708"/>
        <w:jc w:val="both"/>
        <w:rPr>
          <w:bCs/>
        </w:rPr>
      </w:pPr>
      <w:r>
        <w:rPr>
          <w:bCs/>
        </w:rPr>
        <w:t>реализация проекта «экологический район»: лесопосадки, очищение береговой зоны и русла рек и озер, выбор наиболее экологически безопасного топлива, утилизация твердых бытовых отходов (разделение на бумагу, стекло, пластик, лампы, батарейки и т.д.) (предложение жителя в ходе опроса о реализации Стратегии - 2030);</w:t>
      </w:r>
    </w:p>
    <w:p w:rsidR="00CF0324" w:rsidRDefault="00124A10">
      <w:pPr>
        <w:spacing w:line="276" w:lineRule="auto"/>
        <w:ind w:firstLine="708"/>
        <w:jc w:val="both"/>
        <w:rPr>
          <w:bCs/>
        </w:rPr>
      </w:pPr>
      <w:r>
        <w:rPr>
          <w:bCs/>
        </w:rPr>
        <w:t>экологическое воспитание детей и подростков.</w:t>
      </w:r>
    </w:p>
    <w:p w:rsidR="00CF0324" w:rsidRPr="00124A10" w:rsidRDefault="00124A10">
      <w:pPr>
        <w:pStyle w:val="1"/>
        <w:spacing w:after="240"/>
        <w:rPr>
          <w:lang w:val="ru-RU"/>
        </w:rPr>
      </w:pPr>
      <w:bookmarkStart w:id="89" w:name="_Toc87"/>
      <w:r w:rsidRPr="00124A10">
        <w:rPr>
          <w:lang w:val="ru-RU"/>
        </w:rPr>
        <w:br w:type="page" w:clear="all"/>
      </w:r>
      <w:r w:rsidRPr="00124A10">
        <w:rPr>
          <w:lang w:val="ru-RU"/>
        </w:rPr>
        <w:lastRenderedPageBreak/>
        <w:t>РАЗДЕЛ 13. РЕСУРСНОЕ ОБЕСПЕЧЕНИЕ РЕАЛИЗАЦИИ СТРАТЕГИИ</w:t>
      </w:r>
      <w:bookmarkEnd w:id="89"/>
    </w:p>
    <w:p w:rsidR="00CF0324" w:rsidRDefault="00124A10">
      <w:pPr>
        <w:spacing w:line="276" w:lineRule="auto"/>
        <w:ind w:firstLine="540"/>
        <w:jc w:val="both"/>
      </w:pPr>
      <w:r>
        <w:t xml:space="preserve">Финансирование реализации Стратегии - 2036 будет осуществляться за счет средств федерального, регионального и местных бюджетов, а также внебюджетных источников, включая средства институтов развития, коммерческих компаний и компаний с государственным участием. </w:t>
      </w:r>
    </w:p>
    <w:p w:rsidR="00CF0324" w:rsidRDefault="00124A10">
      <w:pPr>
        <w:spacing w:line="276" w:lineRule="auto"/>
        <w:ind w:firstLine="540"/>
        <w:jc w:val="both"/>
      </w:pPr>
      <w:r>
        <w:t>В Кондинском районе предусмотрена реализация двадцати четырех муниципальных программ, охватывающих все основные сферы жизнедеятельности района и включающие мероприятия, направленные на социально-экономическое развитие района и улучшение жизни граждан.</w:t>
      </w:r>
    </w:p>
    <w:p w:rsidR="00CF0324" w:rsidRDefault="00124A10">
      <w:pPr>
        <w:spacing w:line="276" w:lineRule="auto"/>
        <w:ind w:firstLine="540"/>
        <w:jc w:val="right"/>
      </w:pPr>
      <w:r>
        <w:t>Таблица 10</w:t>
      </w:r>
    </w:p>
    <w:p w:rsidR="00CF0324" w:rsidRDefault="00124A10">
      <w:pPr>
        <w:jc w:val="center"/>
      </w:pPr>
      <w:r>
        <w:t>Информация о муниципальных программах в Кондинском районе</w:t>
      </w:r>
    </w:p>
    <w:p w:rsidR="00CF0324" w:rsidRDefault="00124A10">
      <w:pPr>
        <w:jc w:val="center"/>
      </w:pPr>
      <w:r>
        <w:t xml:space="preserve">  </w:t>
      </w:r>
    </w:p>
    <w:tbl>
      <w:tblPr>
        <w:tblW w:w="4767" w:type="pct"/>
        <w:tblBorders>
          <w:top w:val="single" w:sz="6" w:space="0" w:color="000000"/>
          <w:left w:val="single" w:sz="6" w:space="0" w:color="000000"/>
          <w:bottom w:val="single" w:sz="6" w:space="0" w:color="000000"/>
          <w:right w:val="single" w:sz="6" w:space="0" w:color="000000"/>
          <w:insideH w:val="none" w:sz="0" w:space="0" w:color="000000"/>
          <w:insideV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4112"/>
        <w:gridCol w:w="4253"/>
      </w:tblGrid>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rPr>
                <w:rStyle w:val="affb"/>
                <w:b w:val="0"/>
              </w:rPr>
              <w:t>№</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rPr>
                <w:rStyle w:val="affb"/>
                <w:b w:val="0"/>
              </w:rPr>
              <w:t>Наименование муниципальной программы</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rPr>
                <w:rStyle w:val="affb"/>
                <w:b w:val="0"/>
              </w:rPr>
              <w:t>Ответственный исполнитель</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муниципальной службы</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кадровой политики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образования</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образования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3.</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молодежной политики </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Отдел молодежной политики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4.</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Укрепление межнационального и межконфессионального согласия, профилактика экстремизма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Отдел общественной безопасности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5.</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культуры и искусства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культуры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6.</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физической культуры и спорта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физической культуры и спорта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7.</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Содействие развитию застройки</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по природным ресурсам и экологии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8.</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агропромышленного комплекса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несырьевого сектора экономики и поддержки предпринимательства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9.</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Формирование градостроительной документации</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архитектуры и градостроительства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10.</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коренных малочисленных народов Севера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внутренней политики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11.</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жилищной сферы</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 xml:space="preserve">Комитет по управлению </w:t>
            </w:r>
            <w:r>
              <w:lastRenderedPageBreak/>
              <w:t>муниципальным имуществом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lastRenderedPageBreak/>
              <w:t>12.</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жилищно-коммунального комплекса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жилищно-коммунального хозяйства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13.</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Профилактика правонарушений и обеспечение отдельных прав граждан</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Отдел общественной безопасности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14.</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Безопасность жизнедеятельности</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гражданской защиты населения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15.</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Экологическая безопасность</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жилищно-коммунального хозяйства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16.</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экономического потенциала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экономического развития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17.</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Цифровое развитие Кондинского района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по информационным технологиям и связи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18.</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транспортной системы</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несырьевого сектора экономики и поддержки предпринимательства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19.</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муниципальными финансами</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по финансам и налоговой политике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20.</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Создание условий для эффективного управления муниципальными финансами</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по финансам и налоговой политике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21.</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гражданского общества</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внутренней политики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22.</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муниципальным имуществом</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по управлению муниципальным имуществом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23.</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Развитие малого и среднего предпринимательства    </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Комитет несырьевого сектора экономики и поддержки предпринимательства администрации Кондинского района</w:t>
            </w:r>
          </w:p>
        </w:tc>
      </w:tr>
      <w:tr w:rsidR="00CF0324">
        <w:tc>
          <w:tcPr>
            <w:tcW w:w="58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jc w:val="center"/>
            </w:pPr>
            <w:r>
              <w:t>24.</w:t>
            </w:r>
          </w:p>
        </w:tc>
        <w:tc>
          <w:tcPr>
            <w:tcW w:w="4112"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Формирование комфортной городской среды   </w:t>
            </w:r>
          </w:p>
        </w:tc>
        <w:tc>
          <w:tcPr>
            <w:tcW w:w="4253" w:type="dxa"/>
            <w:tcBorders>
              <w:top w:val="single" w:sz="6" w:space="0" w:color="000000"/>
              <w:left w:val="single" w:sz="6" w:space="0" w:color="000000"/>
              <w:bottom w:val="single" w:sz="6" w:space="0" w:color="000000"/>
              <w:right w:val="single" w:sz="6" w:space="0" w:color="000000"/>
            </w:tcBorders>
            <w:vAlign w:val="center"/>
          </w:tcPr>
          <w:p w:rsidR="00CF0324" w:rsidRDefault="00124A10">
            <w:pPr>
              <w:pStyle w:val="afe"/>
              <w:spacing w:before="0" w:beforeAutospacing="0" w:after="180" w:afterAutospacing="0"/>
            </w:pPr>
            <w:r>
              <w:t>Управление жилищно-коммунального хозяйства администрации Кондинского района</w:t>
            </w:r>
          </w:p>
        </w:tc>
      </w:tr>
    </w:tbl>
    <w:p w:rsidR="00CF0324" w:rsidRPr="00124A10" w:rsidRDefault="00124A10">
      <w:pPr>
        <w:pStyle w:val="1"/>
        <w:spacing w:after="240"/>
        <w:rPr>
          <w:sz w:val="24"/>
          <w:lang w:val="ru-RU"/>
        </w:rPr>
      </w:pPr>
      <w:bookmarkStart w:id="90" w:name="_Toc88"/>
      <w:r w:rsidRPr="00124A10">
        <w:rPr>
          <w:lang w:val="ru-RU"/>
        </w:rPr>
        <w:br w:type="page" w:clear="all"/>
      </w:r>
      <w:r w:rsidRPr="00124A10">
        <w:rPr>
          <w:sz w:val="24"/>
          <w:lang w:val="ru-RU"/>
        </w:rPr>
        <w:lastRenderedPageBreak/>
        <w:t>РАЗДЕЛ 14. МЕХАНИЗМЫ РЕАЛИЗАЦИИ СТРАТЕГИИ</w:t>
      </w:r>
      <w:bookmarkEnd w:id="90"/>
    </w:p>
    <w:p w:rsidR="00CF0324" w:rsidRDefault="00124A10">
      <w:pPr>
        <w:spacing w:line="276" w:lineRule="auto"/>
        <w:ind w:firstLine="708"/>
        <w:jc w:val="both"/>
      </w:pPr>
      <w:r>
        <w:t xml:space="preserve">Процессуально механизм стратегического управления (в том числе и развитием территории) условно делится на четыре составные части: аналитическую, плановую, реализационную и контрольную. </w:t>
      </w:r>
    </w:p>
    <w:p w:rsidR="00CF0324" w:rsidRDefault="00124A10">
      <w:pPr>
        <w:spacing w:line="276" w:lineRule="auto"/>
        <w:ind w:firstLine="708"/>
        <w:jc w:val="both"/>
      </w:pPr>
      <w:r>
        <w:t>Исполнение данной Стратегии как документа, определяющего направления развития Кондинского района на долгосрочную перспективу, будет осуществляться всем местным сообществом, администрация Кондинского района будет являться одной из сторон в равноправном общественно-частно-муниципальном партнерстве как во время разработки и корректировки Стратегии, так и в период ее реализации.</w:t>
      </w:r>
    </w:p>
    <w:p w:rsidR="00CF0324" w:rsidRDefault="00124A10">
      <w:pPr>
        <w:spacing w:line="276" w:lineRule="auto"/>
        <w:ind w:firstLine="708"/>
        <w:jc w:val="both"/>
      </w:pPr>
      <w:r>
        <w:t>Стратегия представляет собой базовый документ для организации деятельности администрации Кондинского района, которая на его основе будет формировать муниципальные программы развития отдельных отраслей и секторов экономики и социальной сферы. А также среднесрочные (трехлетние) планы деятельности, годовые и текущие планы работы органов местного самоуправления. Такой подход позволит увязать стратегические цели с текущими задачами деятельности местных органов власти, субъектов предпринимательства и общественных организаций, а также позволит дать ясное представление о направлениях развития Кондинского района для населения и иных субъектов. На основании этого каждый заинтересованный участник будет вносить свой вклад в реализацию тех или иных направлений Стратегии-2036.</w:t>
      </w:r>
    </w:p>
    <w:p w:rsidR="00CF0324" w:rsidRDefault="00124A10">
      <w:pPr>
        <w:spacing w:line="276" w:lineRule="auto"/>
        <w:ind w:firstLine="708"/>
        <w:jc w:val="both"/>
      </w:pPr>
      <w:r>
        <w:t>Стратегия-2036 содержит набор показателей, на основании которых будут разрабатываться кратко-, средне- и долгосрочные прогнозы социально-экономического развития района. В свою очередь, среднесрочный прогноз представляет собой методологическую основу формирования бюджета Кондинского района. Таким образом, финансовая система муниципального образования будет соответствовать содержанию Стратегии и будет включена в процесс её реализации, непосредственно влияя на результаты социальной и экономической политики района через участие в финансировании приоритетных направлений и мероприятий. Бюджетные средства должны служить катализатором инвестиционной активности бизнеса и генерировать поступательные импульсы развития муниципального образования.</w:t>
      </w:r>
    </w:p>
    <w:p w:rsidR="00CF0324" w:rsidRDefault="00124A10">
      <w:pPr>
        <w:spacing w:line="276" w:lineRule="auto"/>
        <w:ind w:firstLine="708"/>
        <w:jc w:val="both"/>
      </w:pPr>
      <w:r>
        <w:t xml:space="preserve">Стратегия, включающая аналитические, методические, оценочные и прогнозные разделы, подготовленные на основе методологии системного анализа с использованием методов сравнения, статистического, формально-логического и сравнительно-сопоставительного анализа, синтеза и обобщения дает научное обоснование стратегических направлений развития Кондинского района в период до 2036 года. В тоже время, базовую основу реализации Стратегии составят конкретные инвестиционные проекты и муниципальные программы, реализуемые по приоритетным направлениям развития и диверсификации экономики и социальной сферы района. Каждый такой проект (программа) представляет собой совокупность мероприятий, направленных на решение каких-то частных или локальных вопросов в конкретном среднесрочном промежутке времени. Поэтому ответственность за разработку, согласование с участниками, своевременную корректировку, осуществление контроля исполнения и подведение ежегодных итогов реализации таких проектов и программ, а также информирование населения и общественности о ходе их осуществления возлагается на администрацию Кондинского района. Дробное деление и поэтапное исполнение проектов и программ позволяет повысить их управляемость и в целом реализуемость данной Стратегии. </w:t>
      </w:r>
      <w:r>
        <w:lastRenderedPageBreak/>
        <w:t>Отдельные мероприятия таких проектов и программ будут реализовываться за счет бюджетных и привлеченных средств долгосрочных государственных программ, а также инвестиционных программ и проектов частного бизнеса.</w:t>
      </w:r>
    </w:p>
    <w:p w:rsidR="00CF0324" w:rsidRDefault="00124A10">
      <w:pPr>
        <w:spacing w:line="276" w:lineRule="auto"/>
        <w:ind w:firstLine="708"/>
        <w:jc w:val="both"/>
      </w:pPr>
      <w:r>
        <w:t>В связи с этим общий механизм реализации Стратегии включает следующие базовые элементы:</w:t>
      </w:r>
    </w:p>
    <w:p w:rsidR="00CF0324" w:rsidRDefault="00124A10">
      <w:pPr>
        <w:spacing w:line="276" w:lineRule="auto"/>
        <w:ind w:firstLine="708"/>
        <w:jc w:val="both"/>
      </w:pPr>
      <w:r>
        <w:t>муниципальные среднесрочные программы.</w:t>
      </w:r>
    </w:p>
    <w:p w:rsidR="00CF0324" w:rsidRDefault="00124A10">
      <w:pPr>
        <w:spacing w:line="276" w:lineRule="auto"/>
        <w:ind w:firstLine="708"/>
        <w:jc w:val="both"/>
      </w:pPr>
      <w:r>
        <w:t>Стратегию социально-экономического развития Ханты-Мансийского автономного округа – Югры до 2036 года;</w:t>
      </w:r>
    </w:p>
    <w:p w:rsidR="00CF0324" w:rsidRDefault="00124A10">
      <w:pPr>
        <w:spacing w:line="276" w:lineRule="auto"/>
        <w:ind w:firstLine="708"/>
        <w:jc w:val="both"/>
      </w:pPr>
      <w:r>
        <w:t>частные инвестиционные проекты, в том числе с применением механизмов государственно-частного партнерства.</w:t>
      </w:r>
    </w:p>
    <w:p w:rsidR="00CF0324" w:rsidRDefault="00124A10">
      <w:pPr>
        <w:spacing w:line="276" w:lineRule="auto"/>
        <w:ind w:firstLine="708"/>
        <w:jc w:val="both"/>
      </w:pPr>
      <w:r>
        <w:t>Мониторинг реализации данной Стратегии базируется на наборе общих показателей, включенных в перечни основных показателей для каждого направления и представляющих собой прогнозные параметры до 2036 года.</w:t>
      </w:r>
    </w:p>
    <w:p w:rsidR="00CF0324" w:rsidRDefault="00124A10">
      <w:pPr>
        <w:spacing w:line="276" w:lineRule="auto"/>
        <w:ind w:firstLine="708"/>
        <w:jc w:val="both"/>
      </w:pPr>
      <w:r>
        <w:t>Прогнозные показатели рассчитаны для целевого (базового) сценария. Сравнение достигнутых в отчетные периоды результатов с прогнозными значениями позволяет оценить правильность выбранных механизмов, мероприятий и способов достижения целевых ориентиров.</w:t>
      </w:r>
    </w:p>
    <w:p w:rsidR="00CF0324" w:rsidRDefault="00124A10">
      <w:pPr>
        <w:spacing w:line="276" w:lineRule="auto"/>
        <w:ind w:firstLine="708"/>
        <w:jc w:val="both"/>
      </w:pPr>
      <w:r>
        <w:t>Важным элементом мониторинга реализации Стратегии должно стать отслеживание состояния общественного мнения. Социологические исследования, телефонные «горячие линии», интернет-форумы и другие формы обратной связи с населением являются источником получения информации, дающей участникам стратегического планирования сведения о том, насколько чувствительные изменения происходят в жизни муниципального образования, какой характер (позитивный или негативный) они носят, а также о том, в каком направлении следует двигаться дальше. Рекомендации и замечания граждан, как показывает практический опыт, достаточно конкретны и представляют детальную информацию для анализа различных сфер жизни местного сообщества. Задачей администрации Кондинского района в этом случае является вычленение и систематизация проблемных точек развития района, поиск путей их решения и учёт при последующих корректировках стратегических документов.</w:t>
      </w:r>
    </w:p>
    <w:p w:rsidR="00CF0324" w:rsidRDefault="00124A10">
      <w:pPr>
        <w:spacing w:line="276" w:lineRule="auto"/>
        <w:ind w:firstLine="708"/>
        <w:jc w:val="both"/>
      </w:pPr>
      <w:r>
        <w:t>Итогом проводимого анализа и мониторинга становится планирование развития социально-экономического потенциала Кондинского района, а в процессе реализации Стратегии – проблемно-ориентированная корректировка и актуализация разработанных планов.</w:t>
      </w:r>
    </w:p>
    <w:p w:rsidR="00CF0324" w:rsidRDefault="00124A10">
      <w:pPr>
        <w:spacing w:line="276" w:lineRule="auto"/>
        <w:ind w:firstLine="708"/>
        <w:jc w:val="both"/>
      </w:pPr>
      <w:r>
        <w:t>Внесение изменений в Стратегию рекомендуется осуществлять раз в три года, а документы, принятые во исполнение Стратегии, необходимо корректировать по мере необходимости, в том числе в связи с изменениями в законодательстве, в текущих приоритетах социально-экономического развития Российской Федерации и Ханты-Мансийского округа – Югры, а также при изменении макроэкономических трендов.</w:t>
      </w:r>
    </w:p>
    <w:p w:rsidR="00CF0324" w:rsidRDefault="00CF0324">
      <w:pPr>
        <w:spacing w:line="360" w:lineRule="auto"/>
        <w:jc w:val="both"/>
      </w:pPr>
    </w:p>
    <w:p w:rsidR="00CF0324" w:rsidRDefault="00CF0324">
      <w:pPr>
        <w:spacing w:line="360" w:lineRule="auto"/>
        <w:jc w:val="both"/>
        <w:sectPr w:rsidR="00CF0324">
          <w:footerReference w:type="even" r:id="rId49"/>
          <w:footerReference w:type="default" r:id="rId50"/>
          <w:pgSz w:w="11906" w:h="16838"/>
          <w:pgMar w:top="1134" w:right="851" w:bottom="1134" w:left="1701" w:header="709" w:footer="709" w:gutter="0"/>
          <w:cols w:space="708"/>
          <w:docGrid w:linePitch="360"/>
        </w:sectPr>
      </w:pPr>
    </w:p>
    <w:p w:rsidR="00CF0324" w:rsidRDefault="00124A10">
      <w:pPr>
        <w:pStyle w:val="afff1"/>
      </w:pPr>
      <w:bookmarkStart w:id="91" w:name="_Toc89"/>
      <w:r>
        <w:lastRenderedPageBreak/>
        <w:t>РАЗДЕЛ 15. ОЦЕНКА ОЖИДАЕМЫХ СОЦИАЛЬНО-ЭКОНОМИЧЕСКИХ ЭФФЕКТОВ РЕАЛИЗАЦИИ СТРАТЕГИИ</w:t>
      </w:r>
      <w:bookmarkEnd w:id="91"/>
    </w:p>
    <w:p w:rsidR="00CF0324" w:rsidRDefault="00124A10">
      <w:pPr>
        <w:spacing w:before="240" w:line="276" w:lineRule="auto"/>
        <w:ind w:firstLine="708"/>
        <w:jc w:val="both"/>
      </w:pPr>
      <w:r>
        <w:rPr>
          <w:color w:val="000000"/>
          <w:lang w:eastAsia="en-US"/>
        </w:rPr>
        <w:t xml:space="preserve">Реализация целевого сценария Стратегии социально-экономического развития Кондинского района на период до 2036 года позволит </w:t>
      </w:r>
      <w:r>
        <w:rPr>
          <w:lang w:eastAsia="en-US"/>
        </w:rPr>
        <w:t xml:space="preserve">обеспечить повышение качества жизни населения, формирование благоприятной социальной среды, развитие гражданской инициативы и местного самоуправления. В результате реализации мероприятий Стратегии и выполнения основных параметров целевого сценария в Кондинском районе будут успешно решены задачи долгосрочного развития, поставленные в </w:t>
      </w:r>
      <w:r>
        <w:t>Указах Президента Российской Федерации, Национальных проектах Российской Федерации, Стратегии социально-экономического развития Ханты-Мансийского автономного округа – Югры на период до 2036 года с параметрами до 2050 года.</w:t>
      </w:r>
    </w:p>
    <w:p w:rsidR="00CF0324" w:rsidRDefault="00124A10">
      <w:pPr>
        <w:spacing w:line="276" w:lineRule="auto"/>
        <w:ind w:firstLine="708"/>
        <w:jc w:val="both"/>
      </w:pPr>
      <w:r>
        <w:t>Приоритетными направлениями развития экономики должны стать лесной сектор, агропромышленный комплекс, туристско-рекреационная инфраструктура, строительная индустрия, социальное предпринимательство, электронная коммерция (маркетплейсы), придорожный сервис. Благодаря предусмотренным в Стратегии проектам развития транспортной инфраструктуры, в ходе ее реализации существенно возрастёт социально-экономический, промышленный и инновационный потенциал территории, будут улучшены параметры ее инвестиционной привлекательности.</w:t>
      </w:r>
    </w:p>
    <w:p w:rsidR="00CF0324" w:rsidRDefault="00124A10">
      <w:pPr>
        <w:spacing w:line="276" w:lineRule="auto"/>
        <w:ind w:firstLine="708"/>
        <w:jc w:val="both"/>
        <w:rPr>
          <w:rFonts w:eastAsia="TimesNewRomanPSMT"/>
          <w:lang w:eastAsia="en-US"/>
        </w:rPr>
      </w:pPr>
      <w:r>
        <w:rPr>
          <w:color w:val="000000"/>
          <w:lang w:eastAsia="en-US"/>
        </w:rPr>
        <w:t xml:space="preserve">Согласно предварительному прогнозу, к 2036 году по сравнению </w:t>
      </w:r>
      <w:r>
        <w:rPr>
          <w:lang w:eastAsia="en-US"/>
        </w:rPr>
        <w:t xml:space="preserve">с 2023 годом объем отгруженных товаров, работ, услуг по кругу крупных и средних промышленных предприятий планируется увеличить в 2,5 раза. </w:t>
      </w:r>
      <w:r>
        <w:rPr>
          <w:rFonts w:eastAsia="TimesNewRomanPSMT"/>
          <w:lang w:eastAsia="en-US"/>
        </w:rPr>
        <w:t>Инновационное обновление, интенсивное техническое и технологическое перевооружение производств позволят обеспечить рост производительности труда, что в свою очередь повлечет увеличение номинальной начисленной заработной платы работника в среднем в 1,6 раза.</w:t>
      </w:r>
    </w:p>
    <w:p w:rsidR="00CF0324" w:rsidRDefault="00124A10">
      <w:pPr>
        <w:spacing w:line="276" w:lineRule="auto"/>
        <w:ind w:firstLine="708"/>
        <w:jc w:val="both"/>
        <w:rPr>
          <w:rFonts w:eastAsia="TimesNewRomanPSMT"/>
          <w:lang w:eastAsia="en-US"/>
        </w:rPr>
      </w:pPr>
      <w:r>
        <w:rPr>
          <w:rFonts w:eastAsia="TimesNewRomanPSMT"/>
          <w:lang w:eastAsia="en-US"/>
        </w:rPr>
        <w:t>На базе лесного комплекса района планируется сформировать лесной кластер, производственным ядром которого должен стать Индустриальный парк «Кондинский» (пгт. Мортка). Для обеспечения экономической эффективности лесозаготовительной отрасли в районе требуется построить около 100 км лесовозных дорог круглогодового действия.</w:t>
      </w:r>
    </w:p>
    <w:p w:rsidR="00CF0324" w:rsidRDefault="00124A10">
      <w:pPr>
        <w:spacing w:line="276" w:lineRule="auto"/>
        <w:ind w:firstLine="708"/>
        <w:jc w:val="both"/>
      </w:pPr>
      <w:r>
        <w:rPr>
          <w:rFonts w:eastAsia="TimesNewRomanPSMT"/>
          <w:lang w:eastAsia="en-US"/>
        </w:rPr>
        <w:t xml:space="preserve">В технологической и экономической увязке с лесоперерабатывающими центрами, будут созданы малые и средние предприятия по заготовке и переработке древесины, рыболовству, сбору и переработке дикоросов, охотничьему и экологическому туризму, креативным индустриям. </w:t>
      </w:r>
      <w:r>
        <w:t>Численность работающих в сфере малого и среднего предпринимательства по прогнозным расчетам должна вырасти к 2036 году на 20% и составит 2,7 тыс. чел. Как следствие, планируется сокращение официально регистрируемой на территории района безработицы и стабилизации ее на уровне 1,62%.</w:t>
      </w:r>
    </w:p>
    <w:p w:rsidR="00CF0324" w:rsidRDefault="00124A10">
      <w:pPr>
        <w:spacing w:line="276" w:lineRule="auto"/>
        <w:ind w:firstLine="708"/>
        <w:jc w:val="both"/>
        <w:rPr>
          <w:rFonts w:eastAsia="TimesNewRomanPSMT"/>
          <w:lang w:eastAsia="en-US"/>
        </w:rPr>
      </w:pPr>
      <w:r>
        <w:t>В агропромышленном и рыбопромышленном производствах приоритеты обусловливаются введение в сельскохозяйственный оборот земли сельскохозяйственного назначения, модернизацией и созданием новых перерабатывающих мощностей.</w:t>
      </w:r>
      <w:r>
        <w:rPr>
          <w:rFonts w:eastAsia="TimesNewRomanPSMT"/>
          <w:lang w:eastAsia="en-US"/>
        </w:rPr>
        <w:t xml:space="preserve"> В среднесрочной перспективе будет усиливаться значение животноводства, в том числе молочного, птицеводства и растениеводства.</w:t>
      </w:r>
    </w:p>
    <w:p w:rsidR="00CF0324" w:rsidRDefault="00124A10">
      <w:pPr>
        <w:spacing w:line="276" w:lineRule="auto"/>
        <w:ind w:firstLine="708"/>
        <w:jc w:val="both"/>
      </w:pPr>
      <w:r>
        <w:t xml:space="preserve">Бюджетная эффективность реализации Стратегии определяется дополнительными налоговыми поступлениями в бюджеты всех уровней (в том числе налога на доходы физических лиц за счет роста заработной платы), ростом числа малых предприятий и </w:t>
      </w:r>
      <w:r>
        <w:lastRenderedPageBreak/>
        <w:t xml:space="preserve">индивидуальных предпринимателей, числа высокопроизводительных рабочих мест и повышении их эффективности. </w:t>
      </w:r>
    </w:p>
    <w:p w:rsidR="00CF0324" w:rsidRDefault="00124A10">
      <w:pPr>
        <w:spacing w:line="276" w:lineRule="auto"/>
        <w:ind w:firstLine="708"/>
        <w:jc w:val="both"/>
        <w:rPr>
          <w:lang w:eastAsia="en-US"/>
        </w:rPr>
      </w:pPr>
      <w:r>
        <w:rPr>
          <w:lang w:eastAsia="en-US"/>
        </w:rPr>
        <w:t>В социальной жизни района должны произойти значимые качественные изменения. Благодаря комплексу социальных проектов сократится отток населения, вырастет рождаемость, среднегодовая численность населения района будет постепенно расти и составит к 2036 году 32,4 тыс. человек</w:t>
      </w:r>
      <w:r>
        <w:rPr>
          <w:color w:val="FF0000"/>
        </w:rPr>
        <w:t>.</w:t>
      </w:r>
      <w:r>
        <w:rPr>
          <w:lang w:eastAsia="en-US"/>
        </w:rPr>
        <w:t xml:space="preserve"> Прогнозируется улучшение основных параметров качества жизни населения и развития человеческого потенциала за счет которых увеличится продолжительность жизни в среднем до 72 лет. </w:t>
      </w:r>
    </w:p>
    <w:p w:rsidR="00CF0324" w:rsidRDefault="00124A10">
      <w:pPr>
        <w:spacing w:line="276" w:lineRule="auto"/>
        <w:ind w:firstLine="708"/>
        <w:jc w:val="both"/>
      </w:pPr>
      <w:r>
        <w:t>В числе инвестиционных приоритетов значимое место отведено строительству жилья и объектов социальной инфраструктуры, проектам по строительству дорог круглогодичного действия. Ежегодный объем ввода жилья будет обеспечен на уровне 15 тыс. м2. Количество населенных пунктов с круглогодичной транспортной доступностью по автомобильным дорогам вырастет до 19 единиц.</w:t>
      </w:r>
    </w:p>
    <w:p w:rsidR="00CF0324" w:rsidRDefault="00124A10">
      <w:pPr>
        <w:spacing w:line="276" w:lineRule="auto"/>
        <w:ind w:firstLine="708"/>
        <w:jc w:val="both"/>
      </w:pPr>
      <w:r>
        <w:rPr>
          <w:lang w:eastAsia="en-US"/>
        </w:rPr>
        <w:t xml:space="preserve">Реализация мероприятий Стратегии позволит нивелировать различия в уровне жизни и качестве социальной среды между городскими  и сельскими населенными пунктами с помощью привлеченных федеральных средств государственной программы «Развитие сельских территорий», в рамках развития опорных населенных пунктов Междуреченский, Мортка, Кондинское. В среднесрочной перспективе до 2036 года планируется провести </w:t>
      </w:r>
      <w:r>
        <w:rPr>
          <w:rFonts w:eastAsia="TimesNewRomanPSMT"/>
          <w:iCs/>
          <w:lang w:eastAsia="en-US"/>
        </w:rPr>
        <w:t>дальнейшее развитие коммунальной, транспортной и социальной инфраструктуры Кондинского района.</w:t>
      </w:r>
    </w:p>
    <w:p w:rsidR="00CF0324" w:rsidRDefault="00124A10">
      <w:pPr>
        <w:spacing w:line="276" w:lineRule="auto"/>
        <w:ind w:firstLine="708"/>
        <w:jc w:val="both"/>
      </w:pPr>
      <w:r>
        <w:t>Планируется дальнейшее формирование информационного пространства с учетом потребностей граждан и общества в получении качественных и достоверных сведений; формирование новой технологической основы для развития экономики и социальной сферы за счет внедрения информационно-телекоммуникационных технологий.</w:t>
      </w:r>
    </w:p>
    <w:p w:rsidR="00CF0324" w:rsidRDefault="00124A10">
      <w:pPr>
        <w:spacing w:line="276" w:lineRule="auto"/>
        <w:ind w:firstLine="708"/>
        <w:jc w:val="both"/>
      </w:pPr>
      <w:r>
        <w:rPr>
          <w:lang w:eastAsia="en-US"/>
        </w:rPr>
        <w:t xml:space="preserve">Реализация </w:t>
      </w:r>
      <w:r>
        <w:rPr>
          <w:rFonts w:eastAsia="TimesNewRomanPSMT"/>
          <w:lang w:eastAsia="en-US"/>
        </w:rPr>
        <w:t xml:space="preserve">в районе </w:t>
      </w:r>
      <w:r>
        <w:rPr>
          <w:lang w:eastAsia="en-US"/>
        </w:rPr>
        <w:t>базового сценария Стратегии</w:t>
      </w:r>
      <w:r>
        <w:rPr>
          <w:rFonts w:eastAsia="TimesNewRomanPSMT"/>
          <w:lang w:eastAsia="en-US"/>
        </w:rPr>
        <w:t xml:space="preserve"> сформирует благоприятную социальную среду, значительно улучшит качество жизни населения, повысит социальную и производственно-деловую привлекательность муниципалитета. </w:t>
      </w:r>
    </w:p>
    <w:p w:rsidR="00CF0324" w:rsidRDefault="00124A10">
      <w:pPr>
        <w:spacing w:line="276" w:lineRule="auto"/>
        <w:ind w:firstLine="708"/>
        <w:jc w:val="both"/>
      </w:pPr>
      <w:r>
        <w:t xml:space="preserve">Механизмы реализации Стратегии позволяют организовать системную работу по привлечению инвесторов, чьи инвестиционные предложения направлены на решение актуальных задач развития экономики и социальной сферы района. А </w:t>
      </w:r>
      <w:r>
        <w:rPr>
          <w:rFonts w:eastAsia="TimesNewRomanPSMT"/>
          <w:lang w:eastAsia="en-US"/>
        </w:rPr>
        <w:t>это, в свою очередь, сформирует устойчивую основу для дальнейшего динамичного развития социоэкономической системы Кондинского района в последующие периоды.</w:t>
      </w:r>
      <w:r>
        <w:t xml:space="preserve"> </w:t>
      </w:r>
    </w:p>
    <w:p w:rsidR="00CF0324" w:rsidRDefault="00124A10">
      <w:pPr>
        <w:spacing w:line="276" w:lineRule="auto"/>
        <w:ind w:firstLine="708"/>
        <w:jc w:val="both"/>
      </w:pPr>
      <w:r>
        <w:t>Район станет местом комфортного проживания и отдыха югорчан, молодежь сможет строить свое будущее, не покидая малой родины, а замечательная история Кондинского района найдет отражение в мемориальных объектах, созданных современниками в память о своих героических земляках.</w:t>
      </w:r>
    </w:p>
    <w:p w:rsidR="00CF0324" w:rsidRDefault="00CF0324">
      <w:pPr>
        <w:spacing w:line="360" w:lineRule="auto"/>
        <w:jc w:val="both"/>
        <w:sectPr w:rsidR="00CF0324">
          <w:footerReference w:type="even" r:id="rId51"/>
          <w:footerReference w:type="default" r:id="rId52"/>
          <w:pgSz w:w="11906" w:h="16838"/>
          <w:pgMar w:top="1134" w:right="850" w:bottom="1134" w:left="1701" w:header="709" w:footer="709" w:gutter="0"/>
          <w:cols w:space="708"/>
          <w:docGrid w:linePitch="360"/>
        </w:sectPr>
      </w:pPr>
    </w:p>
    <w:p w:rsidR="00CF0324" w:rsidRDefault="00124A10">
      <w:pPr>
        <w:pStyle w:val="afff1"/>
      </w:pPr>
      <w:bookmarkStart w:id="92" w:name="_Toc90"/>
      <w:r>
        <w:lastRenderedPageBreak/>
        <w:t>ПРИЛОЖЕНИЕ  Целевые показатели реализации Стратегии -2036</w:t>
      </w:r>
      <w:bookmarkEnd w:id="92"/>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401"/>
        <w:gridCol w:w="1276"/>
        <w:gridCol w:w="1134"/>
        <w:gridCol w:w="1134"/>
        <w:gridCol w:w="1134"/>
        <w:gridCol w:w="1134"/>
        <w:gridCol w:w="1134"/>
        <w:gridCol w:w="1134"/>
        <w:gridCol w:w="1134"/>
        <w:gridCol w:w="1134"/>
        <w:gridCol w:w="1134"/>
      </w:tblGrid>
      <w:tr w:rsidR="00CF0324">
        <w:trPr>
          <w:trHeight w:val="598"/>
        </w:trPr>
        <w:tc>
          <w:tcPr>
            <w:tcW w:w="568" w:type="dxa"/>
            <w:vMerge w:val="restart"/>
            <w:vAlign w:val="center"/>
          </w:tcPr>
          <w:p w:rsidR="00CF0324" w:rsidRDefault="00124A10">
            <w:pPr>
              <w:jc w:val="center"/>
            </w:pPr>
            <w:r>
              <w:t>№</w:t>
            </w:r>
          </w:p>
        </w:tc>
        <w:tc>
          <w:tcPr>
            <w:tcW w:w="3401" w:type="dxa"/>
            <w:vMerge w:val="restart"/>
            <w:vAlign w:val="center"/>
          </w:tcPr>
          <w:p w:rsidR="00CF0324" w:rsidRDefault="00124A10">
            <w:pPr>
              <w:jc w:val="center"/>
            </w:pPr>
            <w:r>
              <w:t>Наименование целевого</w:t>
            </w:r>
          </w:p>
          <w:p w:rsidR="00CF0324" w:rsidRDefault="00124A10">
            <w:pPr>
              <w:jc w:val="center"/>
            </w:pPr>
            <w:r>
              <w:t>показателя (индикаторов)</w:t>
            </w:r>
          </w:p>
        </w:tc>
        <w:tc>
          <w:tcPr>
            <w:tcW w:w="1276" w:type="dxa"/>
            <w:vMerge w:val="restart"/>
            <w:vAlign w:val="center"/>
          </w:tcPr>
          <w:p w:rsidR="00CF0324" w:rsidRDefault="00124A10">
            <w:pPr>
              <w:jc w:val="center"/>
            </w:pPr>
            <w:r>
              <w:t>Ед.</w:t>
            </w:r>
          </w:p>
          <w:p w:rsidR="00CF0324" w:rsidRDefault="00124A10">
            <w:pPr>
              <w:jc w:val="center"/>
            </w:pPr>
            <w:r>
              <w:t>изм.</w:t>
            </w:r>
          </w:p>
        </w:tc>
        <w:tc>
          <w:tcPr>
            <w:tcW w:w="10206" w:type="dxa"/>
            <w:gridSpan w:val="9"/>
            <w:vAlign w:val="center"/>
          </w:tcPr>
          <w:p w:rsidR="00CF0324" w:rsidRDefault="00124A10">
            <w:pPr>
              <w:jc w:val="center"/>
            </w:pPr>
            <w:r>
              <w:t>Значения целевых показателей по годам реализации Стратегии</w:t>
            </w:r>
          </w:p>
          <w:p w:rsidR="00CF0324" w:rsidRDefault="00124A10">
            <w:pPr>
              <w:jc w:val="center"/>
            </w:pPr>
            <w:r>
              <w:rPr>
                <w:i/>
              </w:rPr>
              <w:t>(базовый сценарий развития)</w:t>
            </w:r>
          </w:p>
        </w:tc>
      </w:tr>
      <w:tr w:rsidR="00CF0324">
        <w:tc>
          <w:tcPr>
            <w:tcW w:w="568" w:type="dxa"/>
            <w:vMerge/>
            <w:vAlign w:val="center"/>
          </w:tcPr>
          <w:p w:rsidR="00CF0324" w:rsidRDefault="00CF0324">
            <w:pPr>
              <w:jc w:val="center"/>
            </w:pPr>
          </w:p>
        </w:tc>
        <w:tc>
          <w:tcPr>
            <w:tcW w:w="3401" w:type="dxa"/>
            <w:vMerge/>
            <w:vAlign w:val="center"/>
          </w:tcPr>
          <w:p w:rsidR="00CF0324" w:rsidRDefault="00CF0324">
            <w:pPr>
              <w:jc w:val="center"/>
            </w:pPr>
          </w:p>
        </w:tc>
        <w:tc>
          <w:tcPr>
            <w:tcW w:w="1276" w:type="dxa"/>
            <w:vMerge/>
            <w:vAlign w:val="center"/>
          </w:tcPr>
          <w:p w:rsidR="00CF0324" w:rsidRDefault="00CF0324">
            <w:pPr>
              <w:jc w:val="center"/>
            </w:pPr>
          </w:p>
        </w:tc>
        <w:tc>
          <w:tcPr>
            <w:tcW w:w="1134" w:type="dxa"/>
            <w:vAlign w:val="center"/>
          </w:tcPr>
          <w:p w:rsidR="00CF0324" w:rsidRDefault="00124A10">
            <w:pPr>
              <w:jc w:val="center"/>
            </w:pPr>
            <w:r>
              <w:t>2023</w:t>
            </w:r>
          </w:p>
        </w:tc>
        <w:tc>
          <w:tcPr>
            <w:tcW w:w="1134" w:type="dxa"/>
            <w:vAlign w:val="center"/>
          </w:tcPr>
          <w:p w:rsidR="00CF0324" w:rsidRDefault="00124A10">
            <w:pPr>
              <w:jc w:val="center"/>
            </w:pPr>
            <w:r>
              <w:t>2024</w:t>
            </w:r>
          </w:p>
        </w:tc>
        <w:tc>
          <w:tcPr>
            <w:tcW w:w="1134" w:type="dxa"/>
            <w:vAlign w:val="center"/>
          </w:tcPr>
          <w:p w:rsidR="00CF0324" w:rsidRDefault="00124A10">
            <w:pPr>
              <w:jc w:val="center"/>
            </w:pPr>
            <w:r>
              <w:t>2025</w:t>
            </w:r>
          </w:p>
        </w:tc>
        <w:tc>
          <w:tcPr>
            <w:tcW w:w="1134" w:type="dxa"/>
            <w:vAlign w:val="center"/>
          </w:tcPr>
          <w:p w:rsidR="00CF0324" w:rsidRDefault="00124A10">
            <w:pPr>
              <w:jc w:val="center"/>
            </w:pPr>
            <w:r>
              <w:t>2026</w:t>
            </w:r>
          </w:p>
        </w:tc>
        <w:tc>
          <w:tcPr>
            <w:tcW w:w="1134" w:type="dxa"/>
            <w:vAlign w:val="center"/>
          </w:tcPr>
          <w:p w:rsidR="00CF0324" w:rsidRDefault="00124A10">
            <w:pPr>
              <w:jc w:val="center"/>
            </w:pPr>
            <w:r>
              <w:t>2027</w:t>
            </w:r>
          </w:p>
        </w:tc>
        <w:tc>
          <w:tcPr>
            <w:tcW w:w="1134" w:type="dxa"/>
            <w:vAlign w:val="center"/>
          </w:tcPr>
          <w:p w:rsidR="00CF0324" w:rsidRDefault="00124A10">
            <w:pPr>
              <w:jc w:val="center"/>
            </w:pPr>
            <w:r>
              <w:t>2028</w:t>
            </w:r>
          </w:p>
        </w:tc>
        <w:tc>
          <w:tcPr>
            <w:tcW w:w="1134" w:type="dxa"/>
            <w:vAlign w:val="center"/>
          </w:tcPr>
          <w:p w:rsidR="00CF0324" w:rsidRDefault="00124A10">
            <w:pPr>
              <w:jc w:val="center"/>
            </w:pPr>
            <w:r>
              <w:t>2029</w:t>
            </w:r>
          </w:p>
        </w:tc>
        <w:tc>
          <w:tcPr>
            <w:tcW w:w="1134" w:type="dxa"/>
            <w:vAlign w:val="center"/>
          </w:tcPr>
          <w:p w:rsidR="00CF0324" w:rsidRDefault="00124A10">
            <w:pPr>
              <w:jc w:val="center"/>
            </w:pPr>
            <w:r>
              <w:t>2030</w:t>
            </w:r>
          </w:p>
        </w:tc>
        <w:tc>
          <w:tcPr>
            <w:tcW w:w="1134" w:type="dxa"/>
            <w:vAlign w:val="center"/>
          </w:tcPr>
          <w:p w:rsidR="00CF0324" w:rsidRDefault="00124A10">
            <w:pPr>
              <w:jc w:val="center"/>
            </w:pPr>
            <w:r>
              <w:t>2036</w:t>
            </w:r>
          </w:p>
        </w:tc>
      </w:tr>
      <w:tr w:rsidR="00CF0324">
        <w:tc>
          <w:tcPr>
            <w:tcW w:w="568" w:type="dxa"/>
            <w:vAlign w:val="center"/>
          </w:tcPr>
          <w:p w:rsidR="00CF0324" w:rsidRDefault="00124A10">
            <w:pPr>
              <w:jc w:val="center"/>
            </w:pPr>
            <w:r>
              <w:t>1</w:t>
            </w:r>
          </w:p>
        </w:tc>
        <w:tc>
          <w:tcPr>
            <w:tcW w:w="3401" w:type="dxa"/>
            <w:vAlign w:val="center"/>
          </w:tcPr>
          <w:p w:rsidR="00CF0324" w:rsidRDefault="00124A10">
            <w:pPr>
              <w:jc w:val="center"/>
            </w:pPr>
            <w:r>
              <w:t>2</w:t>
            </w:r>
          </w:p>
        </w:tc>
        <w:tc>
          <w:tcPr>
            <w:tcW w:w="1276" w:type="dxa"/>
            <w:vAlign w:val="center"/>
          </w:tcPr>
          <w:p w:rsidR="00CF0324" w:rsidRDefault="00124A10">
            <w:pPr>
              <w:jc w:val="center"/>
            </w:pPr>
            <w:r>
              <w:t>3</w:t>
            </w:r>
          </w:p>
        </w:tc>
        <w:tc>
          <w:tcPr>
            <w:tcW w:w="1134" w:type="dxa"/>
            <w:vAlign w:val="center"/>
          </w:tcPr>
          <w:p w:rsidR="00CF0324" w:rsidRDefault="00124A10">
            <w:pPr>
              <w:jc w:val="center"/>
            </w:pPr>
            <w:r>
              <w:t>4</w:t>
            </w:r>
          </w:p>
        </w:tc>
        <w:tc>
          <w:tcPr>
            <w:tcW w:w="1134" w:type="dxa"/>
            <w:vAlign w:val="center"/>
          </w:tcPr>
          <w:p w:rsidR="00CF0324" w:rsidRDefault="00124A10">
            <w:pPr>
              <w:jc w:val="center"/>
            </w:pPr>
            <w:r>
              <w:t>5</w:t>
            </w:r>
          </w:p>
        </w:tc>
        <w:tc>
          <w:tcPr>
            <w:tcW w:w="1134" w:type="dxa"/>
            <w:vAlign w:val="center"/>
          </w:tcPr>
          <w:p w:rsidR="00CF0324" w:rsidRDefault="00124A10">
            <w:pPr>
              <w:jc w:val="center"/>
            </w:pPr>
            <w:r>
              <w:t>6</w:t>
            </w:r>
          </w:p>
        </w:tc>
        <w:tc>
          <w:tcPr>
            <w:tcW w:w="1134" w:type="dxa"/>
            <w:vAlign w:val="center"/>
          </w:tcPr>
          <w:p w:rsidR="00CF0324" w:rsidRDefault="00124A10">
            <w:pPr>
              <w:jc w:val="center"/>
            </w:pPr>
            <w:r>
              <w:t>7</w:t>
            </w:r>
          </w:p>
        </w:tc>
        <w:tc>
          <w:tcPr>
            <w:tcW w:w="1134" w:type="dxa"/>
            <w:vAlign w:val="center"/>
          </w:tcPr>
          <w:p w:rsidR="00CF0324" w:rsidRDefault="00124A10">
            <w:pPr>
              <w:jc w:val="center"/>
            </w:pPr>
            <w:r>
              <w:t>8</w:t>
            </w:r>
          </w:p>
        </w:tc>
        <w:tc>
          <w:tcPr>
            <w:tcW w:w="1134" w:type="dxa"/>
            <w:vAlign w:val="center"/>
          </w:tcPr>
          <w:p w:rsidR="00CF0324" w:rsidRDefault="00124A10">
            <w:pPr>
              <w:jc w:val="center"/>
            </w:pPr>
            <w:r>
              <w:t>9</w:t>
            </w:r>
          </w:p>
        </w:tc>
        <w:tc>
          <w:tcPr>
            <w:tcW w:w="1134" w:type="dxa"/>
            <w:vAlign w:val="center"/>
          </w:tcPr>
          <w:p w:rsidR="00CF0324" w:rsidRDefault="00124A10">
            <w:pPr>
              <w:jc w:val="center"/>
            </w:pPr>
            <w:r>
              <w:t>10</w:t>
            </w:r>
          </w:p>
        </w:tc>
        <w:tc>
          <w:tcPr>
            <w:tcW w:w="1134" w:type="dxa"/>
            <w:vAlign w:val="center"/>
          </w:tcPr>
          <w:p w:rsidR="00CF0324" w:rsidRDefault="00124A10">
            <w:pPr>
              <w:jc w:val="center"/>
            </w:pPr>
            <w:r>
              <w:t>11</w:t>
            </w:r>
          </w:p>
        </w:tc>
        <w:tc>
          <w:tcPr>
            <w:tcW w:w="1134" w:type="dxa"/>
            <w:vAlign w:val="center"/>
          </w:tcPr>
          <w:p w:rsidR="00CF0324" w:rsidRDefault="00124A10">
            <w:pPr>
              <w:jc w:val="center"/>
            </w:pPr>
            <w:r>
              <w:t>12</w:t>
            </w:r>
          </w:p>
        </w:tc>
      </w:tr>
      <w:tr w:rsidR="00CF0324">
        <w:tc>
          <w:tcPr>
            <w:tcW w:w="15451" w:type="dxa"/>
            <w:gridSpan w:val="12"/>
            <w:vAlign w:val="center"/>
          </w:tcPr>
          <w:p w:rsidR="00CF0324" w:rsidRDefault="00124A10">
            <w:pPr>
              <w:jc w:val="center"/>
            </w:pPr>
            <w:r>
              <w:t>Демографическое развитие</w:t>
            </w:r>
          </w:p>
        </w:tc>
      </w:tr>
      <w:tr w:rsidR="00CF0324">
        <w:tc>
          <w:tcPr>
            <w:tcW w:w="568" w:type="dxa"/>
            <w:vAlign w:val="center"/>
          </w:tcPr>
          <w:p w:rsidR="00CF0324" w:rsidRDefault="00124A10">
            <w:pPr>
              <w:jc w:val="center"/>
            </w:pPr>
            <w:r>
              <w:t>1</w:t>
            </w:r>
          </w:p>
        </w:tc>
        <w:tc>
          <w:tcPr>
            <w:tcW w:w="3401" w:type="dxa"/>
            <w:vAlign w:val="center"/>
          </w:tcPr>
          <w:p w:rsidR="00CF0324" w:rsidRDefault="00124A10">
            <w:r>
              <w:t>Среднегодовая численность постоянного населения</w:t>
            </w:r>
          </w:p>
        </w:tc>
        <w:tc>
          <w:tcPr>
            <w:tcW w:w="1276" w:type="dxa"/>
            <w:vAlign w:val="center"/>
          </w:tcPr>
          <w:p w:rsidR="00CF0324" w:rsidRDefault="00124A10">
            <w:pPr>
              <w:jc w:val="center"/>
            </w:pPr>
            <w:r>
              <w:t>чел.</w:t>
            </w:r>
          </w:p>
        </w:tc>
        <w:tc>
          <w:tcPr>
            <w:tcW w:w="1134" w:type="dxa"/>
            <w:vAlign w:val="center"/>
          </w:tcPr>
          <w:p w:rsidR="00CF0324" w:rsidRDefault="00124A10">
            <w:pPr>
              <w:jc w:val="center"/>
              <w:rPr>
                <w:color w:val="000000"/>
              </w:rPr>
            </w:pPr>
            <w:r>
              <w:rPr>
                <w:color w:val="000000"/>
              </w:rPr>
              <w:t>30470</w:t>
            </w:r>
          </w:p>
        </w:tc>
        <w:tc>
          <w:tcPr>
            <w:tcW w:w="1134" w:type="dxa"/>
            <w:vAlign w:val="center"/>
          </w:tcPr>
          <w:p w:rsidR="00CF0324" w:rsidRDefault="00124A10">
            <w:pPr>
              <w:jc w:val="center"/>
              <w:rPr>
                <w:color w:val="000000"/>
              </w:rPr>
            </w:pPr>
            <w:r>
              <w:rPr>
                <w:color w:val="000000"/>
              </w:rPr>
              <w:t>30510</w:t>
            </w:r>
          </w:p>
        </w:tc>
        <w:tc>
          <w:tcPr>
            <w:tcW w:w="1134" w:type="dxa"/>
            <w:vAlign w:val="center"/>
          </w:tcPr>
          <w:p w:rsidR="00CF0324" w:rsidRDefault="00124A10">
            <w:pPr>
              <w:jc w:val="center"/>
              <w:rPr>
                <w:color w:val="000000"/>
              </w:rPr>
            </w:pPr>
            <w:r>
              <w:rPr>
                <w:color w:val="000000"/>
              </w:rPr>
              <w:t>30650</w:t>
            </w:r>
          </w:p>
        </w:tc>
        <w:tc>
          <w:tcPr>
            <w:tcW w:w="1134" w:type="dxa"/>
            <w:vAlign w:val="center"/>
          </w:tcPr>
          <w:p w:rsidR="00CF0324" w:rsidRDefault="00124A10">
            <w:pPr>
              <w:jc w:val="center"/>
              <w:rPr>
                <w:color w:val="000000"/>
              </w:rPr>
            </w:pPr>
            <w:r>
              <w:rPr>
                <w:color w:val="000000"/>
              </w:rPr>
              <w:t>30810</w:t>
            </w:r>
          </w:p>
        </w:tc>
        <w:tc>
          <w:tcPr>
            <w:tcW w:w="1134" w:type="dxa"/>
            <w:vAlign w:val="center"/>
          </w:tcPr>
          <w:p w:rsidR="00CF0324" w:rsidRDefault="00124A10">
            <w:pPr>
              <w:jc w:val="center"/>
              <w:rPr>
                <w:color w:val="000000"/>
              </w:rPr>
            </w:pPr>
            <w:r>
              <w:rPr>
                <w:color w:val="000000"/>
              </w:rPr>
              <w:t>30960</w:t>
            </w:r>
          </w:p>
        </w:tc>
        <w:tc>
          <w:tcPr>
            <w:tcW w:w="1134" w:type="dxa"/>
            <w:vAlign w:val="center"/>
          </w:tcPr>
          <w:p w:rsidR="00CF0324" w:rsidRDefault="00124A10">
            <w:pPr>
              <w:jc w:val="center"/>
              <w:rPr>
                <w:color w:val="000000"/>
              </w:rPr>
            </w:pPr>
            <w:r>
              <w:rPr>
                <w:color w:val="000000"/>
              </w:rPr>
              <w:t>31120</w:t>
            </w:r>
          </w:p>
        </w:tc>
        <w:tc>
          <w:tcPr>
            <w:tcW w:w="1134" w:type="dxa"/>
            <w:vAlign w:val="center"/>
          </w:tcPr>
          <w:p w:rsidR="00CF0324" w:rsidRDefault="00124A10">
            <w:pPr>
              <w:jc w:val="center"/>
              <w:rPr>
                <w:color w:val="000000"/>
              </w:rPr>
            </w:pPr>
            <w:r>
              <w:rPr>
                <w:color w:val="000000"/>
              </w:rPr>
              <w:t>31280</w:t>
            </w:r>
          </w:p>
        </w:tc>
        <w:tc>
          <w:tcPr>
            <w:tcW w:w="1134" w:type="dxa"/>
            <w:vAlign w:val="center"/>
          </w:tcPr>
          <w:p w:rsidR="00CF0324" w:rsidRDefault="00124A10">
            <w:pPr>
              <w:jc w:val="center"/>
              <w:rPr>
                <w:color w:val="000000"/>
              </w:rPr>
            </w:pPr>
            <w:r>
              <w:rPr>
                <w:color w:val="000000"/>
              </w:rPr>
              <w:t>31440</w:t>
            </w:r>
          </w:p>
        </w:tc>
        <w:tc>
          <w:tcPr>
            <w:tcW w:w="1134" w:type="dxa"/>
            <w:vAlign w:val="center"/>
          </w:tcPr>
          <w:p w:rsidR="00CF0324" w:rsidRDefault="00124A10">
            <w:pPr>
              <w:jc w:val="center"/>
              <w:rPr>
                <w:color w:val="000000"/>
              </w:rPr>
            </w:pPr>
            <w:r>
              <w:rPr>
                <w:color w:val="000000"/>
              </w:rPr>
              <w:t>32400</w:t>
            </w:r>
          </w:p>
        </w:tc>
      </w:tr>
      <w:tr w:rsidR="00CF0324">
        <w:tc>
          <w:tcPr>
            <w:tcW w:w="568" w:type="dxa"/>
            <w:vAlign w:val="center"/>
          </w:tcPr>
          <w:p w:rsidR="00CF0324" w:rsidRDefault="00124A10">
            <w:pPr>
              <w:jc w:val="center"/>
            </w:pPr>
            <w:r>
              <w:t>2</w:t>
            </w:r>
          </w:p>
        </w:tc>
        <w:tc>
          <w:tcPr>
            <w:tcW w:w="3401" w:type="dxa"/>
            <w:vAlign w:val="center"/>
          </w:tcPr>
          <w:p w:rsidR="00CF0324" w:rsidRDefault="00124A10">
            <w:pPr>
              <w:jc w:val="both"/>
            </w:pPr>
            <w:r>
              <w:t>Ожидаемая продолжительность жизни при рождении</w:t>
            </w:r>
          </w:p>
        </w:tc>
        <w:tc>
          <w:tcPr>
            <w:tcW w:w="1276" w:type="dxa"/>
            <w:vAlign w:val="center"/>
          </w:tcPr>
          <w:p w:rsidR="00CF0324" w:rsidRDefault="00124A10">
            <w:pPr>
              <w:jc w:val="center"/>
            </w:pPr>
            <w:r>
              <w:t>лет</w:t>
            </w:r>
          </w:p>
        </w:tc>
        <w:tc>
          <w:tcPr>
            <w:tcW w:w="1134" w:type="dxa"/>
            <w:vAlign w:val="center"/>
          </w:tcPr>
          <w:p w:rsidR="00CF0324" w:rsidRDefault="00124A10">
            <w:pPr>
              <w:jc w:val="center"/>
              <w:rPr>
                <w:color w:val="000000"/>
              </w:rPr>
            </w:pPr>
            <w:r>
              <w:rPr>
                <w:color w:val="000000"/>
              </w:rPr>
              <w:t>67,5</w:t>
            </w:r>
          </w:p>
        </w:tc>
        <w:tc>
          <w:tcPr>
            <w:tcW w:w="1134" w:type="dxa"/>
            <w:vAlign w:val="center"/>
          </w:tcPr>
          <w:p w:rsidR="00CF0324" w:rsidRDefault="00124A10">
            <w:pPr>
              <w:jc w:val="center"/>
              <w:rPr>
                <w:color w:val="000000"/>
              </w:rPr>
            </w:pPr>
            <w:r>
              <w:rPr>
                <w:color w:val="000000"/>
              </w:rPr>
              <w:t>69,5</w:t>
            </w:r>
          </w:p>
        </w:tc>
        <w:tc>
          <w:tcPr>
            <w:tcW w:w="1134" w:type="dxa"/>
            <w:vAlign w:val="center"/>
          </w:tcPr>
          <w:p w:rsidR="00CF0324" w:rsidRDefault="00124A10">
            <w:pPr>
              <w:jc w:val="center"/>
              <w:rPr>
                <w:color w:val="000000"/>
              </w:rPr>
            </w:pPr>
            <w:r>
              <w:rPr>
                <w:color w:val="000000"/>
              </w:rPr>
              <w:t>69,5</w:t>
            </w:r>
          </w:p>
        </w:tc>
        <w:tc>
          <w:tcPr>
            <w:tcW w:w="1134" w:type="dxa"/>
            <w:vAlign w:val="center"/>
          </w:tcPr>
          <w:p w:rsidR="00CF0324" w:rsidRDefault="00124A10">
            <w:pPr>
              <w:jc w:val="center"/>
              <w:rPr>
                <w:color w:val="000000"/>
              </w:rPr>
            </w:pPr>
            <w:r>
              <w:rPr>
                <w:color w:val="000000"/>
              </w:rPr>
              <w:t>69,5</w:t>
            </w:r>
          </w:p>
        </w:tc>
        <w:tc>
          <w:tcPr>
            <w:tcW w:w="1134" w:type="dxa"/>
            <w:vAlign w:val="center"/>
          </w:tcPr>
          <w:p w:rsidR="00CF0324" w:rsidRDefault="00124A10">
            <w:pPr>
              <w:jc w:val="center"/>
              <w:rPr>
                <w:color w:val="000000"/>
              </w:rPr>
            </w:pPr>
            <w:r>
              <w:rPr>
                <w:color w:val="000000"/>
              </w:rPr>
              <w:t>70</w:t>
            </w:r>
          </w:p>
        </w:tc>
        <w:tc>
          <w:tcPr>
            <w:tcW w:w="1134" w:type="dxa"/>
            <w:vAlign w:val="center"/>
          </w:tcPr>
          <w:p w:rsidR="00CF0324" w:rsidRDefault="00124A10">
            <w:pPr>
              <w:jc w:val="center"/>
              <w:rPr>
                <w:color w:val="000000"/>
              </w:rPr>
            </w:pPr>
            <w:r>
              <w:rPr>
                <w:color w:val="000000"/>
              </w:rPr>
              <w:t>70,2</w:t>
            </w:r>
          </w:p>
        </w:tc>
        <w:tc>
          <w:tcPr>
            <w:tcW w:w="1134" w:type="dxa"/>
            <w:vAlign w:val="center"/>
          </w:tcPr>
          <w:p w:rsidR="00CF0324" w:rsidRDefault="00124A10">
            <w:pPr>
              <w:jc w:val="center"/>
              <w:rPr>
                <w:color w:val="000000"/>
              </w:rPr>
            </w:pPr>
            <w:r>
              <w:rPr>
                <w:color w:val="000000"/>
              </w:rPr>
              <w:t>70,4</w:t>
            </w:r>
          </w:p>
        </w:tc>
        <w:tc>
          <w:tcPr>
            <w:tcW w:w="1134" w:type="dxa"/>
            <w:vAlign w:val="center"/>
          </w:tcPr>
          <w:p w:rsidR="00CF0324" w:rsidRDefault="00124A10">
            <w:pPr>
              <w:jc w:val="center"/>
              <w:rPr>
                <w:color w:val="000000"/>
              </w:rPr>
            </w:pPr>
            <w:r>
              <w:rPr>
                <w:color w:val="000000"/>
              </w:rPr>
              <w:t>70,6</w:t>
            </w:r>
          </w:p>
        </w:tc>
        <w:tc>
          <w:tcPr>
            <w:tcW w:w="1134" w:type="dxa"/>
            <w:vAlign w:val="center"/>
          </w:tcPr>
          <w:p w:rsidR="00CF0324" w:rsidRDefault="00124A10">
            <w:pPr>
              <w:jc w:val="center"/>
              <w:rPr>
                <w:color w:val="000000"/>
              </w:rPr>
            </w:pPr>
            <w:r>
              <w:rPr>
                <w:color w:val="000000"/>
              </w:rPr>
              <w:t>72</w:t>
            </w:r>
          </w:p>
        </w:tc>
      </w:tr>
      <w:tr w:rsidR="00CF0324">
        <w:tc>
          <w:tcPr>
            <w:tcW w:w="15451" w:type="dxa"/>
            <w:gridSpan w:val="12"/>
            <w:vAlign w:val="center"/>
          </w:tcPr>
          <w:p w:rsidR="00CF0324" w:rsidRDefault="00124A10">
            <w:pPr>
              <w:jc w:val="center"/>
              <w:rPr>
                <w:color w:val="000000"/>
              </w:rPr>
            </w:pPr>
            <w:r>
              <w:rPr>
                <w:color w:val="000000"/>
              </w:rPr>
              <w:t>Труд и занятость</w:t>
            </w:r>
          </w:p>
        </w:tc>
      </w:tr>
      <w:tr w:rsidR="00CF0324">
        <w:tc>
          <w:tcPr>
            <w:tcW w:w="568" w:type="dxa"/>
            <w:vAlign w:val="center"/>
          </w:tcPr>
          <w:p w:rsidR="00CF0324" w:rsidRDefault="00124A10">
            <w:pPr>
              <w:jc w:val="center"/>
            </w:pPr>
            <w:r>
              <w:t>3</w:t>
            </w:r>
          </w:p>
        </w:tc>
        <w:tc>
          <w:tcPr>
            <w:tcW w:w="3401" w:type="dxa"/>
            <w:vAlign w:val="center"/>
          </w:tcPr>
          <w:p w:rsidR="00CF0324" w:rsidRDefault="00124A10">
            <w:pPr>
              <w:pStyle w:val="1b"/>
              <w:tabs>
                <w:tab w:val="left" w:pos="99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занятых в экономике</w:t>
            </w:r>
          </w:p>
        </w:tc>
        <w:tc>
          <w:tcPr>
            <w:tcW w:w="1276" w:type="dxa"/>
            <w:vAlign w:val="center"/>
          </w:tcPr>
          <w:p w:rsidR="00CF0324" w:rsidRDefault="00124A10">
            <w:pPr>
              <w:jc w:val="center"/>
            </w:pPr>
            <w:r>
              <w:t>Чел.</w:t>
            </w:r>
          </w:p>
        </w:tc>
        <w:tc>
          <w:tcPr>
            <w:tcW w:w="1134" w:type="dxa"/>
            <w:vAlign w:val="center"/>
          </w:tcPr>
          <w:p w:rsidR="00CF0324" w:rsidRDefault="00124A10">
            <w:pPr>
              <w:jc w:val="center"/>
              <w:rPr>
                <w:color w:val="000000"/>
              </w:rPr>
            </w:pPr>
            <w:r>
              <w:rPr>
                <w:color w:val="000000"/>
              </w:rPr>
              <w:t>11393</w:t>
            </w:r>
          </w:p>
        </w:tc>
        <w:tc>
          <w:tcPr>
            <w:tcW w:w="1134" w:type="dxa"/>
            <w:vAlign w:val="center"/>
          </w:tcPr>
          <w:p w:rsidR="00CF0324" w:rsidRDefault="00124A10">
            <w:pPr>
              <w:jc w:val="center"/>
              <w:rPr>
                <w:color w:val="000000"/>
              </w:rPr>
            </w:pPr>
            <w:r>
              <w:rPr>
                <w:color w:val="000000"/>
              </w:rPr>
              <w:t>11507</w:t>
            </w:r>
          </w:p>
        </w:tc>
        <w:tc>
          <w:tcPr>
            <w:tcW w:w="1134" w:type="dxa"/>
            <w:vAlign w:val="center"/>
          </w:tcPr>
          <w:p w:rsidR="00CF0324" w:rsidRDefault="00124A10">
            <w:pPr>
              <w:jc w:val="center"/>
              <w:rPr>
                <w:color w:val="000000"/>
              </w:rPr>
            </w:pPr>
            <w:r>
              <w:rPr>
                <w:color w:val="000000"/>
              </w:rPr>
              <w:t>11622</w:t>
            </w:r>
          </w:p>
        </w:tc>
        <w:tc>
          <w:tcPr>
            <w:tcW w:w="1134" w:type="dxa"/>
            <w:vAlign w:val="center"/>
          </w:tcPr>
          <w:p w:rsidR="00CF0324" w:rsidRDefault="00124A10">
            <w:pPr>
              <w:jc w:val="center"/>
              <w:rPr>
                <w:color w:val="000000"/>
              </w:rPr>
            </w:pPr>
            <w:r>
              <w:rPr>
                <w:color w:val="000000"/>
              </w:rPr>
              <w:t>11738</w:t>
            </w:r>
          </w:p>
        </w:tc>
        <w:tc>
          <w:tcPr>
            <w:tcW w:w="1134" w:type="dxa"/>
            <w:vAlign w:val="center"/>
          </w:tcPr>
          <w:p w:rsidR="00CF0324" w:rsidRDefault="00124A10">
            <w:pPr>
              <w:jc w:val="center"/>
              <w:rPr>
                <w:color w:val="000000"/>
              </w:rPr>
            </w:pPr>
            <w:r>
              <w:rPr>
                <w:color w:val="000000"/>
              </w:rPr>
              <w:t>11855</w:t>
            </w:r>
          </w:p>
        </w:tc>
        <w:tc>
          <w:tcPr>
            <w:tcW w:w="1134" w:type="dxa"/>
            <w:vAlign w:val="center"/>
          </w:tcPr>
          <w:p w:rsidR="00CF0324" w:rsidRDefault="00124A10">
            <w:pPr>
              <w:jc w:val="center"/>
              <w:rPr>
                <w:color w:val="000000"/>
              </w:rPr>
            </w:pPr>
            <w:r>
              <w:rPr>
                <w:color w:val="000000"/>
              </w:rPr>
              <w:t>11974</w:t>
            </w:r>
          </w:p>
        </w:tc>
        <w:tc>
          <w:tcPr>
            <w:tcW w:w="1134" w:type="dxa"/>
            <w:vAlign w:val="center"/>
          </w:tcPr>
          <w:p w:rsidR="00CF0324" w:rsidRDefault="00124A10">
            <w:pPr>
              <w:jc w:val="center"/>
              <w:rPr>
                <w:color w:val="000000"/>
              </w:rPr>
            </w:pPr>
            <w:r>
              <w:rPr>
                <w:color w:val="000000"/>
              </w:rPr>
              <w:t>12093</w:t>
            </w:r>
          </w:p>
        </w:tc>
        <w:tc>
          <w:tcPr>
            <w:tcW w:w="1134" w:type="dxa"/>
            <w:vAlign w:val="center"/>
          </w:tcPr>
          <w:p w:rsidR="00CF0324" w:rsidRDefault="00124A10">
            <w:pPr>
              <w:jc w:val="center"/>
              <w:rPr>
                <w:color w:val="000000"/>
              </w:rPr>
            </w:pPr>
            <w:r>
              <w:rPr>
                <w:color w:val="000000"/>
              </w:rPr>
              <w:t>12213</w:t>
            </w:r>
          </w:p>
        </w:tc>
        <w:tc>
          <w:tcPr>
            <w:tcW w:w="1134" w:type="dxa"/>
            <w:vAlign w:val="center"/>
          </w:tcPr>
          <w:p w:rsidR="00CF0324" w:rsidRDefault="00124A10">
            <w:pPr>
              <w:jc w:val="center"/>
              <w:rPr>
                <w:color w:val="000000"/>
              </w:rPr>
            </w:pPr>
            <w:r>
              <w:rPr>
                <w:color w:val="000000"/>
              </w:rPr>
              <w:t>12950</w:t>
            </w:r>
          </w:p>
        </w:tc>
      </w:tr>
      <w:tr w:rsidR="00CF0324">
        <w:trPr>
          <w:trHeight w:val="1665"/>
        </w:trPr>
        <w:tc>
          <w:tcPr>
            <w:tcW w:w="568" w:type="dxa"/>
            <w:vAlign w:val="center"/>
          </w:tcPr>
          <w:p w:rsidR="00CF0324" w:rsidRDefault="00124A10">
            <w:pPr>
              <w:jc w:val="center"/>
            </w:pPr>
            <w:r>
              <w:t>4</w:t>
            </w:r>
          </w:p>
        </w:tc>
        <w:tc>
          <w:tcPr>
            <w:tcW w:w="3401" w:type="dxa"/>
            <w:vAlign w:val="center"/>
          </w:tcPr>
          <w:p w:rsidR="00CF0324" w:rsidRDefault="00124A10">
            <w:pPr>
              <w:shd w:val="clear" w:color="auto" w:fill="FFFFFF"/>
              <w:rPr>
                <w:color w:val="1A1A1A"/>
              </w:rPr>
            </w:pPr>
            <w:r>
              <w:rPr>
                <w:color w:val="1A1A1A"/>
              </w:rPr>
              <w:t>Численность занятых</w:t>
            </w:r>
          </w:p>
          <w:p w:rsidR="00CF0324" w:rsidRDefault="00124A10">
            <w:pPr>
              <w:shd w:val="clear" w:color="auto" w:fill="FFFFFF"/>
              <w:rPr>
                <w:color w:val="1A1A1A"/>
              </w:rPr>
            </w:pPr>
            <w:r>
              <w:rPr>
                <w:color w:val="1A1A1A"/>
              </w:rPr>
              <w:t>в сфере малого и среднего</w:t>
            </w:r>
          </w:p>
          <w:p w:rsidR="00CF0324" w:rsidRDefault="00124A10">
            <w:pPr>
              <w:shd w:val="clear" w:color="auto" w:fill="FFFFFF"/>
              <w:rPr>
                <w:color w:val="1A1A1A"/>
              </w:rPr>
            </w:pPr>
            <w:r>
              <w:rPr>
                <w:color w:val="1A1A1A"/>
              </w:rPr>
              <w:t>предпринимательства, включая индивидуальных</w:t>
            </w:r>
          </w:p>
          <w:p w:rsidR="00CF0324" w:rsidRDefault="00124A10">
            <w:pPr>
              <w:shd w:val="clear" w:color="auto" w:fill="FFFFFF"/>
              <w:rPr>
                <w:color w:val="1A1A1A"/>
              </w:rPr>
            </w:pPr>
            <w:r>
              <w:rPr>
                <w:color w:val="1A1A1A"/>
              </w:rPr>
              <w:t>предпринимателей и самозанятых</w:t>
            </w:r>
          </w:p>
        </w:tc>
        <w:tc>
          <w:tcPr>
            <w:tcW w:w="1276" w:type="dxa"/>
            <w:vAlign w:val="center"/>
          </w:tcPr>
          <w:p w:rsidR="00CF0324" w:rsidRDefault="00124A10">
            <w:pPr>
              <w:shd w:val="clear" w:color="auto" w:fill="FFFFFF"/>
              <w:jc w:val="center"/>
              <w:rPr>
                <w:color w:val="1A1A1A"/>
              </w:rPr>
            </w:pPr>
            <w:r>
              <w:rPr>
                <w:color w:val="1A1A1A"/>
              </w:rPr>
              <w:t>тыс. человек</w:t>
            </w:r>
          </w:p>
        </w:tc>
        <w:tc>
          <w:tcPr>
            <w:tcW w:w="1134" w:type="dxa"/>
            <w:vAlign w:val="center"/>
          </w:tcPr>
          <w:p w:rsidR="00CF0324" w:rsidRDefault="00124A10">
            <w:pPr>
              <w:jc w:val="center"/>
            </w:pPr>
            <w:r>
              <w:t>2,2</w:t>
            </w:r>
          </w:p>
        </w:tc>
        <w:tc>
          <w:tcPr>
            <w:tcW w:w="1134" w:type="dxa"/>
            <w:vAlign w:val="center"/>
          </w:tcPr>
          <w:p w:rsidR="00CF0324" w:rsidRDefault="00124A10">
            <w:pPr>
              <w:jc w:val="center"/>
            </w:pPr>
            <w:r>
              <w:t>2,2</w:t>
            </w:r>
          </w:p>
        </w:tc>
        <w:tc>
          <w:tcPr>
            <w:tcW w:w="1134" w:type="dxa"/>
            <w:vAlign w:val="center"/>
          </w:tcPr>
          <w:p w:rsidR="00CF0324" w:rsidRDefault="00124A10">
            <w:pPr>
              <w:jc w:val="center"/>
            </w:pPr>
            <w:r>
              <w:t>2,3</w:t>
            </w:r>
          </w:p>
        </w:tc>
        <w:tc>
          <w:tcPr>
            <w:tcW w:w="1134" w:type="dxa"/>
            <w:vAlign w:val="center"/>
          </w:tcPr>
          <w:p w:rsidR="00CF0324" w:rsidRDefault="00124A10">
            <w:pPr>
              <w:jc w:val="center"/>
            </w:pPr>
            <w:r>
              <w:t>2,3</w:t>
            </w:r>
          </w:p>
        </w:tc>
        <w:tc>
          <w:tcPr>
            <w:tcW w:w="1134" w:type="dxa"/>
            <w:vAlign w:val="center"/>
          </w:tcPr>
          <w:p w:rsidR="00CF0324" w:rsidRDefault="00124A10">
            <w:pPr>
              <w:jc w:val="center"/>
            </w:pPr>
            <w:r>
              <w:t>2,3</w:t>
            </w:r>
          </w:p>
        </w:tc>
        <w:tc>
          <w:tcPr>
            <w:tcW w:w="1134" w:type="dxa"/>
            <w:vAlign w:val="center"/>
          </w:tcPr>
          <w:p w:rsidR="00CF0324" w:rsidRDefault="00124A10">
            <w:pPr>
              <w:jc w:val="center"/>
            </w:pPr>
            <w:r>
              <w:t>2,4</w:t>
            </w:r>
          </w:p>
        </w:tc>
        <w:tc>
          <w:tcPr>
            <w:tcW w:w="1134" w:type="dxa"/>
            <w:tcBorders>
              <w:bottom w:val="single" w:sz="4" w:space="0" w:color="000000"/>
            </w:tcBorders>
            <w:vAlign w:val="center"/>
          </w:tcPr>
          <w:p w:rsidR="00CF0324" w:rsidRDefault="00124A10">
            <w:pPr>
              <w:jc w:val="center"/>
            </w:pPr>
            <w:r>
              <w:t>2,4</w:t>
            </w:r>
          </w:p>
        </w:tc>
        <w:tc>
          <w:tcPr>
            <w:tcW w:w="1134" w:type="dxa"/>
            <w:tcBorders>
              <w:bottom w:val="single" w:sz="4" w:space="0" w:color="000000"/>
            </w:tcBorders>
            <w:vAlign w:val="center"/>
          </w:tcPr>
          <w:p w:rsidR="00CF0324" w:rsidRDefault="00124A10">
            <w:pPr>
              <w:jc w:val="center"/>
            </w:pPr>
            <w:r>
              <w:t>2,4</w:t>
            </w:r>
          </w:p>
        </w:tc>
        <w:tc>
          <w:tcPr>
            <w:tcW w:w="1134" w:type="dxa"/>
            <w:tcBorders>
              <w:bottom w:val="single" w:sz="4" w:space="0" w:color="000000"/>
            </w:tcBorders>
            <w:vAlign w:val="center"/>
          </w:tcPr>
          <w:p w:rsidR="00CF0324" w:rsidRDefault="00124A10">
            <w:pPr>
              <w:jc w:val="center"/>
            </w:pPr>
            <w:r>
              <w:t>2,7</w:t>
            </w:r>
          </w:p>
        </w:tc>
      </w:tr>
      <w:tr w:rsidR="00CF0324">
        <w:tc>
          <w:tcPr>
            <w:tcW w:w="568" w:type="dxa"/>
            <w:vAlign w:val="center"/>
          </w:tcPr>
          <w:p w:rsidR="00CF0324" w:rsidRDefault="00124A10">
            <w:pPr>
              <w:jc w:val="center"/>
            </w:pPr>
            <w:r>
              <w:t>5</w:t>
            </w:r>
          </w:p>
        </w:tc>
        <w:tc>
          <w:tcPr>
            <w:tcW w:w="3401" w:type="dxa"/>
            <w:vAlign w:val="center"/>
          </w:tcPr>
          <w:p w:rsidR="00CF0324" w:rsidRDefault="00124A10">
            <w:pPr>
              <w:jc w:val="both"/>
            </w:pPr>
            <w:r>
              <w:t>Номинальная начисленная заработная плата на одного работника организации</w:t>
            </w:r>
          </w:p>
        </w:tc>
        <w:tc>
          <w:tcPr>
            <w:tcW w:w="1276" w:type="dxa"/>
            <w:vAlign w:val="center"/>
          </w:tcPr>
          <w:p w:rsidR="00CF0324" w:rsidRDefault="00124A10">
            <w:pPr>
              <w:jc w:val="center"/>
            </w:pPr>
            <w:r>
              <w:t>руб.</w:t>
            </w:r>
          </w:p>
        </w:tc>
        <w:tc>
          <w:tcPr>
            <w:tcW w:w="1134" w:type="dxa"/>
            <w:vAlign w:val="center"/>
          </w:tcPr>
          <w:p w:rsidR="00CF0324" w:rsidRDefault="00124A10">
            <w:pPr>
              <w:jc w:val="center"/>
              <w:rPr>
                <w:color w:val="000000"/>
              </w:rPr>
            </w:pPr>
            <w:r>
              <w:rPr>
                <w:color w:val="000000"/>
              </w:rPr>
              <w:t>92792,9</w:t>
            </w:r>
          </w:p>
        </w:tc>
        <w:tc>
          <w:tcPr>
            <w:tcW w:w="1134" w:type="dxa"/>
            <w:vAlign w:val="center"/>
          </w:tcPr>
          <w:p w:rsidR="00CF0324" w:rsidRDefault="00124A10">
            <w:pPr>
              <w:jc w:val="center"/>
              <w:rPr>
                <w:color w:val="000000"/>
              </w:rPr>
            </w:pPr>
            <w:r>
              <w:rPr>
                <w:color w:val="000000"/>
              </w:rPr>
              <w:t>96968,6</w:t>
            </w:r>
          </w:p>
        </w:tc>
        <w:tc>
          <w:tcPr>
            <w:tcW w:w="1134" w:type="dxa"/>
            <w:vAlign w:val="center"/>
          </w:tcPr>
          <w:p w:rsidR="00CF0324" w:rsidRDefault="00124A10">
            <w:pPr>
              <w:jc w:val="center"/>
              <w:rPr>
                <w:color w:val="000000"/>
              </w:rPr>
            </w:pPr>
            <w:r>
              <w:rPr>
                <w:color w:val="000000"/>
              </w:rPr>
              <w:t>101332,2</w:t>
            </w:r>
          </w:p>
        </w:tc>
        <w:tc>
          <w:tcPr>
            <w:tcW w:w="1134" w:type="dxa"/>
            <w:vAlign w:val="center"/>
          </w:tcPr>
          <w:p w:rsidR="00CF0324" w:rsidRDefault="00124A10">
            <w:pPr>
              <w:jc w:val="center"/>
              <w:rPr>
                <w:color w:val="000000"/>
              </w:rPr>
            </w:pPr>
            <w:r>
              <w:rPr>
                <w:color w:val="000000"/>
              </w:rPr>
              <w:t>105892,1</w:t>
            </w:r>
          </w:p>
        </w:tc>
        <w:tc>
          <w:tcPr>
            <w:tcW w:w="1134" w:type="dxa"/>
            <w:vAlign w:val="center"/>
          </w:tcPr>
          <w:p w:rsidR="00CF0324" w:rsidRDefault="00124A10">
            <w:pPr>
              <w:jc w:val="center"/>
              <w:rPr>
                <w:color w:val="000000"/>
              </w:rPr>
            </w:pPr>
            <w:r>
              <w:rPr>
                <w:color w:val="000000"/>
              </w:rPr>
              <w:t>101819,3</w:t>
            </w:r>
          </w:p>
        </w:tc>
        <w:tc>
          <w:tcPr>
            <w:tcW w:w="1134" w:type="dxa"/>
            <w:vAlign w:val="center"/>
          </w:tcPr>
          <w:p w:rsidR="00CF0324" w:rsidRDefault="00124A10">
            <w:pPr>
              <w:jc w:val="center"/>
              <w:rPr>
                <w:color w:val="000000"/>
              </w:rPr>
            </w:pPr>
            <w:r>
              <w:rPr>
                <w:color w:val="000000"/>
              </w:rPr>
              <w:t>106401,2</w:t>
            </w:r>
          </w:p>
        </w:tc>
        <w:tc>
          <w:tcPr>
            <w:tcW w:w="1134" w:type="dxa"/>
            <w:vAlign w:val="center"/>
          </w:tcPr>
          <w:p w:rsidR="00CF0324" w:rsidRDefault="00124A10">
            <w:pPr>
              <w:jc w:val="center"/>
              <w:rPr>
                <w:color w:val="000000"/>
              </w:rPr>
            </w:pPr>
            <w:r>
              <w:rPr>
                <w:color w:val="000000"/>
              </w:rPr>
              <w:t>111721,3</w:t>
            </w:r>
          </w:p>
        </w:tc>
        <w:tc>
          <w:tcPr>
            <w:tcW w:w="1134" w:type="dxa"/>
            <w:vAlign w:val="center"/>
          </w:tcPr>
          <w:p w:rsidR="00CF0324" w:rsidRDefault="00124A10">
            <w:pPr>
              <w:jc w:val="center"/>
              <w:rPr>
                <w:color w:val="000000"/>
              </w:rPr>
            </w:pPr>
            <w:r>
              <w:rPr>
                <w:color w:val="000000"/>
              </w:rPr>
              <w:t>116190,1</w:t>
            </w:r>
          </w:p>
        </w:tc>
        <w:tc>
          <w:tcPr>
            <w:tcW w:w="1134" w:type="dxa"/>
            <w:vAlign w:val="center"/>
          </w:tcPr>
          <w:p w:rsidR="00CF0324" w:rsidRDefault="00124A10">
            <w:pPr>
              <w:jc w:val="center"/>
              <w:rPr>
                <w:color w:val="000000"/>
                <w:lang w:val="en-US"/>
              </w:rPr>
            </w:pPr>
            <w:r>
              <w:rPr>
                <w:color w:val="000000"/>
              </w:rPr>
              <w:t>146399,5</w:t>
            </w:r>
          </w:p>
        </w:tc>
      </w:tr>
      <w:tr w:rsidR="00CF0324">
        <w:tc>
          <w:tcPr>
            <w:tcW w:w="568" w:type="dxa"/>
            <w:vAlign w:val="center"/>
          </w:tcPr>
          <w:p w:rsidR="00CF0324" w:rsidRDefault="00124A10">
            <w:pPr>
              <w:jc w:val="center"/>
              <w:rPr>
                <w:color w:val="000000"/>
              </w:rPr>
            </w:pPr>
            <w:r>
              <w:rPr>
                <w:color w:val="000000"/>
              </w:rPr>
              <w:t>6</w:t>
            </w:r>
          </w:p>
        </w:tc>
        <w:tc>
          <w:tcPr>
            <w:tcW w:w="3401" w:type="dxa"/>
            <w:vAlign w:val="center"/>
          </w:tcPr>
          <w:p w:rsidR="00CF0324" w:rsidRDefault="00124A10">
            <w:pPr>
              <w:jc w:val="both"/>
              <w:rPr>
                <w:color w:val="000000"/>
              </w:rPr>
            </w:pPr>
            <w:r>
              <w:rPr>
                <w:color w:val="000000"/>
              </w:rPr>
              <w:t>Уровень регистрируемой безработицы на конец периода</w:t>
            </w:r>
          </w:p>
        </w:tc>
        <w:tc>
          <w:tcPr>
            <w:tcW w:w="1276" w:type="dxa"/>
            <w:vAlign w:val="center"/>
          </w:tcPr>
          <w:p w:rsidR="00CF0324" w:rsidRDefault="00124A10">
            <w:pPr>
              <w:jc w:val="center"/>
              <w:rPr>
                <w:color w:val="000000"/>
              </w:rPr>
            </w:pPr>
            <w:r>
              <w:rPr>
                <w:color w:val="000000"/>
              </w:rPr>
              <w:t>%</w:t>
            </w:r>
          </w:p>
        </w:tc>
        <w:tc>
          <w:tcPr>
            <w:tcW w:w="1134" w:type="dxa"/>
            <w:vAlign w:val="center"/>
          </w:tcPr>
          <w:p w:rsidR="00CF0324" w:rsidRDefault="00124A10">
            <w:pPr>
              <w:jc w:val="center"/>
            </w:pPr>
            <w:r>
              <w:t>2,04</w:t>
            </w:r>
          </w:p>
        </w:tc>
        <w:tc>
          <w:tcPr>
            <w:tcW w:w="1134" w:type="dxa"/>
            <w:vAlign w:val="center"/>
          </w:tcPr>
          <w:p w:rsidR="00CF0324" w:rsidRDefault="00124A10">
            <w:pPr>
              <w:jc w:val="center"/>
            </w:pPr>
            <w:r>
              <w:t>1,98</w:t>
            </w:r>
          </w:p>
        </w:tc>
        <w:tc>
          <w:tcPr>
            <w:tcW w:w="1134" w:type="dxa"/>
            <w:vAlign w:val="center"/>
          </w:tcPr>
          <w:p w:rsidR="00CF0324" w:rsidRDefault="00124A10">
            <w:pPr>
              <w:jc w:val="center"/>
            </w:pPr>
            <w:r>
              <w:t>1,92</w:t>
            </w:r>
          </w:p>
        </w:tc>
        <w:tc>
          <w:tcPr>
            <w:tcW w:w="1134" w:type="dxa"/>
            <w:vAlign w:val="center"/>
          </w:tcPr>
          <w:p w:rsidR="00CF0324" w:rsidRDefault="00124A10">
            <w:pPr>
              <w:jc w:val="center"/>
            </w:pPr>
            <w:r>
              <w:t>1,91</w:t>
            </w:r>
          </w:p>
        </w:tc>
        <w:tc>
          <w:tcPr>
            <w:tcW w:w="1134" w:type="dxa"/>
            <w:vAlign w:val="center"/>
          </w:tcPr>
          <w:p w:rsidR="00CF0324" w:rsidRDefault="00124A10">
            <w:pPr>
              <w:jc w:val="center"/>
            </w:pPr>
            <w:r>
              <w:t>1,89</w:t>
            </w:r>
          </w:p>
        </w:tc>
        <w:tc>
          <w:tcPr>
            <w:tcW w:w="1134" w:type="dxa"/>
            <w:vAlign w:val="center"/>
          </w:tcPr>
          <w:p w:rsidR="00CF0324" w:rsidRDefault="00124A10">
            <w:pPr>
              <w:jc w:val="center"/>
            </w:pPr>
            <w:r>
              <w:t>1,85</w:t>
            </w:r>
          </w:p>
        </w:tc>
        <w:tc>
          <w:tcPr>
            <w:tcW w:w="1134" w:type="dxa"/>
            <w:vAlign w:val="center"/>
          </w:tcPr>
          <w:p w:rsidR="00CF0324" w:rsidRDefault="00124A10">
            <w:pPr>
              <w:jc w:val="center"/>
            </w:pPr>
            <w:r>
              <w:t>1,8</w:t>
            </w:r>
          </w:p>
        </w:tc>
        <w:tc>
          <w:tcPr>
            <w:tcW w:w="1134" w:type="dxa"/>
            <w:vAlign w:val="center"/>
          </w:tcPr>
          <w:p w:rsidR="00CF0324" w:rsidRDefault="00124A10">
            <w:pPr>
              <w:jc w:val="center"/>
            </w:pPr>
            <w:r>
              <w:t>1,78</w:t>
            </w:r>
          </w:p>
        </w:tc>
        <w:tc>
          <w:tcPr>
            <w:tcW w:w="1134" w:type="dxa"/>
            <w:vAlign w:val="center"/>
          </w:tcPr>
          <w:p w:rsidR="00CF0324" w:rsidRDefault="00124A10">
            <w:pPr>
              <w:jc w:val="center"/>
            </w:pPr>
            <w:r>
              <w:t>1,62</w:t>
            </w:r>
          </w:p>
        </w:tc>
      </w:tr>
      <w:tr w:rsidR="00CF0324">
        <w:tc>
          <w:tcPr>
            <w:tcW w:w="15451" w:type="dxa"/>
            <w:gridSpan w:val="12"/>
            <w:vAlign w:val="center"/>
          </w:tcPr>
          <w:p w:rsidR="00CF0324" w:rsidRDefault="00124A10">
            <w:pPr>
              <w:jc w:val="center"/>
              <w:rPr>
                <w:color w:val="000000"/>
              </w:rPr>
            </w:pPr>
            <w:r>
              <w:rPr>
                <w:color w:val="000000"/>
              </w:rPr>
              <w:t>Реальный сектор экономики</w:t>
            </w:r>
          </w:p>
        </w:tc>
      </w:tr>
      <w:tr w:rsidR="00CF0324">
        <w:tc>
          <w:tcPr>
            <w:tcW w:w="568" w:type="dxa"/>
            <w:vAlign w:val="center"/>
          </w:tcPr>
          <w:p w:rsidR="00CF0324" w:rsidRDefault="00124A10">
            <w:pPr>
              <w:jc w:val="center"/>
            </w:pPr>
            <w:r>
              <w:t>7</w:t>
            </w:r>
          </w:p>
        </w:tc>
        <w:tc>
          <w:tcPr>
            <w:tcW w:w="3401" w:type="dxa"/>
            <w:vAlign w:val="center"/>
          </w:tcPr>
          <w:p w:rsidR="00CF0324" w:rsidRDefault="00124A10">
            <w:pPr>
              <w:jc w:val="both"/>
            </w:pPr>
            <w:r>
              <w:t>Объем отгруженных товаров собственного производства, выполненных работ (услуг) по кругу крупных и средних организаций промышленности</w:t>
            </w:r>
          </w:p>
        </w:tc>
        <w:tc>
          <w:tcPr>
            <w:tcW w:w="1276" w:type="dxa"/>
            <w:vAlign w:val="center"/>
          </w:tcPr>
          <w:p w:rsidR="00CF0324" w:rsidRDefault="00124A10">
            <w:pPr>
              <w:jc w:val="center"/>
            </w:pPr>
            <w:r>
              <w:t>млн. руб.</w:t>
            </w:r>
          </w:p>
        </w:tc>
        <w:tc>
          <w:tcPr>
            <w:tcW w:w="1134" w:type="dxa"/>
            <w:vAlign w:val="center"/>
          </w:tcPr>
          <w:p w:rsidR="00CF0324" w:rsidRDefault="00124A10">
            <w:pPr>
              <w:jc w:val="center"/>
            </w:pPr>
            <w:r>
              <w:t>263261,3</w:t>
            </w:r>
          </w:p>
        </w:tc>
        <w:tc>
          <w:tcPr>
            <w:tcW w:w="1134" w:type="dxa"/>
            <w:vAlign w:val="center"/>
          </w:tcPr>
          <w:p w:rsidR="00CF0324" w:rsidRDefault="00124A10">
            <w:pPr>
              <w:jc w:val="center"/>
            </w:pPr>
            <w:r>
              <w:t>282286,8</w:t>
            </w:r>
          </w:p>
        </w:tc>
        <w:tc>
          <w:tcPr>
            <w:tcW w:w="1134" w:type="dxa"/>
            <w:vAlign w:val="center"/>
          </w:tcPr>
          <w:p w:rsidR="00CF0324" w:rsidRDefault="00124A10">
            <w:pPr>
              <w:jc w:val="center"/>
            </w:pPr>
            <w:r>
              <w:t>302707,8</w:t>
            </w:r>
          </w:p>
        </w:tc>
        <w:tc>
          <w:tcPr>
            <w:tcW w:w="1134" w:type="dxa"/>
            <w:vAlign w:val="center"/>
          </w:tcPr>
          <w:p w:rsidR="00CF0324" w:rsidRDefault="00124A10">
            <w:pPr>
              <w:jc w:val="center"/>
            </w:pPr>
            <w:r>
              <w:t>327721,0</w:t>
            </w:r>
          </w:p>
        </w:tc>
        <w:tc>
          <w:tcPr>
            <w:tcW w:w="1134" w:type="dxa"/>
            <w:vAlign w:val="center"/>
          </w:tcPr>
          <w:p w:rsidR="00CF0324" w:rsidRDefault="00124A10">
            <w:pPr>
              <w:jc w:val="center"/>
            </w:pPr>
            <w:r>
              <w:t>354594,1</w:t>
            </w:r>
          </w:p>
        </w:tc>
        <w:tc>
          <w:tcPr>
            <w:tcW w:w="1134" w:type="dxa"/>
            <w:vAlign w:val="center"/>
          </w:tcPr>
          <w:p w:rsidR="00CF0324" w:rsidRDefault="00124A10">
            <w:pPr>
              <w:jc w:val="center"/>
            </w:pPr>
            <w:r>
              <w:t>380124,9</w:t>
            </w:r>
          </w:p>
        </w:tc>
        <w:tc>
          <w:tcPr>
            <w:tcW w:w="1134" w:type="dxa"/>
            <w:vAlign w:val="center"/>
          </w:tcPr>
          <w:p w:rsidR="00CF0324" w:rsidRDefault="00124A10">
            <w:pPr>
              <w:jc w:val="center"/>
            </w:pPr>
            <w:r>
              <w:t>407493,9</w:t>
            </w:r>
          </w:p>
        </w:tc>
        <w:tc>
          <w:tcPr>
            <w:tcW w:w="1134" w:type="dxa"/>
            <w:vAlign w:val="center"/>
          </w:tcPr>
          <w:p w:rsidR="00CF0324" w:rsidRDefault="00124A10">
            <w:pPr>
              <w:jc w:val="center"/>
            </w:pPr>
            <w:r>
              <w:t>436833,4</w:t>
            </w:r>
          </w:p>
        </w:tc>
        <w:tc>
          <w:tcPr>
            <w:tcW w:w="1134" w:type="dxa"/>
            <w:vAlign w:val="center"/>
          </w:tcPr>
          <w:p w:rsidR="00CF0324" w:rsidRDefault="00124A10">
            <w:pPr>
              <w:jc w:val="center"/>
            </w:pPr>
            <w:r>
              <w:t>646513,5</w:t>
            </w:r>
          </w:p>
        </w:tc>
      </w:tr>
      <w:tr w:rsidR="00CF0324">
        <w:tc>
          <w:tcPr>
            <w:tcW w:w="568" w:type="dxa"/>
            <w:vAlign w:val="center"/>
          </w:tcPr>
          <w:p w:rsidR="00CF0324" w:rsidRDefault="00124A10">
            <w:pPr>
              <w:jc w:val="center"/>
            </w:pPr>
            <w:r>
              <w:lastRenderedPageBreak/>
              <w:t>8</w:t>
            </w:r>
          </w:p>
        </w:tc>
        <w:tc>
          <w:tcPr>
            <w:tcW w:w="3401" w:type="dxa"/>
            <w:vAlign w:val="center"/>
          </w:tcPr>
          <w:p w:rsidR="00CF0324" w:rsidRDefault="00124A10">
            <w:pPr>
              <w:shd w:val="clear" w:color="auto" w:fill="FFFFFF"/>
              <w:rPr>
                <w:color w:val="1A1A1A"/>
              </w:rPr>
            </w:pPr>
            <w:r>
              <w:rPr>
                <w:color w:val="1A1A1A"/>
              </w:rPr>
              <w:t>Индекс производства продукции сельского хозяйства, процентов предыдущему году</w:t>
            </w:r>
          </w:p>
        </w:tc>
        <w:tc>
          <w:tcPr>
            <w:tcW w:w="1276" w:type="dxa"/>
            <w:vAlign w:val="center"/>
          </w:tcPr>
          <w:p w:rsidR="00CF0324" w:rsidRDefault="00124A10">
            <w:pPr>
              <w:jc w:val="center"/>
            </w:pPr>
            <w:r>
              <w:t>%</w:t>
            </w:r>
          </w:p>
        </w:tc>
        <w:tc>
          <w:tcPr>
            <w:tcW w:w="1134" w:type="dxa"/>
            <w:vAlign w:val="center"/>
          </w:tcPr>
          <w:p w:rsidR="00CF0324" w:rsidRDefault="00124A10">
            <w:pPr>
              <w:jc w:val="center"/>
            </w:pPr>
            <w:r>
              <w:t>104,3</w:t>
            </w:r>
          </w:p>
        </w:tc>
        <w:tc>
          <w:tcPr>
            <w:tcW w:w="1134" w:type="dxa"/>
            <w:vAlign w:val="center"/>
          </w:tcPr>
          <w:p w:rsidR="00CF0324" w:rsidRDefault="00124A10">
            <w:pPr>
              <w:jc w:val="center"/>
            </w:pPr>
            <w:r>
              <w:t>102,8</w:t>
            </w:r>
          </w:p>
        </w:tc>
        <w:tc>
          <w:tcPr>
            <w:tcW w:w="1134" w:type="dxa"/>
            <w:vAlign w:val="center"/>
          </w:tcPr>
          <w:p w:rsidR="00CF0324" w:rsidRDefault="00124A10">
            <w:pPr>
              <w:jc w:val="center"/>
            </w:pPr>
            <w:r>
              <w:t>101,9</w:t>
            </w:r>
          </w:p>
        </w:tc>
        <w:tc>
          <w:tcPr>
            <w:tcW w:w="1134" w:type="dxa"/>
            <w:vAlign w:val="center"/>
          </w:tcPr>
          <w:p w:rsidR="00CF0324" w:rsidRDefault="00124A10">
            <w:pPr>
              <w:jc w:val="center"/>
            </w:pPr>
            <w:r>
              <w:t>101,9</w:t>
            </w:r>
          </w:p>
        </w:tc>
        <w:tc>
          <w:tcPr>
            <w:tcW w:w="1134" w:type="dxa"/>
            <w:vAlign w:val="center"/>
          </w:tcPr>
          <w:p w:rsidR="00CF0324" w:rsidRDefault="00124A10">
            <w:pPr>
              <w:jc w:val="center"/>
            </w:pPr>
            <w:r>
              <w:t>102,3</w:t>
            </w:r>
          </w:p>
        </w:tc>
        <w:tc>
          <w:tcPr>
            <w:tcW w:w="1134" w:type="dxa"/>
            <w:vAlign w:val="center"/>
          </w:tcPr>
          <w:p w:rsidR="00CF0324" w:rsidRDefault="00124A10">
            <w:pPr>
              <w:jc w:val="center"/>
            </w:pPr>
            <w:r>
              <w:t>102,5</w:t>
            </w:r>
          </w:p>
        </w:tc>
        <w:tc>
          <w:tcPr>
            <w:tcW w:w="1134" w:type="dxa"/>
            <w:vAlign w:val="center"/>
          </w:tcPr>
          <w:p w:rsidR="00CF0324" w:rsidRDefault="00124A10">
            <w:pPr>
              <w:jc w:val="center"/>
            </w:pPr>
            <w:r>
              <w:t>102,8</w:t>
            </w:r>
          </w:p>
        </w:tc>
        <w:tc>
          <w:tcPr>
            <w:tcW w:w="1134" w:type="dxa"/>
            <w:vAlign w:val="center"/>
          </w:tcPr>
          <w:p w:rsidR="00CF0324" w:rsidRDefault="00124A10">
            <w:pPr>
              <w:jc w:val="center"/>
            </w:pPr>
            <w:r>
              <w:t>103,2</w:t>
            </w:r>
          </w:p>
        </w:tc>
        <w:tc>
          <w:tcPr>
            <w:tcW w:w="1134" w:type="dxa"/>
            <w:vAlign w:val="center"/>
          </w:tcPr>
          <w:p w:rsidR="00CF0324" w:rsidRDefault="00124A10">
            <w:pPr>
              <w:jc w:val="center"/>
            </w:pPr>
            <w:r>
              <w:t>103,6</w:t>
            </w:r>
          </w:p>
        </w:tc>
      </w:tr>
      <w:tr w:rsidR="00CF0324">
        <w:tc>
          <w:tcPr>
            <w:tcW w:w="15451" w:type="dxa"/>
            <w:gridSpan w:val="12"/>
            <w:vAlign w:val="center"/>
          </w:tcPr>
          <w:p w:rsidR="00CF0324" w:rsidRDefault="00124A10">
            <w:pPr>
              <w:jc w:val="center"/>
            </w:pPr>
            <w:r>
              <w:t>Инвестиции</w:t>
            </w:r>
          </w:p>
        </w:tc>
      </w:tr>
      <w:tr w:rsidR="00CF0324">
        <w:tc>
          <w:tcPr>
            <w:tcW w:w="568" w:type="dxa"/>
            <w:vAlign w:val="center"/>
          </w:tcPr>
          <w:p w:rsidR="00CF0324" w:rsidRDefault="00124A10">
            <w:pPr>
              <w:jc w:val="both"/>
            </w:pPr>
            <w:r>
              <w:t>9</w:t>
            </w:r>
          </w:p>
        </w:tc>
        <w:tc>
          <w:tcPr>
            <w:tcW w:w="3401" w:type="dxa"/>
            <w:vAlign w:val="center"/>
          </w:tcPr>
          <w:p w:rsidR="00CF0324" w:rsidRDefault="00124A10">
            <w:pPr>
              <w:jc w:val="both"/>
            </w:pPr>
            <w:r>
              <w:t>Объем инвестиций в основной капитал за счет всех источников финансирования в текущих ценах</w:t>
            </w:r>
          </w:p>
        </w:tc>
        <w:tc>
          <w:tcPr>
            <w:tcW w:w="1276" w:type="dxa"/>
            <w:vAlign w:val="center"/>
          </w:tcPr>
          <w:p w:rsidR="00CF0324" w:rsidRDefault="00124A10">
            <w:pPr>
              <w:jc w:val="center"/>
            </w:pPr>
            <w:r>
              <w:t>млн. руб.</w:t>
            </w:r>
          </w:p>
        </w:tc>
        <w:tc>
          <w:tcPr>
            <w:tcW w:w="1134" w:type="dxa"/>
            <w:vAlign w:val="center"/>
          </w:tcPr>
          <w:p w:rsidR="00CF0324" w:rsidRDefault="00124A10">
            <w:pPr>
              <w:jc w:val="center"/>
            </w:pPr>
            <w:r>
              <w:t>66382,53</w:t>
            </w:r>
          </w:p>
        </w:tc>
        <w:tc>
          <w:tcPr>
            <w:tcW w:w="1134" w:type="dxa"/>
            <w:vAlign w:val="center"/>
          </w:tcPr>
          <w:p w:rsidR="00CF0324" w:rsidRDefault="00124A10">
            <w:pPr>
              <w:jc w:val="center"/>
            </w:pPr>
            <w:r>
              <w:t>71632,63</w:t>
            </w:r>
          </w:p>
        </w:tc>
        <w:tc>
          <w:tcPr>
            <w:tcW w:w="1134" w:type="dxa"/>
            <w:vAlign w:val="center"/>
          </w:tcPr>
          <w:p w:rsidR="00CF0324" w:rsidRDefault="00124A10">
            <w:pPr>
              <w:jc w:val="center"/>
            </w:pPr>
            <w:r>
              <w:t>76981,13</w:t>
            </w:r>
          </w:p>
        </w:tc>
        <w:tc>
          <w:tcPr>
            <w:tcW w:w="1134" w:type="dxa"/>
            <w:vAlign w:val="center"/>
          </w:tcPr>
          <w:p w:rsidR="00CF0324" w:rsidRDefault="00124A10">
            <w:pPr>
              <w:jc w:val="center"/>
            </w:pPr>
            <w:r>
              <w:t>83486,48</w:t>
            </w:r>
          </w:p>
        </w:tc>
        <w:tc>
          <w:tcPr>
            <w:tcW w:w="1134" w:type="dxa"/>
            <w:vAlign w:val="center"/>
          </w:tcPr>
          <w:p w:rsidR="00CF0324" w:rsidRDefault="00124A10">
            <w:pPr>
              <w:jc w:val="center"/>
            </w:pPr>
            <w:r>
              <w:t>89748,0</w:t>
            </w:r>
          </w:p>
        </w:tc>
        <w:tc>
          <w:tcPr>
            <w:tcW w:w="1134" w:type="dxa"/>
            <w:vAlign w:val="center"/>
          </w:tcPr>
          <w:p w:rsidR="00CF0324" w:rsidRDefault="00124A10">
            <w:pPr>
              <w:jc w:val="center"/>
            </w:pPr>
            <w:r>
              <w:t>96748,3</w:t>
            </w:r>
          </w:p>
        </w:tc>
        <w:tc>
          <w:tcPr>
            <w:tcW w:w="1134" w:type="dxa"/>
            <w:vAlign w:val="center"/>
          </w:tcPr>
          <w:p w:rsidR="00CF0324" w:rsidRDefault="00124A10">
            <w:pPr>
              <w:jc w:val="center"/>
            </w:pPr>
            <w:r>
              <w:t>104004,4</w:t>
            </w:r>
          </w:p>
        </w:tc>
        <w:tc>
          <w:tcPr>
            <w:tcW w:w="1134" w:type="dxa"/>
            <w:vAlign w:val="center"/>
          </w:tcPr>
          <w:p w:rsidR="00CF0324" w:rsidRDefault="00124A10">
            <w:pPr>
              <w:jc w:val="center"/>
            </w:pPr>
            <w:r>
              <w:t>111804,8</w:t>
            </w:r>
          </w:p>
        </w:tc>
        <w:tc>
          <w:tcPr>
            <w:tcW w:w="1134" w:type="dxa"/>
            <w:vAlign w:val="center"/>
          </w:tcPr>
          <w:p w:rsidR="00CF0324" w:rsidRDefault="00124A10">
            <w:pPr>
              <w:jc w:val="center"/>
            </w:pPr>
            <w:r>
              <w:t>158762,8</w:t>
            </w:r>
          </w:p>
        </w:tc>
      </w:tr>
      <w:tr w:rsidR="00CF0324">
        <w:tc>
          <w:tcPr>
            <w:tcW w:w="15451" w:type="dxa"/>
            <w:gridSpan w:val="12"/>
            <w:vAlign w:val="center"/>
          </w:tcPr>
          <w:p w:rsidR="00CF0324" w:rsidRDefault="00124A10">
            <w:pPr>
              <w:jc w:val="center"/>
              <w:rPr>
                <w:color w:val="000000"/>
              </w:rPr>
            </w:pPr>
            <w:r>
              <w:rPr>
                <w:color w:val="000000"/>
              </w:rPr>
              <w:t>Физическая культура и спорт</w:t>
            </w:r>
          </w:p>
        </w:tc>
      </w:tr>
      <w:tr w:rsidR="00CF0324">
        <w:tc>
          <w:tcPr>
            <w:tcW w:w="568" w:type="dxa"/>
            <w:vAlign w:val="center"/>
          </w:tcPr>
          <w:p w:rsidR="00CF0324" w:rsidRDefault="00124A10">
            <w:pPr>
              <w:jc w:val="center"/>
            </w:pPr>
            <w:r>
              <w:t>10</w:t>
            </w:r>
          </w:p>
        </w:tc>
        <w:tc>
          <w:tcPr>
            <w:tcW w:w="3401" w:type="dxa"/>
            <w:vAlign w:val="center"/>
          </w:tcPr>
          <w:p w:rsidR="00CF0324" w:rsidRDefault="00124A10">
            <w:pPr>
              <w:jc w:val="both"/>
            </w:pPr>
            <w:r>
              <w:t>Доля граждан систематически занимающихся физической культурой и спортом</w:t>
            </w:r>
          </w:p>
        </w:tc>
        <w:tc>
          <w:tcPr>
            <w:tcW w:w="1276" w:type="dxa"/>
            <w:vAlign w:val="center"/>
          </w:tcPr>
          <w:p w:rsidR="00CF0324" w:rsidRDefault="00124A10">
            <w:pPr>
              <w:jc w:val="center"/>
            </w:pPr>
            <w:r>
              <w:t>%</w:t>
            </w:r>
          </w:p>
        </w:tc>
        <w:tc>
          <w:tcPr>
            <w:tcW w:w="1134" w:type="dxa"/>
            <w:vAlign w:val="center"/>
          </w:tcPr>
          <w:p w:rsidR="00CF0324" w:rsidRDefault="00124A10">
            <w:pPr>
              <w:jc w:val="center"/>
              <w:rPr>
                <w:color w:val="000000"/>
              </w:rPr>
            </w:pPr>
            <w:r>
              <w:rPr>
                <w:color w:val="000000"/>
              </w:rPr>
              <w:t>61</w:t>
            </w:r>
          </w:p>
        </w:tc>
        <w:tc>
          <w:tcPr>
            <w:tcW w:w="1134" w:type="dxa"/>
            <w:vAlign w:val="center"/>
          </w:tcPr>
          <w:p w:rsidR="00CF0324" w:rsidRDefault="00124A10">
            <w:pPr>
              <w:jc w:val="center"/>
              <w:rPr>
                <w:color w:val="000000"/>
              </w:rPr>
            </w:pPr>
            <w:r>
              <w:rPr>
                <w:color w:val="000000"/>
              </w:rPr>
              <w:t>67</w:t>
            </w:r>
          </w:p>
        </w:tc>
        <w:tc>
          <w:tcPr>
            <w:tcW w:w="1134" w:type="dxa"/>
            <w:vAlign w:val="center"/>
          </w:tcPr>
          <w:p w:rsidR="00CF0324" w:rsidRDefault="00124A10">
            <w:pPr>
              <w:jc w:val="center"/>
              <w:rPr>
                <w:color w:val="000000"/>
              </w:rPr>
            </w:pPr>
            <w:r>
              <w:rPr>
                <w:color w:val="000000"/>
              </w:rPr>
              <w:t>72</w:t>
            </w:r>
          </w:p>
        </w:tc>
        <w:tc>
          <w:tcPr>
            <w:tcW w:w="1134" w:type="dxa"/>
            <w:vAlign w:val="center"/>
          </w:tcPr>
          <w:p w:rsidR="00CF0324" w:rsidRDefault="00124A10">
            <w:pPr>
              <w:jc w:val="center"/>
            </w:pPr>
            <w:r>
              <w:rPr>
                <w:color w:val="000000"/>
              </w:rPr>
              <w:t>72</w:t>
            </w:r>
          </w:p>
        </w:tc>
        <w:tc>
          <w:tcPr>
            <w:tcW w:w="1134" w:type="dxa"/>
            <w:vAlign w:val="center"/>
          </w:tcPr>
          <w:p w:rsidR="00CF0324" w:rsidRDefault="00124A10">
            <w:pPr>
              <w:jc w:val="center"/>
            </w:pPr>
            <w:r>
              <w:rPr>
                <w:color w:val="000000"/>
              </w:rPr>
              <w:t>72</w:t>
            </w:r>
          </w:p>
        </w:tc>
        <w:tc>
          <w:tcPr>
            <w:tcW w:w="1134" w:type="dxa"/>
            <w:vAlign w:val="center"/>
          </w:tcPr>
          <w:p w:rsidR="00CF0324" w:rsidRDefault="00124A10">
            <w:pPr>
              <w:jc w:val="center"/>
            </w:pPr>
            <w:r>
              <w:rPr>
                <w:color w:val="000000"/>
              </w:rPr>
              <w:t>72</w:t>
            </w:r>
          </w:p>
        </w:tc>
        <w:tc>
          <w:tcPr>
            <w:tcW w:w="1134" w:type="dxa"/>
            <w:vAlign w:val="center"/>
          </w:tcPr>
          <w:p w:rsidR="00CF0324" w:rsidRDefault="00124A10">
            <w:pPr>
              <w:jc w:val="center"/>
            </w:pPr>
            <w:r>
              <w:rPr>
                <w:color w:val="000000"/>
              </w:rPr>
              <w:t>72</w:t>
            </w:r>
          </w:p>
        </w:tc>
        <w:tc>
          <w:tcPr>
            <w:tcW w:w="1134" w:type="dxa"/>
            <w:vAlign w:val="center"/>
          </w:tcPr>
          <w:p w:rsidR="00CF0324" w:rsidRDefault="00124A10">
            <w:pPr>
              <w:jc w:val="center"/>
            </w:pPr>
            <w:r>
              <w:rPr>
                <w:color w:val="000000"/>
              </w:rPr>
              <w:t>72</w:t>
            </w:r>
          </w:p>
        </w:tc>
        <w:tc>
          <w:tcPr>
            <w:tcW w:w="1134" w:type="dxa"/>
            <w:vAlign w:val="center"/>
          </w:tcPr>
          <w:p w:rsidR="00CF0324" w:rsidRDefault="00124A10">
            <w:pPr>
              <w:jc w:val="center"/>
            </w:pPr>
            <w:r>
              <w:rPr>
                <w:color w:val="000000"/>
              </w:rPr>
              <w:t>72</w:t>
            </w:r>
          </w:p>
        </w:tc>
      </w:tr>
      <w:tr w:rsidR="00CF0324">
        <w:tc>
          <w:tcPr>
            <w:tcW w:w="568" w:type="dxa"/>
            <w:vAlign w:val="center"/>
          </w:tcPr>
          <w:p w:rsidR="00CF0324" w:rsidRDefault="00124A10">
            <w:pPr>
              <w:jc w:val="center"/>
            </w:pPr>
            <w:r>
              <w:t>11</w:t>
            </w:r>
          </w:p>
        </w:tc>
        <w:tc>
          <w:tcPr>
            <w:tcW w:w="3401" w:type="dxa"/>
            <w:vAlign w:val="center"/>
          </w:tcPr>
          <w:p w:rsidR="00CF0324" w:rsidRDefault="00124A10">
            <w:pPr>
              <w:shd w:val="clear" w:color="auto" w:fill="FFFFFF"/>
              <w:rPr>
                <w:color w:val="1A1A1A"/>
              </w:rPr>
            </w:pPr>
            <w:r>
              <w:rPr>
                <w:color w:val="1A1A1A"/>
              </w:rPr>
              <w:t>Уровень обеспеченности</w:t>
            </w:r>
          </w:p>
          <w:p w:rsidR="00CF0324" w:rsidRDefault="00124A10">
            <w:pPr>
              <w:shd w:val="clear" w:color="auto" w:fill="FFFFFF"/>
              <w:rPr>
                <w:color w:val="1A1A1A"/>
              </w:rPr>
            </w:pPr>
            <w:r>
              <w:rPr>
                <w:color w:val="1A1A1A"/>
              </w:rPr>
              <w:t>граждан спортивными</w:t>
            </w:r>
          </w:p>
          <w:p w:rsidR="00CF0324" w:rsidRDefault="00124A10">
            <w:pPr>
              <w:shd w:val="clear" w:color="auto" w:fill="FFFFFF"/>
              <w:rPr>
                <w:color w:val="1A1A1A"/>
              </w:rPr>
            </w:pPr>
            <w:r>
              <w:rPr>
                <w:color w:val="1A1A1A"/>
              </w:rPr>
              <w:t>сооружениями, исходя из</w:t>
            </w:r>
          </w:p>
          <w:p w:rsidR="00CF0324" w:rsidRDefault="00124A10">
            <w:pPr>
              <w:shd w:val="clear" w:color="auto" w:fill="FFFFFF"/>
              <w:rPr>
                <w:color w:val="1A1A1A"/>
              </w:rPr>
            </w:pPr>
            <w:r>
              <w:rPr>
                <w:color w:val="1A1A1A"/>
              </w:rPr>
              <w:t>единовременной пропускной</w:t>
            </w:r>
          </w:p>
          <w:p w:rsidR="00CF0324" w:rsidRDefault="00124A10">
            <w:pPr>
              <w:shd w:val="clear" w:color="auto" w:fill="FFFFFF"/>
              <w:rPr>
                <w:color w:val="1A1A1A"/>
              </w:rPr>
            </w:pPr>
            <w:r>
              <w:rPr>
                <w:color w:val="1A1A1A"/>
              </w:rPr>
              <w:t>способности объектов спорта</w:t>
            </w:r>
          </w:p>
        </w:tc>
        <w:tc>
          <w:tcPr>
            <w:tcW w:w="1276" w:type="dxa"/>
            <w:vAlign w:val="center"/>
          </w:tcPr>
          <w:p w:rsidR="00CF0324" w:rsidRDefault="00124A10">
            <w:pPr>
              <w:jc w:val="center"/>
            </w:pPr>
            <w:r>
              <w:t>%</w:t>
            </w:r>
          </w:p>
        </w:tc>
        <w:tc>
          <w:tcPr>
            <w:tcW w:w="1134" w:type="dxa"/>
            <w:vAlign w:val="center"/>
          </w:tcPr>
          <w:p w:rsidR="00CF0324" w:rsidRDefault="00124A10">
            <w:pPr>
              <w:jc w:val="center"/>
              <w:rPr>
                <w:color w:val="000000"/>
              </w:rPr>
            </w:pPr>
            <w:r>
              <w:rPr>
                <w:color w:val="000000"/>
              </w:rPr>
              <w:t>85,9</w:t>
            </w:r>
          </w:p>
        </w:tc>
        <w:tc>
          <w:tcPr>
            <w:tcW w:w="1134" w:type="dxa"/>
            <w:vAlign w:val="center"/>
          </w:tcPr>
          <w:p w:rsidR="00CF0324" w:rsidRDefault="00124A10">
            <w:pPr>
              <w:jc w:val="center"/>
              <w:rPr>
                <w:color w:val="000000"/>
              </w:rPr>
            </w:pPr>
            <w:r>
              <w:rPr>
                <w:color w:val="000000"/>
              </w:rPr>
              <w:t>86</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rPr>
            </w:pPr>
            <w:r>
              <w:rPr>
                <w:color w:val="000000"/>
              </w:rPr>
              <w:t>86,5</w:t>
            </w:r>
          </w:p>
        </w:tc>
        <w:tc>
          <w:tcPr>
            <w:tcW w:w="1134" w:type="dxa"/>
            <w:vAlign w:val="center"/>
          </w:tcPr>
          <w:p w:rsidR="00CF0324" w:rsidRDefault="00124A10">
            <w:pPr>
              <w:jc w:val="center"/>
              <w:rPr>
                <w:color w:val="000000"/>
                <w:lang w:val="en-US"/>
              </w:rPr>
            </w:pPr>
            <w:r>
              <w:rPr>
                <w:color w:val="000000"/>
              </w:rPr>
              <w:t>86,5</w:t>
            </w:r>
          </w:p>
        </w:tc>
      </w:tr>
      <w:tr w:rsidR="00CF0324">
        <w:tc>
          <w:tcPr>
            <w:tcW w:w="15451" w:type="dxa"/>
            <w:gridSpan w:val="12"/>
            <w:vAlign w:val="center"/>
          </w:tcPr>
          <w:p w:rsidR="00CF0324" w:rsidRDefault="00124A10">
            <w:pPr>
              <w:jc w:val="center"/>
              <w:rPr>
                <w:color w:val="000000"/>
              </w:rPr>
            </w:pPr>
            <w:r>
              <w:t>Жилье</w:t>
            </w:r>
          </w:p>
        </w:tc>
      </w:tr>
      <w:tr w:rsidR="00CF0324">
        <w:tc>
          <w:tcPr>
            <w:tcW w:w="568" w:type="dxa"/>
            <w:vAlign w:val="center"/>
          </w:tcPr>
          <w:p w:rsidR="00CF0324" w:rsidRDefault="00124A10">
            <w:pPr>
              <w:jc w:val="center"/>
            </w:pPr>
            <w:r>
              <w:t>12</w:t>
            </w:r>
          </w:p>
        </w:tc>
        <w:tc>
          <w:tcPr>
            <w:tcW w:w="3401" w:type="dxa"/>
            <w:vAlign w:val="center"/>
          </w:tcPr>
          <w:p w:rsidR="00CF0324" w:rsidRDefault="00124A10">
            <w:pPr>
              <w:shd w:val="clear" w:color="auto" w:fill="FFFFFF"/>
            </w:pPr>
            <w:r>
              <w:t>Объем</w:t>
            </w:r>
          </w:p>
          <w:p w:rsidR="00CF0324" w:rsidRDefault="00124A10">
            <w:pPr>
              <w:shd w:val="clear" w:color="auto" w:fill="FFFFFF"/>
            </w:pPr>
            <w:r>
              <w:t>жилищного</w:t>
            </w:r>
          </w:p>
          <w:p w:rsidR="00CF0324" w:rsidRDefault="00124A10">
            <w:pPr>
              <w:shd w:val="clear" w:color="auto" w:fill="FFFFFF"/>
            </w:pPr>
            <w:r>
              <w:t>строительства (ввод жилья)</w:t>
            </w:r>
          </w:p>
        </w:tc>
        <w:tc>
          <w:tcPr>
            <w:tcW w:w="1276" w:type="dxa"/>
            <w:vAlign w:val="center"/>
          </w:tcPr>
          <w:p w:rsidR="00CF0324" w:rsidRDefault="00124A10">
            <w:pPr>
              <w:jc w:val="center"/>
            </w:pPr>
            <w:r>
              <w:t>тыс. кв. м.</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c>
          <w:tcPr>
            <w:tcW w:w="1134" w:type="dxa"/>
            <w:vAlign w:val="center"/>
          </w:tcPr>
          <w:p w:rsidR="00CF0324" w:rsidRDefault="00124A10">
            <w:pPr>
              <w:jc w:val="center"/>
            </w:pPr>
            <w:r>
              <w:t>15</w:t>
            </w:r>
          </w:p>
        </w:tc>
      </w:tr>
      <w:tr w:rsidR="00CF0324">
        <w:tc>
          <w:tcPr>
            <w:tcW w:w="568" w:type="dxa"/>
            <w:vAlign w:val="center"/>
          </w:tcPr>
          <w:p w:rsidR="00CF0324" w:rsidRDefault="00124A10">
            <w:pPr>
              <w:jc w:val="center"/>
            </w:pPr>
            <w:r>
              <w:t>13</w:t>
            </w:r>
          </w:p>
        </w:tc>
        <w:tc>
          <w:tcPr>
            <w:tcW w:w="3401" w:type="dxa"/>
            <w:vAlign w:val="center"/>
          </w:tcPr>
          <w:p w:rsidR="00CF0324" w:rsidRDefault="00124A10">
            <w:pPr>
              <w:shd w:val="clear" w:color="auto" w:fill="FFFFFF"/>
            </w:pPr>
            <w:r>
              <w:t>Количество квадратных</w:t>
            </w:r>
          </w:p>
          <w:p w:rsidR="00CF0324" w:rsidRDefault="00124A10">
            <w:pPr>
              <w:shd w:val="clear" w:color="auto" w:fill="FFFFFF"/>
            </w:pPr>
            <w:r>
              <w:t>метров расселенного</w:t>
            </w:r>
          </w:p>
          <w:p w:rsidR="00CF0324" w:rsidRDefault="00124A10">
            <w:pPr>
              <w:shd w:val="clear" w:color="auto" w:fill="FFFFFF"/>
            </w:pPr>
            <w:r>
              <w:t>аварийного жилищного</w:t>
            </w:r>
          </w:p>
          <w:p w:rsidR="00CF0324" w:rsidRDefault="00124A10">
            <w:pPr>
              <w:shd w:val="clear" w:color="auto" w:fill="FFFFFF"/>
            </w:pPr>
            <w:r>
              <w:t>фонда</w:t>
            </w:r>
          </w:p>
        </w:tc>
        <w:tc>
          <w:tcPr>
            <w:tcW w:w="1276" w:type="dxa"/>
            <w:vAlign w:val="center"/>
          </w:tcPr>
          <w:p w:rsidR="00CF0324" w:rsidRDefault="00124A10">
            <w:pPr>
              <w:jc w:val="center"/>
            </w:pPr>
            <w:r>
              <w:t>тыс. кв. м</w:t>
            </w:r>
          </w:p>
        </w:tc>
        <w:tc>
          <w:tcPr>
            <w:tcW w:w="1134" w:type="dxa"/>
            <w:vAlign w:val="center"/>
          </w:tcPr>
          <w:p w:rsidR="00CF0324" w:rsidRDefault="00124A10">
            <w:pPr>
              <w:jc w:val="center"/>
            </w:pPr>
            <w:r>
              <w:t>8,55</w:t>
            </w:r>
          </w:p>
        </w:tc>
        <w:tc>
          <w:tcPr>
            <w:tcW w:w="1134" w:type="dxa"/>
            <w:vAlign w:val="center"/>
          </w:tcPr>
          <w:p w:rsidR="00CF0324" w:rsidRDefault="00124A10">
            <w:pPr>
              <w:jc w:val="center"/>
            </w:pPr>
            <w:r>
              <w:t>9,08</w:t>
            </w:r>
          </w:p>
        </w:tc>
        <w:tc>
          <w:tcPr>
            <w:tcW w:w="1134" w:type="dxa"/>
            <w:vAlign w:val="center"/>
          </w:tcPr>
          <w:p w:rsidR="00CF0324" w:rsidRDefault="00124A10">
            <w:pPr>
              <w:jc w:val="center"/>
            </w:pPr>
            <w:r>
              <w:t>9,64</w:t>
            </w:r>
          </w:p>
        </w:tc>
        <w:tc>
          <w:tcPr>
            <w:tcW w:w="1134" w:type="dxa"/>
            <w:vAlign w:val="center"/>
          </w:tcPr>
          <w:p w:rsidR="00CF0324" w:rsidRDefault="00124A10">
            <w:pPr>
              <w:jc w:val="center"/>
            </w:pPr>
            <w:r>
              <w:t>11,25</w:t>
            </w:r>
          </w:p>
        </w:tc>
        <w:tc>
          <w:tcPr>
            <w:tcW w:w="1134" w:type="dxa"/>
            <w:vAlign w:val="center"/>
          </w:tcPr>
          <w:p w:rsidR="00CF0324" w:rsidRDefault="00124A10">
            <w:pPr>
              <w:jc w:val="center"/>
            </w:pPr>
            <w:r>
              <w:t>14,63</w:t>
            </w:r>
          </w:p>
        </w:tc>
        <w:tc>
          <w:tcPr>
            <w:tcW w:w="1134" w:type="dxa"/>
            <w:vAlign w:val="center"/>
          </w:tcPr>
          <w:p w:rsidR="00CF0324" w:rsidRDefault="00124A10">
            <w:pPr>
              <w:jc w:val="center"/>
            </w:pPr>
            <w:r>
              <w:t>15,93</w:t>
            </w:r>
          </w:p>
        </w:tc>
        <w:tc>
          <w:tcPr>
            <w:tcW w:w="1134" w:type="dxa"/>
            <w:vAlign w:val="center"/>
          </w:tcPr>
          <w:p w:rsidR="00CF0324" w:rsidRDefault="00124A10">
            <w:pPr>
              <w:jc w:val="center"/>
            </w:pPr>
            <w:r>
              <w:t>17,22</w:t>
            </w:r>
          </w:p>
        </w:tc>
        <w:tc>
          <w:tcPr>
            <w:tcW w:w="1134" w:type="dxa"/>
            <w:vAlign w:val="center"/>
          </w:tcPr>
          <w:p w:rsidR="00CF0324" w:rsidRDefault="00124A10">
            <w:pPr>
              <w:jc w:val="center"/>
            </w:pPr>
            <w:r>
              <w:t>12,45</w:t>
            </w:r>
          </w:p>
        </w:tc>
        <w:tc>
          <w:tcPr>
            <w:tcW w:w="1134" w:type="dxa"/>
            <w:vAlign w:val="center"/>
          </w:tcPr>
          <w:p w:rsidR="00CF0324" w:rsidRDefault="00124A10">
            <w:pPr>
              <w:jc w:val="center"/>
            </w:pPr>
            <w:r>
              <w:t>17,55</w:t>
            </w:r>
          </w:p>
        </w:tc>
      </w:tr>
      <w:tr w:rsidR="00CF0324">
        <w:tc>
          <w:tcPr>
            <w:tcW w:w="568" w:type="dxa"/>
            <w:vAlign w:val="center"/>
          </w:tcPr>
          <w:p w:rsidR="00CF0324" w:rsidRDefault="00124A10">
            <w:pPr>
              <w:jc w:val="center"/>
            </w:pPr>
            <w:r>
              <w:t>14</w:t>
            </w:r>
          </w:p>
        </w:tc>
        <w:tc>
          <w:tcPr>
            <w:tcW w:w="3401" w:type="dxa"/>
            <w:vAlign w:val="center"/>
          </w:tcPr>
          <w:p w:rsidR="00CF0324" w:rsidRDefault="00124A10">
            <w:pPr>
              <w:shd w:val="clear" w:color="auto" w:fill="FFFFFF"/>
              <w:rPr>
                <w:color w:val="1A1A1A"/>
              </w:rPr>
            </w:pPr>
            <w:r>
              <w:rPr>
                <w:color w:val="1A1A1A"/>
              </w:rPr>
              <w:t>Доля населения Кондинского</w:t>
            </w:r>
          </w:p>
          <w:p w:rsidR="00CF0324" w:rsidRDefault="00124A10">
            <w:pPr>
              <w:shd w:val="clear" w:color="auto" w:fill="FFFFFF"/>
              <w:rPr>
                <w:color w:val="1A1A1A"/>
              </w:rPr>
            </w:pPr>
            <w:r>
              <w:rPr>
                <w:color w:val="1A1A1A"/>
              </w:rPr>
              <w:t>района, обеспеченного</w:t>
            </w:r>
          </w:p>
          <w:p w:rsidR="00CF0324" w:rsidRDefault="00124A10">
            <w:pPr>
              <w:shd w:val="clear" w:color="auto" w:fill="FFFFFF"/>
              <w:rPr>
                <w:color w:val="1A1A1A"/>
              </w:rPr>
            </w:pPr>
            <w:r>
              <w:rPr>
                <w:color w:val="1A1A1A"/>
              </w:rPr>
              <w:t>качественной питьевой водой из систем централизованного</w:t>
            </w:r>
          </w:p>
          <w:p w:rsidR="00CF0324" w:rsidRDefault="00124A10">
            <w:pPr>
              <w:shd w:val="clear" w:color="auto" w:fill="FFFFFF"/>
              <w:rPr>
                <w:color w:val="1A1A1A"/>
              </w:rPr>
            </w:pPr>
            <w:r>
              <w:rPr>
                <w:color w:val="1A1A1A"/>
              </w:rPr>
              <w:t>водоснабжения</w:t>
            </w:r>
          </w:p>
        </w:tc>
        <w:tc>
          <w:tcPr>
            <w:tcW w:w="1276" w:type="dxa"/>
            <w:vAlign w:val="center"/>
          </w:tcPr>
          <w:p w:rsidR="00CF0324" w:rsidRDefault="00124A10">
            <w:pPr>
              <w:jc w:val="center"/>
              <w:rPr>
                <w:color w:val="1A1A1A"/>
              </w:rPr>
            </w:pPr>
            <w:r>
              <w:rPr>
                <w:color w:val="1A1A1A"/>
              </w:rPr>
              <w:t>%</w:t>
            </w:r>
          </w:p>
        </w:tc>
        <w:tc>
          <w:tcPr>
            <w:tcW w:w="1134" w:type="dxa"/>
            <w:vAlign w:val="center"/>
          </w:tcPr>
          <w:p w:rsidR="00CF0324" w:rsidRDefault="00124A10">
            <w:pPr>
              <w:jc w:val="center"/>
              <w:rPr>
                <w:color w:val="000000"/>
              </w:rPr>
            </w:pPr>
            <w:r>
              <w:rPr>
                <w:color w:val="000000"/>
              </w:rPr>
              <w:t>87,1</w:t>
            </w:r>
          </w:p>
        </w:tc>
        <w:tc>
          <w:tcPr>
            <w:tcW w:w="1134" w:type="dxa"/>
            <w:vAlign w:val="center"/>
          </w:tcPr>
          <w:p w:rsidR="00CF0324" w:rsidRDefault="00124A10">
            <w:pPr>
              <w:jc w:val="center"/>
              <w:rPr>
                <w:color w:val="000000"/>
              </w:rPr>
            </w:pPr>
            <w:r>
              <w:rPr>
                <w:color w:val="000000"/>
              </w:rPr>
              <w:t>88,1</w:t>
            </w:r>
          </w:p>
        </w:tc>
        <w:tc>
          <w:tcPr>
            <w:tcW w:w="1134" w:type="dxa"/>
            <w:vAlign w:val="center"/>
          </w:tcPr>
          <w:p w:rsidR="00CF0324" w:rsidRDefault="00124A10">
            <w:pPr>
              <w:jc w:val="center"/>
            </w:pPr>
            <w:r>
              <w:rPr>
                <w:color w:val="000000"/>
              </w:rPr>
              <w:t>88,1</w:t>
            </w:r>
          </w:p>
        </w:tc>
        <w:tc>
          <w:tcPr>
            <w:tcW w:w="1134" w:type="dxa"/>
            <w:vAlign w:val="center"/>
          </w:tcPr>
          <w:p w:rsidR="00CF0324" w:rsidRDefault="00124A10">
            <w:pPr>
              <w:jc w:val="center"/>
            </w:pPr>
            <w:r>
              <w:rPr>
                <w:color w:val="000000"/>
              </w:rPr>
              <w:t>88,1</w:t>
            </w:r>
          </w:p>
        </w:tc>
        <w:tc>
          <w:tcPr>
            <w:tcW w:w="1134" w:type="dxa"/>
            <w:vAlign w:val="center"/>
          </w:tcPr>
          <w:p w:rsidR="00CF0324" w:rsidRDefault="00124A10">
            <w:pPr>
              <w:jc w:val="center"/>
            </w:pPr>
            <w:r>
              <w:rPr>
                <w:color w:val="000000"/>
              </w:rPr>
              <w:t>88,1</w:t>
            </w:r>
          </w:p>
        </w:tc>
        <w:tc>
          <w:tcPr>
            <w:tcW w:w="1134" w:type="dxa"/>
            <w:vAlign w:val="center"/>
          </w:tcPr>
          <w:p w:rsidR="00CF0324" w:rsidRDefault="00124A10">
            <w:pPr>
              <w:jc w:val="center"/>
            </w:pPr>
            <w:r>
              <w:rPr>
                <w:color w:val="000000"/>
              </w:rPr>
              <w:t>88,1</w:t>
            </w:r>
          </w:p>
        </w:tc>
        <w:tc>
          <w:tcPr>
            <w:tcW w:w="1134" w:type="dxa"/>
            <w:vAlign w:val="center"/>
          </w:tcPr>
          <w:p w:rsidR="00CF0324" w:rsidRDefault="00124A10">
            <w:pPr>
              <w:jc w:val="center"/>
            </w:pPr>
            <w:r>
              <w:rPr>
                <w:color w:val="000000"/>
              </w:rPr>
              <w:t>88,1</w:t>
            </w:r>
          </w:p>
        </w:tc>
        <w:tc>
          <w:tcPr>
            <w:tcW w:w="1134" w:type="dxa"/>
            <w:vAlign w:val="center"/>
          </w:tcPr>
          <w:p w:rsidR="00CF0324" w:rsidRDefault="00124A10">
            <w:pPr>
              <w:jc w:val="center"/>
              <w:rPr>
                <w:color w:val="000000"/>
              </w:rPr>
            </w:pPr>
            <w:r>
              <w:rPr>
                <w:color w:val="000000"/>
              </w:rPr>
              <w:t>88,1</w:t>
            </w:r>
          </w:p>
        </w:tc>
        <w:tc>
          <w:tcPr>
            <w:tcW w:w="1134" w:type="dxa"/>
            <w:vAlign w:val="center"/>
          </w:tcPr>
          <w:p w:rsidR="00CF0324" w:rsidRDefault="00124A10">
            <w:pPr>
              <w:jc w:val="center"/>
              <w:rPr>
                <w:color w:val="000000"/>
              </w:rPr>
            </w:pPr>
            <w:r>
              <w:rPr>
                <w:color w:val="000000"/>
              </w:rPr>
              <w:t>100</w:t>
            </w:r>
          </w:p>
        </w:tc>
      </w:tr>
      <w:tr w:rsidR="00CF0324">
        <w:tc>
          <w:tcPr>
            <w:tcW w:w="15451" w:type="dxa"/>
            <w:gridSpan w:val="12"/>
            <w:vAlign w:val="center"/>
          </w:tcPr>
          <w:p w:rsidR="00CF0324" w:rsidRDefault="00124A10">
            <w:pPr>
              <w:jc w:val="center"/>
              <w:rPr>
                <w:color w:val="000000"/>
              </w:rPr>
            </w:pPr>
            <w:r>
              <w:rPr>
                <w:color w:val="000000"/>
              </w:rPr>
              <w:t>Гражданское общество</w:t>
            </w:r>
          </w:p>
        </w:tc>
      </w:tr>
      <w:tr w:rsidR="00CF0324">
        <w:tc>
          <w:tcPr>
            <w:tcW w:w="568" w:type="dxa"/>
            <w:vAlign w:val="center"/>
          </w:tcPr>
          <w:p w:rsidR="00CF0324" w:rsidRDefault="00124A10">
            <w:pPr>
              <w:jc w:val="center"/>
            </w:pPr>
            <w:r>
              <w:lastRenderedPageBreak/>
              <w:t>15</w:t>
            </w:r>
          </w:p>
        </w:tc>
        <w:tc>
          <w:tcPr>
            <w:tcW w:w="3401" w:type="dxa"/>
            <w:vAlign w:val="center"/>
          </w:tcPr>
          <w:p w:rsidR="00CF0324" w:rsidRDefault="00124A10">
            <w:pPr>
              <w:pStyle w:val="afe"/>
              <w:spacing w:before="0" w:beforeAutospacing="0" w:after="0" w:afterAutospacing="0" w:line="180" w:lineRule="atLeast"/>
            </w:pPr>
            <w: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Кондинском районе,</w:t>
            </w:r>
          </w:p>
          <w:p w:rsidR="00CF0324" w:rsidRDefault="00124A10">
            <w:pPr>
              <w:pStyle w:val="afe"/>
              <w:spacing w:before="0" w:beforeAutospacing="0" w:after="0" w:afterAutospacing="0" w:line="180" w:lineRule="atLeast"/>
            </w:pPr>
            <w:r>
              <w:t>человек</w:t>
            </w:r>
          </w:p>
        </w:tc>
        <w:tc>
          <w:tcPr>
            <w:tcW w:w="1276" w:type="dxa"/>
            <w:vAlign w:val="center"/>
          </w:tcPr>
          <w:p w:rsidR="00CF0324" w:rsidRDefault="00124A10">
            <w:pPr>
              <w:shd w:val="clear" w:color="auto" w:fill="FFFFFF"/>
              <w:rPr>
                <w:color w:val="1A1A1A"/>
              </w:rPr>
            </w:pPr>
            <w:r>
              <w:rPr>
                <w:color w:val="1A1A1A"/>
              </w:rPr>
              <w:t>человек</w:t>
            </w:r>
          </w:p>
          <w:p w:rsidR="00CF0324" w:rsidRDefault="00CF0324">
            <w:pPr>
              <w:jc w:val="center"/>
            </w:pPr>
          </w:p>
        </w:tc>
        <w:tc>
          <w:tcPr>
            <w:tcW w:w="1134" w:type="dxa"/>
            <w:vAlign w:val="center"/>
          </w:tcPr>
          <w:p w:rsidR="00CF0324" w:rsidRDefault="00124A10">
            <w:pPr>
              <w:jc w:val="center"/>
              <w:rPr>
                <w:color w:val="000000"/>
              </w:rPr>
            </w:pPr>
            <w:r>
              <w:rPr>
                <w:color w:val="000000"/>
              </w:rPr>
              <w:t>4171</w:t>
            </w:r>
          </w:p>
        </w:tc>
        <w:tc>
          <w:tcPr>
            <w:tcW w:w="1134" w:type="dxa"/>
            <w:vAlign w:val="center"/>
          </w:tcPr>
          <w:p w:rsidR="00CF0324" w:rsidRDefault="00124A10">
            <w:pPr>
              <w:jc w:val="center"/>
              <w:rPr>
                <w:color w:val="000000"/>
              </w:rPr>
            </w:pPr>
            <w:r>
              <w:rPr>
                <w:color w:val="000000"/>
              </w:rPr>
              <w:t>4200</w:t>
            </w:r>
          </w:p>
        </w:tc>
        <w:tc>
          <w:tcPr>
            <w:tcW w:w="1134" w:type="dxa"/>
            <w:vAlign w:val="center"/>
          </w:tcPr>
          <w:p w:rsidR="00CF0324" w:rsidRDefault="00124A10">
            <w:pPr>
              <w:jc w:val="center"/>
              <w:rPr>
                <w:color w:val="000000"/>
              </w:rPr>
            </w:pPr>
            <w:r>
              <w:rPr>
                <w:color w:val="000000"/>
              </w:rPr>
              <w:t>4300</w:t>
            </w:r>
          </w:p>
        </w:tc>
        <w:tc>
          <w:tcPr>
            <w:tcW w:w="1134" w:type="dxa"/>
            <w:vAlign w:val="center"/>
          </w:tcPr>
          <w:p w:rsidR="00CF0324" w:rsidRDefault="00124A10">
            <w:pPr>
              <w:jc w:val="center"/>
              <w:rPr>
                <w:color w:val="000000"/>
              </w:rPr>
            </w:pPr>
            <w:r>
              <w:rPr>
                <w:color w:val="000000"/>
              </w:rPr>
              <w:t>4320</w:t>
            </w:r>
          </w:p>
        </w:tc>
        <w:tc>
          <w:tcPr>
            <w:tcW w:w="1134" w:type="dxa"/>
            <w:vAlign w:val="center"/>
          </w:tcPr>
          <w:p w:rsidR="00CF0324" w:rsidRDefault="00124A10">
            <w:pPr>
              <w:jc w:val="center"/>
              <w:rPr>
                <w:color w:val="000000"/>
              </w:rPr>
            </w:pPr>
            <w:r>
              <w:rPr>
                <w:color w:val="000000"/>
              </w:rPr>
              <w:t>4340</w:t>
            </w:r>
          </w:p>
        </w:tc>
        <w:tc>
          <w:tcPr>
            <w:tcW w:w="1134" w:type="dxa"/>
            <w:vAlign w:val="center"/>
          </w:tcPr>
          <w:p w:rsidR="00CF0324" w:rsidRDefault="00124A10">
            <w:pPr>
              <w:jc w:val="center"/>
              <w:rPr>
                <w:color w:val="000000"/>
              </w:rPr>
            </w:pPr>
            <w:r>
              <w:rPr>
                <w:color w:val="000000"/>
              </w:rPr>
              <w:t>4352</w:t>
            </w:r>
          </w:p>
        </w:tc>
        <w:tc>
          <w:tcPr>
            <w:tcW w:w="1134" w:type="dxa"/>
            <w:vAlign w:val="center"/>
          </w:tcPr>
          <w:p w:rsidR="00CF0324" w:rsidRDefault="00124A10">
            <w:pPr>
              <w:jc w:val="center"/>
              <w:rPr>
                <w:color w:val="000000"/>
              </w:rPr>
            </w:pPr>
            <w:r>
              <w:rPr>
                <w:color w:val="000000"/>
              </w:rPr>
              <w:t>4365</w:t>
            </w:r>
          </w:p>
        </w:tc>
        <w:tc>
          <w:tcPr>
            <w:tcW w:w="1134" w:type="dxa"/>
            <w:vAlign w:val="center"/>
          </w:tcPr>
          <w:p w:rsidR="00CF0324" w:rsidRDefault="00124A10">
            <w:pPr>
              <w:jc w:val="center"/>
              <w:rPr>
                <w:color w:val="000000"/>
              </w:rPr>
            </w:pPr>
            <w:r>
              <w:rPr>
                <w:color w:val="000000"/>
              </w:rPr>
              <w:t>4373</w:t>
            </w:r>
          </w:p>
        </w:tc>
        <w:tc>
          <w:tcPr>
            <w:tcW w:w="1134" w:type="dxa"/>
            <w:vAlign w:val="center"/>
          </w:tcPr>
          <w:p w:rsidR="00CF0324" w:rsidRDefault="00124A10">
            <w:pPr>
              <w:jc w:val="center"/>
              <w:rPr>
                <w:color w:val="000000"/>
              </w:rPr>
            </w:pPr>
            <w:r>
              <w:rPr>
                <w:color w:val="000000"/>
              </w:rPr>
              <w:t>4800</w:t>
            </w:r>
          </w:p>
        </w:tc>
      </w:tr>
      <w:tr w:rsidR="00CF0324">
        <w:tc>
          <w:tcPr>
            <w:tcW w:w="15451" w:type="dxa"/>
            <w:gridSpan w:val="12"/>
            <w:vAlign w:val="center"/>
          </w:tcPr>
          <w:p w:rsidR="00CF0324" w:rsidRDefault="00124A10">
            <w:pPr>
              <w:jc w:val="center"/>
              <w:rPr>
                <w:color w:val="000000"/>
              </w:rPr>
            </w:pPr>
            <w:r>
              <w:rPr>
                <w:color w:val="000000"/>
              </w:rPr>
              <w:t>Образование</w:t>
            </w:r>
          </w:p>
        </w:tc>
      </w:tr>
      <w:tr w:rsidR="00CF0324">
        <w:tc>
          <w:tcPr>
            <w:tcW w:w="568" w:type="dxa"/>
            <w:vAlign w:val="center"/>
          </w:tcPr>
          <w:p w:rsidR="00CF0324" w:rsidRDefault="00124A10">
            <w:pPr>
              <w:jc w:val="center"/>
            </w:pPr>
            <w:r>
              <w:t>18</w:t>
            </w:r>
          </w:p>
        </w:tc>
        <w:tc>
          <w:tcPr>
            <w:tcW w:w="3401" w:type="dxa"/>
            <w:vAlign w:val="center"/>
          </w:tcPr>
          <w:p w:rsidR="00CF0324" w:rsidRDefault="00124A10">
            <w:pPr>
              <w:shd w:val="clear" w:color="auto" w:fill="FFFFFF"/>
              <w:rPr>
                <w:color w:val="1A1A1A"/>
              </w:rPr>
            </w:pPr>
            <w:r>
              <w:rPr>
                <w:color w:val="1A1A1A"/>
              </w:rPr>
              <w:t>Доля педагогических</w:t>
            </w:r>
          </w:p>
          <w:p w:rsidR="00CF0324" w:rsidRDefault="00124A10">
            <w:pPr>
              <w:shd w:val="clear" w:color="auto" w:fill="FFFFFF"/>
              <w:rPr>
                <w:color w:val="1A1A1A"/>
              </w:rPr>
            </w:pPr>
            <w:r>
              <w:rPr>
                <w:color w:val="1A1A1A"/>
              </w:rPr>
              <w:t>работников</w:t>
            </w:r>
          </w:p>
          <w:p w:rsidR="00CF0324" w:rsidRDefault="00124A10">
            <w:pPr>
              <w:shd w:val="clear" w:color="auto" w:fill="FFFFFF"/>
              <w:rPr>
                <w:color w:val="1A1A1A"/>
              </w:rPr>
            </w:pPr>
            <w:r>
              <w:rPr>
                <w:color w:val="1A1A1A"/>
              </w:rPr>
              <w:t>общеобразовательных</w:t>
            </w:r>
          </w:p>
          <w:p w:rsidR="00CF0324" w:rsidRDefault="00124A10">
            <w:pPr>
              <w:shd w:val="clear" w:color="auto" w:fill="FFFFFF"/>
              <w:rPr>
                <w:color w:val="1A1A1A"/>
              </w:rPr>
            </w:pPr>
            <w:r>
              <w:rPr>
                <w:color w:val="1A1A1A"/>
              </w:rPr>
              <w:t>организаций,</w:t>
            </w:r>
          </w:p>
          <w:p w:rsidR="00CF0324" w:rsidRDefault="00124A10">
            <w:pPr>
              <w:shd w:val="clear" w:color="auto" w:fill="FFFFFF"/>
              <w:rPr>
                <w:color w:val="1A1A1A"/>
              </w:rPr>
            </w:pPr>
            <w:r>
              <w:rPr>
                <w:color w:val="1A1A1A"/>
              </w:rPr>
              <w:t>прошедших</w:t>
            </w:r>
          </w:p>
          <w:p w:rsidR="00CF0324" w:rsidRDefault="00124A10">
            <w:pPr>
              <w:shd w:val="clear" w:color="auto" w:fill="FFFFFF"/>
              <w:rPr>
                <w:color w:val="1A1A1A"/>
              </w:rPr>
            </w:pPr>
            <w:r>
              <w:rPr>
                <w:color w:val="1A1A1A"/>
              </w:rPr>
              <w:t>повышение</w:t>
            </w:r>
          </w:p>
          <w:p w:rsidR="00CF0324" w:rsidRDefault="00124A10">
            <w:pPr>
              <w:shd w:val="clear" w:color="auto" w:fill="FFFFFF"/>
              <w:rPr>
                <w:color w:val="1A1A1A"/>
              </w:rPr>
            </w:pPr>
            <w:r>
              <w:rPr>
                <w:color w:val="1A1A1A"/>
              </w:rPr>
              <w:t>квалификации,</w:t>
            </w:r>
          </w:p>
          <w:p w:rsidR="00CF0324" w:rsidRDefault="00124A10">
            <w:pPr>
              <w:shd w:val="clear" w:color="auto" w:fill="FFFFFF"/>
              <w:rPr>
                <w:color w:val="1A1A1A"/>
              </w:rPr>
            </w:pPr>
            <w:r>
              <w:rPr>
                <w:color w:val="1A1A1A"/>
              </w:rPr>
              <w:t>в том числе в центрах</w:t>
            </w:r>
          </w:p>
          <w:p w:rsidR="00CF0324" w:rsidRDefault="00124A10">
            <w:pPr>
              <w:shd w:val="clear" w:color="auto" w:fill="FFFFFF"/>
              <w:rPr>
                <w:color w:val="1A1A1A"/>
              </w:rPr>
            </w:pPr>
            <w:r>
              <w:rPr>
                <w:color w:val="1A1A1A"/>
              </w:rPr>
              <w:t>непрерывного</w:t>
            </w:r>
          </w:p>
          <w:p w:rsidR="00CF0324" w:rsidRDefault="00124A10">
            <w:pPr>
              <w:shd w:val="clear" w:color="auto" w:fill="FFFFFF"/>
              <w:rPr>
                <w:color w:val="1A1A1A"/>
              </w:rPr>
            </w:pPr>
            <w:r>
              <w:rPr>
                <w:color w:val="1A1A1A"/>
              </w:rPr>
              <w:t>повышения</w:t>
            </w:r>
          </w:p>
          <w:p w:rsidR="00CF0324" w:rsidRDefault="00124A10">
            <w:pPr>
              <w:shd w:val="clear" w:color="auto" w:fill="FFFFFF"/>
              <w:rPr>
                <w:color w:val="1A1A1A"/>
              </w:rPr>
            </w:pPr>
            <w:r>
              <w:rPr>
                <w:color w:val="1A1A1A"/>
              </w:rPr>
              <w:t>профессионального</w:t>
            </w:r>
          </w:p>
          <w:p w:rsidR="00CF0324" w:rsidRDefault="00124A10">
            <w:pPr>
              <w:jc w:val="both"/>
            </w:pPr>
            <w:r>
              <w:rPr>
                <w:color w:val="1A1A1A"/>
              </w:rPr>
              <w:t>мастерства,</w:t>
            </w:r>
          </w:p>
        </w:tc>
        <w:tc>
          <w:tcPr>
            <w:tcW w:w="1276" w:type="dxa"/>
            <w:vAlign w:val="center"/>
          </w:tcPr>
          <w:p w:rsidR="00CF0324" w:rsidRDefault="00124A10">
            <w:pPr>
              <w:jc w:val="center"/>
            </w:pPr>
            <w:r>
              <w:t>%</w:t>
            </w:r>
          </w:p>
        </w:tc>
        <w:tc>
          <w:tcPr>
            <w:tcW w:w="1134" w:type="dxa"/>
            <w:vAlign w:val="center"/>
          </w:tcPr>
          <w:p w:rsidR="00CF0324" w:rsidRDefault="00124A10">
            <w:pPr>
              <w:jc w:val="center"/>
              <w:rPr>
                <w:color w:val="000000"/>
              </w:rPr>
            </w:pPr>
            <w:r>
              <w:rPr>
                <w:color w:val="000000"/>
              </w:rPr>
              <w:t>46,4</w:t>
            </w:r>
          </w:p>
        </w:tc>
        <w:tc>
          <w:tcPr>
            <w:tcW w:w="1134" w:type="dxa"/>
            <w:vAlign w:val="center"/>
          </w:tcPr>
          <w:p w:rsidR="00CF0324" w:rsidRDefault="00124A10">
            <w:pPr>
              <w:jc w:val="center"/>
              <w:rPr>
                <w:color w:val="000000"/>
              </w:rPr>
            </w:pPr>
            <w:r>
              <w:rPr>
                <w:color w:val="000000"/>
              </w:rPr>
              <w:t>53,8</w:t>
            </w:r>
          </w:p>
        </w:tc>
        <w:tc>
          <w:tcPr>
            <w:tcW w:w="1134" w:type="dxa"/>
            <w:vAlign w:val="center"/>
          </w:tcPr>
          <w:p w:rsidR="00CF0324" w:rsidRDefault="00124A10">
            <w:pPr>
              <w:jc w:val="center"/>
              <w:rPr>
                <w:color w:val="000000"/>
              </w:rPr>
            </w:pPr>
            <w:r>
              <w:rPr>
                <w:color w:val="000000"/>
              </w:rPr>
              <w:t>53,8</w:t>
            </w:r>
          </w:p>
        </w:tc>
        <w:tc>
          <w:tcPr>
            <w:tcW w:w="1134" w:type="dxa"/>
            <w:vAlign w:val="center"/>
          </w:tcPr>
          <w:p w:rsidR="00CF0324" w:rsidRDefault="00124A10">
            <w:pPr>
              <w:jc w:val="center"/>
              <w:rPr>
                <w:color w:val="000000"/>
              </w:rPr>
            </w:pPr>
            <w:r>
              <w:rPr>
                <w:color w:val="000000"/>
              </w:rPr>
              <w:t>54,1</w:t>
            </w:r>
          </w:p>
        </w:tc>
        <w:tc>
          <w:tcPr>
            <w:tcW w:w="1134" w:type="dxa"/>
            <w:vAlign w:val="center"/>
          </w:tcPr>
          <w:p w:rsidR="00CF0324" w:rsidRDefault="00124A10">
            <w:pPr>
              <w:jc w:val="center"/>
              <w:rPr>
                <w:color w:val="000000"/>
              </w:rPr>
            </w:pPr>
            <w:r>
              <w:rPr>
                <w:color w:val="000000"/>
              </w:rPr>
              <w:t>54,1</w:t>
            </w:r>
          </w:p>
        </w:tc>
        <w:tc>
          <w:tcPr>
            <w:tcW w:w="1134" w:type="dxa"/>
            <w:vAlign w:val="center"/>
          </w:tcPr>
          <w:p w:rsidR="00CF0324" w:rsidRDefault="00124A10">
            <w:pPr>
              <w:jc w:val="center"/>
              <w:rPr>
                <w:color w:val="000000"/>
              </w:rPr>
            </w:pPr>
            <w:r>
              <w:rPr>
                <w:color w:val="000000"/>
              </w:rPr>
              <w:t>54,4</w:t>
            </w:r>
          </w:p>
        </w:tc>
        <w:tc>
          <w:tcPr>
            <w:tcW w:w="1134" w:type="dxa"/>
            <w:vAlign w:val="center"/>
          </w:tcPr>
          <w:p w:rsidR="00CF0324" w:rsidRDefault="00124A10">
            <w:pPr>
              <w:jc w:val="center"/>
              <w:rPr>
                <w:color w:val="000000"/>
              </w:rPr>
            </w:pPr>
            <w:r>
              <w:rPr>
                <w:color w:val="000000"/>
              </w:rPr>
              <w:t>54,5</w:t>
            </w:r>
          </w:p>
        </w:tc>
        <w:tc>
          <w:tcPr>
            <w:tcW w:w="1134" w:type="dxa"/>
            <w:vAlign w:val="center"/>
          </w:tcPr>
          <w:p w:rsidR="00CF0324" w:rsidRDefault="00124A10">
            <w:pPr>
              <w:jc w:val="center"/>
              <w:rPr>
                <w:color w:val="000000"/>
              </w:rPr>
            </w:pPr>
            <w:r>
              <w:rPr>
                <w:color w:val="000000"/>
              </w:rPr>
              <w:t>54,6</w:t>
            </w:r>
          </w:p>
        </w:tc>
        <w:tc>
          <w:tcPr>
            <w:tcW w:w="1134" w:type="dxa"/>
            <w:vAlign w:val="center"/>
          </w:tcPr>
          <w:p w:rsidR="00CF0324" w:rsidRDefault="00124A10">
            <w:pPr>
              <w:jc w:val="center"/>
              <w:rPr>
                <w:color w:val="000000"/>
              </w:rPr>
            </w:pPr>
            <w:r>
              <w:rPr>
                <w:color w:val="000000"/>
              </w:rPr>
              <w:t>57</w:t>
            </w:r>
          </w:p>
        </w:tc>
      </w:tr>
      <w:tr w:rsidR="00CF0324">
        <w:tc>
          <w:tcPr>
            <w:tcW w:w="568" w:type="dxa"/>
            <w:vAlign w:val="center"/>
          </w:tcPr>
          <w:p w:rsidR="00CF0324" w:rsidRDefault="00124A10">
            <w:pPr>
              <w:jc w:val="center"/>
            </w:pPr>
            <w:r>
              <w:t>19</w:t>
            </w:r>
          </w:p>
        </w:tc>
        <w:tc>
          <w:tcPr>
            <w:tcW w:w="3401" w:type="dxa"/>
            <w:vAlign w:val="center"/>
          </w:tcPr>
          <w:p w:rsidR="00CF0324" w:rsidRDefault="00124A10">
            <w:pPr>
              <w:shd w:val="clear" w:color="auto" w:fill="FFFFFF"/>
              <w:rPr>
                <w:color w:val="1A1A1A"/>
              </w:rPr>
            </w:pPr>
            <w:r>
              <w:rPr>
                <w:color w:val="1A1A1A"/>
              </w:rPr>
              <w:t>Доступность</w:t>
            </w:r>
          </w:p>
          <w:p w:rsidR="00CF0324" w:rsidRDefault="00124A10">
            <w:pPr>
              <w:shd w:val="clear" w:color="auto" w:fill="FFFFFF"/>
              <w:rPr>
                <w:color w:val="1A1A1A"/>
              </w:rPr>
            </w:pPr>
            <w:r>
              <w:rPr>
                <w:color w:val="1A1A1A"/>
              </w:rPr>
              <w:t>дошкольного</w:t>
            </w:r>
          </w:p>
          <w:p w:rsidR="00CF0324" w:rsidRDefault="00124A10">
            <w:pPr>
              <w:shd w:val="clear" w:color="auto" w:fill="FFFFFF"/>
              <w:rPr>
                <w:color w:val="1A1A1A"/>
              </w:rPr>
            </w:pPr>
            <w:r>
              <w:rPr>
                <w:color w:val="1A1A1A"/>
              </w:rPr>
              <w:t>образования для</w:t>
            </w:r>
          </w:p>
          <w:p w:rsidR="00CF0324" w:rsidRDefault="00124A10">
            <w:pPr>
              <w:shd w:val="clear" w:color="auto" w:fill="FFFFFF"/>
              <w:rPr>
                <w:color w:val="1A1A1A"/>
              </w:rPr>
            </w:pPr>
            <w:r>
              <w:rPr>
                <w:color w:val="1A1A1A"/>
              </w:rPr>
              <w:t>детей в возрасте</w:t>
            </w:r>
          </w:p>
          <w:p w:rsidR="00CF0324" w:rsidRDefault="00124A10">
            <w:pPr>
              <w:shd w:val="clear" w:color="auto" w:fill="FFFFFF"/>
              <w:rPr>
                <w:color w:val="1A1A1A"/>
              </w:rPr>
            </w:pPr>
            <w:r>
              <w:rPr>
                <w:color w:val="1A1A1A"/>
              </w:rPr>
              <w:t>от 1,5 до 3 лет</w:t>
            </w:r>
          </w:p>
        </w:tc>
        <w:tc>
          <w:tcPr>
            <w:tcW w:w="1276" w:type="dxa"/>
            <w:vAlign w:val="center"/>
          </w:tcPr>
          <w:p w:rsidR="00CF0324" w:rsidRDefault="00124A10">
            <w:pPr>
              <w:jc w:val="center"/>
            </w:pPr>
            <w:r>
              <w:t>%</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r>
      <w:tr w:rsidR="00CF0324">
        <w:tc>
          <w:tcPr>
            <w:tcW w:w="568" w:type="dxa"/>
            <w:vAlign w:val="center"/>
          </w:tcPr>
          <w:p w:rsidR="00CF0324" w:rsidRDefault="00124A10">
            <w:pPr>
              <w:jc w:val="center"/>
            </w:pPr>
            <w:r>
              <w:t>20</w:t>
            </w:r>
          </w:p>
        </w:tc>
        <w:tc>
          <w:tcPr>
            <w:tcW w:w="3401" w:type="dxa"/>
            <w:vAlign w:val="center"/>
          </w:tcPr>
          <w:p w:rsidR="00CF0324" w:rsidRDefault="00124A10">
            <w:pPr>
              <w:shd w:val="clear" w:color="auto" w:fill="FFFFFF"/>
              <w:rPr>
                <w:color w:val="1A1A1A"/>
              </w:rPr>
            </w:pPr>
            <w:r>
              <w:rPr>
                <w:color w:val="1A1A1A"/>
              </w:rPr>
              <w:t>Доля</w:t>
            </w:r>
          </w:p>
          <w:p w:rsidR="00CF0324" w:rsidRDefault="00124A10">
            <w:pPr>
              <w:shd w:val="clear" w:color="auto" w:fill="FFFFFF"/>
              <w:rPr>
                <w:color w:val="1A1A1A"/>
              </w:rPr>
            </w:pPr>
            <w:r>
              <w:rPr>
                <w:color w:val="1A1A1A"/>
              </w:rPr>
              <w:lastRenderedPageBreak/>
              <w:t>детей</w:t>
            </w:r>
          </w:p>
          <w:p w:rsidR="00CF0324" w:rsidRDefault="00124A10">
            <w:pPr>
              <w:shd w:val="clear" w:color="auto" w:fill="FFFFFF"/>
              <w:rPr>
                <w:color w:val="1A1A1A"/>
              </w:rPr>
            </w:pPr>
            <w:r>
              <w:rPr>
                <w:color w:val="1A1A1A"/>
              </w:rPr>
              <w:t xml:space="preserve">возрасте от 5 до 18 лет, охваченных </w:t>
            </w:r>
          </w:p>
          <w:p w:rsidR="00CF0324" w:rsidRDefault="00124A10">
            <w:pPr>
              <w:shd w:val="clear" w:color="auto" w:fill="FFFFFF"/>
              <w:rPr>
                <w:color w:val="1A1A1A"/>
              </w:rPr>
            </w:pPr>
            <w:r>
              <w:rPr>
                <w:color w:val="1A1A1A"/>
              </w:rPr>
              <w:t>дополнительным</w:t>
            </w:r>
          </w:p>
          <w:p w:rsidR="00CF0324" w:rsidRDefault="00124A10">
            <w:pPr>
              <w:shd w:val="clear" w:color="auto" w:fill="FFFFFF"/>
              <w:rPr>
                <w:color w:val="1A1A1A"/>
              </w:rPr>
            </w:pPr>
            <w:r>
              <w:rPr>
                <w:color w:val="1A1A1A"/>
              </w:rPr>
              <w:t>образованием,</w:t>
            </w:r>
          </w:p>
        </w:tc>
        <w:tc>
          <w:tcPr>
            <w:tcW w:w="1276" w:type="dxa"/>
            <w:vAlign w:val="center"/>
          </w:tcPr>
          <w:p w:rsidR="00CF0324" w:rsidRDefault="00124A10">
            <w:pPr>
              <w:jc w:val="center"/>
            </w:pPr>
            <w:r>
              <w:lastRenderedPageBreak/>
              <w:t>%</w:t>
            </w:r>
          </w:p>
        </w:tc>
        <w:tc>
          <w:tcPr>
            <w:tcW w:w="1134" w:type="dxa"/>
            <w:vAlign w:val="center"/>
          </w:tcPr>
          <w:p w:rsidR="00CF0324" w:rsidRDefault="00124A10">
            <w:pPr>
              <w:jc w:val="center"/>
              <w:rPr>
                <w:color w:val="000000"/>
              </w:rPr>
            </w:pPr>
            <w:r>
              <w:rPr>
                <w:color w:val="000000"/>
              </w:rPr>
              <w:t>87</w:t>
            </w:r>
          </w:p>
        </w:tc>
        <w:tc>
          <w:tcPr>
            <w:tcW w:w="1134" w:type="dxa"/>
            <w:vAlign w:val="center"/>
          </w:tcPr>
          <w:p w:rsidR="00CF0324" w:rsidRDefault="00124A10">
            <w:pPr>
              <w:jc w:val="center"/>
              <w:rPr>
                <w:color w:val="000000"/>
              </w:rPr>
            </w:pPr>
            <w:r>
              <w:rPr>
                <w:color w:val="000000"/>
              </w:rPr>
              <w:t>87,5</w:t>
            </w:r>
          </w:p>
        </w:tc>
        <w:tc>
          <w:tcPr>
            <w:tcW w:w="1134" w:type="dxa"/>
            <w:vAlign w:val="center"/>
          </w:tcPr>
          <w:p w:rsidR="00CF0324" w:rsidRDefault="00124A10">
            <w:pPr>
              <w:jc w:val="center"/>
            </w:pPr>
            <w:r>
              <w:rPr>
                <w:color w:val="000000"/>
              </w:rPr>
              <w:t>87,5</w:t>
            </w:r>
          </w:p>
        </w:tc>
        <w:tc>
          <w:tcPr>
            <w:tcW w:w="1134" w:type="dxa"/>
            <w:vAlign w:val="center"/>
          </w:tcPr>
          <w:p w:rsidR="00CF0324" w:rsidRDefault="00124A10">
            <w:pPr>
              <w:jc w:val="center"/>
            </w:pPr>
            <w:r>
              <w:rPr>
                <w:color w:val="000000"/>
              </w:rPr>
              <w:t>87,7</w:t>
            </w:r>
          </w:p>
        </w:tc>
        <w:tc>
          <w:tcPr>
            <w:tcW w:w="1134" w:type="dxa"/>
            <w:vAlign w:val="center"/>
          </w:tcPr>
          <w:p w:rsidR="00CF0324" w:rsidRDefault="00124A10">
            <w:pPr>
              <w:jc w:val="center"/>
            </w:pPr>
            <w:r>
              <w:rPr>
                <w:color w:val="000000"/>
              </w:rPr>
              <w:t>87,7</w:t>
            </w:r>
          </w:p>
        </w:tc>
        <w:tc>
          <w:tcPr>
            <w:tcW w:w="1134" w:type="dxa"/>
            <w:vAlign w:val="center"/>
          </w:tcPr>
          <w:p w:rsidR="00CF0324" w:rsidRDefault="00124A10">
            <w:pPr>
              <w:jc w:val="center"/>
            </w:pPr>
            <w:r>
              <w:rPr>
                <w:color w:val="000000"/>
              </w:rPr>
              <w:t>87,9</w:t>
            </w:r>
          </w:p>
        </w:tc>
        <w:tc>
          <w:tcPr>
            <w:tcW w:w="1134" w:type="dxa"/>
            <w:vAlign w:val="center"/>
          </w:tcPr>
          <w:p w:rsidR="00CF0324" w:rsidRDefault="00124A10">
            <w:pPr>
              <w:jc w:val="center"/>
            </w:pPr>
            <w:r>
              <w:rPr>
                <w:color w:val="000000"/>
              </w:rPr>
              <w:t>87,9</w:t>
            </w:r>
          </w:p>
        </w:tc>
        <w:tc>
          <w:tcPr>
            <w:tcW w:w="1134" w:type="dxa"/>
            <w:vAlign w:val="center"/>
          </w:tcPr>
          <w:p w:rsidR="00CF0324" w:rsidRDefault="00124A10">
            <w:pPr>
              <w:jc w:val="center"/>
            </w:pPr>
            <w:r>
              <w:rPr>
                <w:color w:val="000000"/>
              </w:rPr>
              <w:t>88,2</w:t>
            </w:r>
          </w:p>
        </w:tc>
        <w:tc>
          <w:tcPr>
            <w:tcW w:w="1134" w:type="dxa"/>
            <w:vAlign w:val="center"/>
          </w:tcPr>
          <w:p w:rsidR="00CF0324" w:rsidRDefault="00124A10">
            <w:pPr>
              <w:jc w:val="center"/>
            </w:pPr>
            <w:r>
              <w:rPr>
                <w:color w:val="000000"/>
              </w:rPr>
              <w:t>90</w:t>
            </w:r>
          </w:p>
        </w:tc>
      </w:tr>
      <w:tr w:rsidR="00CF0324">
        <w:tc>
          <w:tcPr>
            <w:tcW w:w="568" w:type="dxa"/>
            <w:vAlign w:val="center"/>
          </w:tcPr>
          <w:p w:rsidR="00CF0324" w:rsidRDefault="00124A10">
            <w:pPr>
              <w:jc w:val="center"/>
            </w:pPr>
            <w:r>
              <w:lastRenderedPageBreak/>
              <w:t>21</w:t>
            </w:r>
          </w:p>
        </w:tc>
        <w:tc>
          <w:tcPr>
            <w:tcW w:w="3401" w:type="dxa"/>
          </w:tcPr>
          <w:p w:rsidR="00CF0324" w:rsidRDefault="00124A10">
            <w:pPr>
              <w:rPr>
                <w:color w:val="000000"/>
              </w:rPr>
            </w:pPr>
            <w:r>
              <w:rPr>
                <w:color w:val="000000"/>
              </w:rPr>
              <w:t>Доля общеобразовательных организаций, оснащенных в целях внедрения цифровой образовательной среды</w:t>
            </w:r>
          </w:p>
        </w:tc>
        <w:tc>
          <w:tcPr>
            <w:tcW w:w="1276" w:type="dxa"/>
            <w:vAlign w:val="center"/>
          </w:tcPr>
          <w:p w:rsidR="00CF0324" w:rsidRDefault="00124A10">
            <w:pPr>
              <w:jc w:val="center"/>
            </w:pPr>
            <w:r>
              <w:t>%</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pPr>
            <w:r>
              <w:t>53</w:t>
            </w:r>
          </w:p>
        </w:tc>
        <w:tc>
          <w:tcPr>
            <w:tcW w:w="1134" w:type="dxa"/>
            <w:vAlign w:val="center"/>
          </w:tcPr>
          <w:p w:rsidR="00CF0324" w:rsidRDefault="00124A10">
            <w:pPr>
              <w:jc w:val="center"/>
              <w:rPr>
                <w:color w:val="000000"/>
              </w:rPr>
            </w:pPr>
            <w:r>
              <w:rPr>
                <w:color w:val="000000"/>
              </w:rPr>
              <w:t>53</w:t>
            </w:r>
          </w:p>
        </w:tc>
      </w:tr>
      <w:tr w:rsidR="00CF0324">
        <w:tc>
          <w:tcPr>
            <w:tcW w:w="568" w:type="dxa"/>
            <w:vAlign w:val="center"/>
          </w:tcPr>
          <w:p w:rsidR="00CF0324" w:rsidRDefault="00124A10">
            <w:pPr>
              <w:jc w:val="center"/>
            </w:pPr>
            <w:r>
              <w:t>22</w:t>
            </w:r>
          </w:p>
        </w:tc>
        <w:tc>
          <w:tcPr>
            <w:tcW w:w="3401" w:type="dxa"/>
          </w:tcPr>
          <w:p w:rsidR="00CF0324" w:rsidRDefault="00124A10">
            <w:pPr>
              <w:rPr>
                <w:shd w:val="clear" w:color="auto" w:fill="FFFFFF"/>
              </w:rPr>
            </w:pPr>
            <w:r>
              <w:rPr>
                <w:shd w:val="clear" w:color="auto" w:fill="FFFFFF"/>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w:t>
            </w:r>
          </w:p>
        </w:tc>
        <w:tc>
          <w:tcPr>
            <w:tcW w:w="1276" w:type="dxa"/>
            <w:vAlign w:val="center"/>
          </w:tcPr>
          <w:p w:rsidR="00CF0324" w:rsidRDefault="00124A10">
            <w:pPr>
              <w:jc w:val="center"/>
            </w:pPr>
            <w:r>
              <w:t>%</w:t>
            </w:r>
          </w:p>
        </w:tc>
        <w:tc>
          <w:tcPr>
            <w:tcW w:w="1134" w:type="dxa"/>
            <w:vAlign w:val="center"/>
          </w:tcPr>
          <w:p w:rsidR="00CF0324" w:rsidRDefault="00124A10">
            <w:pPr>
              <w:jc w:val="center"/>
            </w:pPr>
            <w:r>
              <w:t>10,4</w:t>
            </w:r>
          </w:p>
        </w:tc>
        <w:tc>
          <w:tcPr>
            <w:tcW w:w="1134" w:type="dxa"/>
            <w:vAlign w:val="center"/>
          </w:tcPr>
          <w:p w:rsidR="00CF0324" w:rsidRDefault="00124A10">
            <w:pPr>
              <w:jc w:val="center"/>
            </w:pPr>
            <w:r>
              <w:t>10,6</w:t>
            </w:r>
          </w:p>
        </w:tc>
        <w:tc>
          <w:tcPr>
            <w:tcW w:w="1134" w:type="dxa"/>
            <w:vAlign w:val="center"/>
          </w:tcPr>
          <w:p w:rsidR="00CF0324" w:rsidRDefault="00124A10">
            <w:pPr>
              <w:jc w:val="center"/>
            </w:pPr>
            <w:r>
              <w:t>10,9</w:t>
            </w:r>
          </w:p>
        </w:tc>
        <w:tc>
          <w:tcPr>
            <w:tcW w:w="1134" w:type="dxa"/>
            <w:vAlign w:val="center"/>
          </w:tcPr>
          <w:p w:rsidR="00CF0324" w:rsidRDefault="00124A10">
            <w:pPr>
              <w:jc w:val="center"/>
            </w:pPr>
            <w:r>
              <w:t>11,2</w:t>
            </w:r>
          </w:p>
        </w:tc>
        <w:tc>
          <w:tcPr>
            <w:tcW w:w="1134" w:type="dxa"/>
            <w:vAlign w:val="center"/>
          </w:tcPr>
          <w:p w:rsidR="00CF0324" w:rsidRDefault="00124A10">
            <w:pPr>
              <w:jc w:val="center"/>
            </w:pPr>
            <w:r>
              <w:t>11,5</w:t>
            </w:r>
          </w:p>
        </w:tc>
        <w:tc>
          <w:tcPr>
            <w:tcW w:w="1134" w:type="dxa"/>
            <w:vAlign w:val="center"/>
          </w:tcPr>
          <w:p w:rsidR="00CF0324" w:rsidRDefault="00124A10">
            <w:pPr>
              <w:jc w:val="center"/>
            </w:pPr>
            <w:r>
              <w:t>11,8</w:t>
            </w:r>
          </w:p>
        </w:tc>
        <w:tc>
          <w:tcPr>
            <w:tcW w:w="1134" w:type="dxa"/>
            <w:vAlign w:val="center"/>
          </w:tcPr>
          <w:p w:rsidR="00CF0324" w:rsidRDefault="00124A10">
            <w:pPr>
              <w:jc w:val="center"/>
            </w:pPr>
            <w:r>
              <w:t>12,1</w:t>
            </w:r>
          </w:p>
        </w:tc>
        <w:tc>
          <w:tcPr>
            <w:tcW w:w="1134" w:type="dxa"/>
            <w:vAlign w:val="center"/>
          </w:tcPr>
          <w:p w:rsidR="00CF0324" w:rsidRDefault="00124A10">
            <w:pPr>
              <w:jc w:val="center"/>
            </w:pPr>
            <w:r>
              <w:t>12,5</w:t>
            </w:r>
          </w:p>
        </w:tc>
        <w:tc>
          <w:tcPr>
            <w:tcW w:w="1134" w:type="dxa"/>
            <w:vAlign w:val="center"/>
          </w:tcPr>
          <w:p w:rsidR="00CF0324" w:rsidRDefault="00124A10">
            <w:pPr>
              <w:jc w:val="center"/>
              <w:rPr>
                <w:color w:val="000000"/>
              </w:rPr>
            </w:pPr>
            <w:r>
              <w:t>13,5</w:t>
            </w:r>
          </w:p>
        </w:tc>
      </w:tr>
      <w:tr w:rsidR="00CF0324">
        <w:tc>
          <w:tcPr>
            <w:tcW w:w="568" w:type="dxa"/>
            <w:vAlign w:val="center"/>
          </w:tcPr>
          <w:p w:rsidR="00CF0324" w:rsidRDefault="00124A10">
            <w:pPr>
              <w:jc w:val="center"/>
            </w:pPr>
            <w:r>
              <w:t>23</w:t>
            </w:r>
          </w:p>
        </w:tc>
        <w:tc>
          <w:tcPr>
            <w:tcW w:w="3401" w:type="dxa"/>
            <w:vAlign w:val="center"/>
          </w:tcPr>
          <w:p w:rsidR="00CF0324" w:rsidRDefault="00124A10">
            <w:pPr>
              <w:pStyle w:val="afe"/>
              <w:spacing w:before="0" w:beforeAutospacing="0" w:after="0" w:afterAutospacing="0" w:line="180" w:lineRule="atLeast"/>
            </w:pPr>
            <w: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1276" w:type="dxa"/>
            <w:vAlign w:val="center"/>
          </w:tcPr>
          <w:p w:rsidR="00CF0324" w:rsidRDefault="00124A10">
            <w:pPr>
              <w:jc w:val="center"/>
            </w:pPr>
            <w:r>
              <w:t>%</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c>
          <w:tcPr>
            <w:tcW w:w="1134" w:type="dxa"/>
            <w:vAlign w:val="center"/>
          </w:tcPr>
          <w:p w:rsidR="00CF0324" w:rsidRDefault="00124A10">
            <w:pPr>
              <w:jc w:val="center"/>
              <w:rPr>
                <w:color w:val="000000"/>
              </w:rPr>
            </w:pPr>
            <w:r>
              <w:rPr>
                <w:color w:val="000000"/>
              </w:rPr>
              <w:t>100</w:t>
            </w:r>
          </w:p>
        </w:tc>
      </w:tr>
      <w:tr w:rsidR="00CF0324">
        <w:tc>
          <w:tcPr>
            <w:tcW w:w="15451" w:type="dxa"/>
            <w:gridSpan w:val="12"/>
            <w:vAlign w:val="center"/>
          </w:tcPr>
          <w:p w:rsidR="00CF0324" w:rsidRDefault="00124A10">
            <w:pPr>
              <w:jc w:val="center"/>
              <w:rPr>
                <w:color w:val="000000"/>
              </w:rPr>
            </w:pPr>
            <w:r>
              <w:rPr>
                <w:color w:val="000000"/>
              </w:rPr>
              <w:t>Культура</w:t>
            </w:r>
          </w:p>
        </w:tc>
      </w:tr>
      <w:tr w:rsidR="00CF0324">
        <w:tc>
          <w:tcPr>
            <w:tcW w:w="568" w:type="dxa"/>
            <w:vAlign w:val="center"/>
          </w:tcPr>
          <w:p w:rsidR="00CF0324" w:rsidRDefault="00124A10">
            <w:pPr>
              <w:jc w:val="center"/>
            </w:pPr>
            <w:r>
              <w:t>24</w:t>
            </w:r>
          </w:p>
        </w:tc>
        <w:tc>
          <w:tcPr>
            <w:tcW w:w="3401" w:type="dxa"/>
            <w:vAlign w:val="center"/>
          </w:tcPr>
          <w:p w:rsidR="00CF0324" w:rsidRDefault="00124A10">
            <w:pPr>
              <w:shd w:val="clear" w:color="auto" w:fill="FFFFFF"/>
              <w:rPr>
                <w:color w:val="1A1A1A"/>
              </w:rPr>
            </w:pPr>
            <w:r>
              <w:rPr>
                <w:color w:val="1A1A1A"/>
              </w:rPr>
              <w:t>Число</w:t>
            </w:r>
          </w:p>
          <w:p w:rsidR="00CF0324" w:rsidRDefault="00124A10">
            <w:pPr>
              <w:shd w:val="clear" w:color="auto" w:fill="FFFFFF"/>
              <w:rPr>
                <w:color w:val="1A1A1A"/>
              </w:rPr>
            </w:pPr>
            <w:r>
              <w:rPr>
                <w:color w:val="1A1A1A"/>
              </w:rPr>
              <w:t>посещений культурных мероприятий</w:t>
            </w:r>
          </w:p>
        </w:tc>
        <w:tc>
          <w:tcPr>
            <w:tcW w:w="1276" w:type="dxa"/>
          </w:tcPr>
          <w:p w:rsidR="00CF0324" w:rsidRDefault="00124A10">
            <w:pPr>
              <w:shd w:val="clear" w:color="auto" w:fill="FFFFFF"/>
              <w:jc w:val="center"/>
              <w:rPr>
                <w:color w:val="1A1A1A"/>
              </w:rPr>
            </w:pPr>
            <w:r>
              <w:rPr>
                <w:color w:val="1A1A1A"/>
              </w:rPr>
              <w:t>тыс. единиц</w:t>
            </w:r>
          </w:p>
          <w:p w:rsidR="00CF0324" w:rsidRDefault="00CF0324">
            <w:pPr>
              <w:jc w:val="center"/>
            </w:pPr>
          </w:p>
        </w:tc>
        <w:tc>
          <w:tcPr>
            <w:tcW w:w="1134" w:type="dxa"/>
            <w:vAlign w:val="center"/>
          </w:tcPr>
          <w:p w:rsidR="00CF0324" w:rsidRDefault="00124A10">
            <w:pPr>
              <w:jc w:val="center"/>
            </w:pPr>
            <w:r>
              <w:t>647</w:t>
            </w:r>
          </w:p>
        </w:tc>
        <w:tc>
          <w:tcPr>
            <w:tcW w:w="1134" w:type="dxa"/>
            <w:vAlign w:val="center"/>
          </w:tcPr>
          <w:p w:rsidR="00CF0324" w:rsidRDefault="00124A10">
            <w:pPr>
              <w:jc w:val="center"/>
            </w:pPr>
            <w:r>
              <w:t>753</w:t>
            </w:r>
          </w:p>
        </w:tc>
        <w:tc>
          <w:tcPr>
            <w:tcW w:w="1134" w:type="dxa"/>
            <w:vAlign w:val="center"/>
          </w:tcPr>
          <w:p w:rsidR="00CF0324" w:rsidRDefault="00124A10">
            <w:pPr>
              <w:jc w:val="center"/>
            </w:pPr>
            <w:r>
              <w:t>965</w:t>
            </w:r>
          </w:p>
        </w:tc>
        <w:tc>
          <w:tcPr>
            <w:tcW w:w="1134" w:type="dxa"/>
            <w:vAlign w:val="center"/>
          </w:tcPr>
          <w:p w:rsidR="00CF0324" w:rsidRDefault="00124A10">
            <w:pPr>
              <w:jc w:val="center"/>
            </w:pPr>
            <w:r>
              <w:t>1090</w:t>
            </w:r>
          </w:p>
        </w:tc>
        <w:tc>
          <w:tcPr>
            <w:tcW w:w="1134" w:type="dxa"/>
            <w:vAlign w:val="center"/>
          </w:tcPr>
          <w:p w:rsidR="00CF0324" w:rsidRDefault="00124A10">
            <w:pPr>
              <w:jc w:val="center"/>
            </w:pPr>
            <w:r>
              <w:t>1210</w:t>
            </w:r>
          </w:p>
        </w:tc>
        <w:tc>
          <w:tcPr>
            <w:tcW w:w="1134" w:type="dxa"/>
            <w:vAlign w:val="center"/>
          </w:tcPr>
          <w:p w:rsidR="00CF0324" w:rsidRDefault="00124A10">
            <w:pPr>
              <w:jc w:val="center"/>
            </w:pPr>
            <w:r>
              <w:t>1350</w:t>
            </w:r>
          </w:p>
        </w:tc>
        <w:tc>
          <w:tcPr>
            <w:tcW w:w="1134" w:type="dxa"/>
            <w:vAlign w:val="center"/>
          </w:tcPr>
          <w:p w:rsidR="00CF0324" w:rsidRDefault="00124A10">
            <w:pPr>
              <w:jc w:val="center"/>
            </w:pPr>
            <w:r>
              <w:t>1470</w:t>
            </w:r>
          </w:p>
        </w:tc>
        <w:tc>
          <w:tcPr>
            <w:tcW w:w="1134" w:type="dxa"/>
            <w:vAlign w:val="center"/>
          </w:tcPr>
          <w:p w:rsidR="00CF0324" w:rsidRDefault="00124A10">
            <w:pPr>
              <w:jc w:val="center"/>
            </w:pPr>
            <w:r>
              <w:t>1604</w:t>
            </w:r>
          </w:p>
        </w:tc>
        <w:tc>
          <w:tcPr>
            <w:tcW w:w="1134" w:type="dxa"/>
            <w:vAlign w:val="center"/>
          </w:tcPr>
          <w:p w:rsidR="00CF0324" w:rsidRDefault="00124A10">
            <w:pPr>
              <w:jc w:val="center"/>
            </w:pPr>
            <w:r>
              <w:t>1604</w:t>
            </w:r>
          </w:p>
        </w:tc>
      </w:tr>
      <w:tr w:rsidR="00CF0324">
        <w:tc>
          <w:tcPr>
            <w:tcW w:w="15451" w:type="dxa"/>
            <w:gridSpan w:val="12"/>
            <w:vAlign w:val="center"/>
          </w:tcPr>
          <w:p w:rsidR="00CF0324" w:rsidRDefault="00124A10">
            <w:pPr>
              <w:jc w:val="center"/>
            </w:pPr>
            <w:r>
              <w:t>Управление муниципальной собственностью</w:t>
            </w:r>
          </w:p>
        </w:tc>
      </w:tr>
      <w:tr w:rsidR="00CF0324">
        <w:tc>
          <w:tcPr>
            <w:tcW w:w="568" w:type="dxa"/>
            <w:vAlign w:val="center"/>
          </w:tcPr>
          <w:p w:rsidR="00CF0324" w:rsidRDefault="00124A10">
            <w:pPr>
              <w:jc w:val="center"/>
            </w:pPr>
            <w:r>
              <w:t>25</w:t>
            </w:r>
          </w:p>
        </w:tc>
        <w:tc>
          <w:tcPr>
            <w:tcW w:w="3401" w:type="dxa"/>
            <w:vAlign w:val="center"/>
          </w:tcPr>
          <w:p w:rsidR="00CF0324" w:rsidRDefault="00124A10">
            <w:pPr>
              <w:shd w:val="clear" w:color="auto" w:fill="FFFFFF"/>
              <w:rPr>
                <w:color w:val="1A1A1A"/>
              </w:rPr>
            </w:pPr>
            <w:r>
              <w:rPr>
                <w:color w:val="1A1A1A"/>
              </w:rPr>
              <w:t>Доля площади земельных</w:t>
            </w:r>
          </w:p>
          <w:p w:rsidR="00CF0324" w:rsidRDefault="00124A10">
            <w:pPr>
              <w:shd w:val="clear" w:color="auto" w:fill="FFFFFF"/>
              <w:rPr>
                <w:color w:val="1A1A1A"/>
              </w:rPr>
            </w:pPr>
            <w:r>
              <w:rPr>
                <w:color w:val="1A1A1A"/>
              </w:rPr>
              <w:t>участков, являющихся</w:t>
            </w:r>
          </w:p>
          <w:p w:rsidR="00CF0324" w:rsidRDefault="00124A10">
            <w:pPr>
              <w:shd w:val="clear" w:color="auto" w:fill="FFFFFF"/>
              <w:rPr>
                <w:color w:val="1A1A1A"/>
              </w:rPr>
            </w:pPr>
            <w:r>
              <w:rPr>
                <w:color w:val="1A1A1A"/>
              </w:rPr>
              <w:lastRenderedPageBreak/>
              <w:t>объектами налогообложения земельным налогом, в общей площади территории</w:t>
            </w:r>
          </w:p>
          <w:p w:rsidR="00CF0324" w:rsidRDefault="00124A10">
            <w:pPr>
              <w:shd w:val="clear" w:color="auto" w:fill="FFFFFF"/>
              <w:rPr>
                <w:color w:val="1A1A1A"/>
              </w:rPr>
            </w:pPr>
            <w:r>
              <w:rPr>
                <w:color w:val="1A1A1A"/>
              </w:rPr>
              <w:t>муниципального района</w:t>
            </w:r>
          </w:p>
        </w:tc>
        <w:tc>
          <w:tcPr>
            <w:tcW w:w="1276" w:type="dxa"/>
            <w:vAlign w:val="center"/>
          </w:tcPr>
          <w:p w:rsidR="00CF0324" w:rsidRDefault="00124A10">
            <w:pPr>
              <w:jc w:val="center"/>
            </w:pPr>
            <w:r>
              <w:lastRenderedPageBreak/>
              <w:t>%</w:t>
            </w:r>
          </w:p>
        </w:tc>
        <w:tc>
          <w:tcPr>
            <w:tcW w:w="1134" w:type="dxa"/>
            <w:vAlign w:val="center"/>
          </w:tcPr>
          <w:p w:rsidR="00CF0324" w:rsidRDefault="00124A10">
            <w:pPr>
              <w:jc w:val="center"/>
            </w:pPr>
            <w:r>
              <w:t>89</w:t>
            </w:r>
          </w:p>
        </w:tc>
        <w:tc>
          <w:tcPr>
            <w:tcW w:w="1134" w:type="dxa"/>
            <w:vAlign w:val="center"/>
          </w:tcPr>
          <w:p w:rsidR="00CF0324" w:rsidRDefault="00124A10">
            <w:pPr>
              <w:jc w:val="center"/>
            </w:pPr>
            <w:r>
              <w:t>92</w:t>
            </w:r>
          </w:p>
        </w:tc>
        <w:tc>
          <w:tcPr>
            <w:tcW w:w="1134" w:type="dxa"/>
            <w:vAlign w:val="center"/>
          </w:tcPr>
          <w:p w:rsidR="00CF0324" w:rsidRDefault="00124A10">
            <w:pPr>
              <w:jc w:val="center"/>
            </w:pPr>
            <w:r>
              <w:t>95</w:t>
            </w:r>
          </w:p>
        </w:tc>
        <w:tc>
          <w:tcPr>
            <w:tcW w:w="1134" w:type="dxa"/>
            <w:vAlign w:val="center"/>
          </w:tcPr>
          <w:p w:rsidR="00CF0324" w:rsidRDefault="00124A10">
            <w:pPr>
              <w:jc w:val="center"/>
            </w:pPr>
            <w:r>
              <w:t>96</w:t>
            </w:r>
          </w:p>
        </w:tc>
        <w:tc>
          <w:tcPr>
            <w:tcW w:w="1134" w:type="dxa"/>
            <w:vAlign w:val="center"/>
          </w:tcPr>
          <w:p w:rsidR="00CF0324" w:rsidRDefault="00124A10">
            <w:pPr>
              <w:jc w:val="center"/>
            </w:pPr>
            <w:r>
              <w:t>97</w:t>
            </w:r>
          </w:p>
        </w:tc>
        <w:tc>
          <w:tcPr>
            <w:tcW w:w="1134" w:type="dxa"/>
            <w:vAlign w:val="center"/>
          </w:tcPr>
          <w:p w:rsidR="00CF0324" w:rsidRDefault="00124A10">
            <w:pPr>
              <w:jc w:val="center"/>
            </w:pPr>
            <w:r>
              <w:t>98</w:t>
            </w:r>
          </w:p>
        </w:tc>
        <w:tc>
          <w:tcPr>
            <w:tcW w:w="1134" w:type="dxa"/>
            <w:vAlign w:val="center"/>
          </w:tcPr>
          <w:p w:rsidR="00CF0324" w:rsidRDefault="00124A10">
            <w:pPr>
              <w:jc w:val="center"/>
            </w:pPr>
            <w:r>
              <w:t>99</w:t>
            </w:r>
          </w:p>
        </w:tc>
        <w:tc>
          <w:tcPr>
            <w:tcW w:w="1134" w:type="dxa"/>
            <w:vAlign w:val="center"/>
          </w:tcPr>
          <w:p w:rsidR="00CF0324" w:rsidRDefault="00124A10">
            <w:pPr>
              <w:jc w:val="center"/>
            </w:pPr>
            <w:r>
              <w:t>100</w:t>
            </w:r>
          </w:p>
        </w:tc>
        <w:tc>
          <w:tcPr>
            <w:tcW w:w="1134" w:type="dxa"/>
            <w:vAlign w:val="center"/>
          </w:tcPr>
          <w:p w:rsidR="00CF0324" w:rsidRDefault="00124A10">
            <w:pPr>
              <w:jc w:val="center"/>
            </w:pPr>
            <w:r>
              <w:t>100</w:t>
            </w:r>
          </w:p>
        </w:tc>
      </w:tr>
      <w:tr w:rsidR="00CF0324">
        <w:tc>
          <w:tcPr>
            <w:tcW w:w="568" w:type="dxa"/>
            <w:vAlign w:val="center"/>
          </w:tcPr>
          <w:p w:rsidR="00CF0324" w:rsidRDefault="00124A10">
            <w:pPr>
              <w:jc w:val="center"/>
            </w:pPr>
            <w:r>
              <w:lastRenderedPageBreak/>
              <w:t>26</w:t>
            </w:r>
          </w:p>
        </w:tc>
        <w:tc>
          <w:tcPr>
            <w:tcW w:w="3401" w:type="dxa"/>
            <w:vAlign w:val="center"/>
          </w:tcPr>
          <w:p w:rsidR="00CF0324" w:rsidRDefault="00124A10">
            <w:pPr>
              <w:shd w:val="clear" w:color="auto" w:fill="FFFFFF"/>
              <w:rPr>
                <w:color w:val="1A1A1A"/>
              </w:rPr>
            </w:pPr>
            <w:r>
              <w:rPr>
                <w:color w:val="1A1A1A"/>
              </w:rPr>
              <w:t>Доля неиспользуемого</w:t>
            </w:r>
          </w:p>
          <w:p w:rsidR="00CF0324" w:rsidRDefault="00124A10">
            <w:pPr>
              <w:shd w:val="clear" w:color="auto" w:fill="FFFFFF"/>
              <w:rPr>
                <w:color w:val="1A1A1A"/>
              </w:rPr>
            </w:pPr>
            <w:r>
              <w:rPr>
                <w:color w:val="1A1A1A"/>
              </w:rPr>
              <w:t>недвижимого имущества в</w:t>
            </w:r>
          </w:p>
          <w:p w:rsidR="00CF0324" w:rsidRDefault="00124A10">
            <w:pPr>
              <w:shd w:val="clear" w:color="auto" w:fill="FFFFFF"/>
              <w:rPr>
                <w:color w:val="1A1A1A"/>
              </w:rPr>
            </w:pPr>
            <w:r>
              <w:rPr>
                <w:color w:val="1A1A1A"/>
              </w:rPr>
              <w:t>общем количестве</w:t>
            </w:r>
          </w:p>
          <w:p w:rsidR="00CF0324" w:rsidRDefault="00124A10">
            <w:pPr>
              <w:shd w:val="clear" w:color="auto" w:fill="FFFFFF"/>
              <w:rPr>
                <w:color w:val="1A1A1A"/>
              </w:rPr>
            </w:pPr>
            <w:r>
              <w:rPr>
                <w:color w:val="1A1A1A"/>
              </w:rPr>
              <w:t>недвижимого имущества</w:t>
            </w:r>
          </w:p>
          <w:p w:rsidR="00CF0324" w:rsidRDefault="00124A10">
            <w:pPr>
              <w:shd w:val="clear" w:color="auto" w:fill="FFFFFF"/>
              <w:rPr>
                <w:color w:val="1A1A1A"/>
              </w:rPr>
            </w:pPr>
            <w:r>
              <w:rPr>
                <w:color w:val="1A1A1A"/>
              </w:rPr>
              <w:t>Кондинского района</w:t>
            </w:r>
          </w:p>
        </w:tc>
        <w:tc>
          <w:tcPr>
            <w:tcW w:w="1276" w:type="dxa"/>
            <w:vAlign w:val="center"/>
          </w:tcPr>
          <w:p w:rsidR="00CF0324" w:rsidRDefault="00124A10">
            <w:pPr>
              <w:jc w:val="center"/>
            </w:pPr>
            <w:r>
              <w:rPr>
                <w:color w:val="1A1A1A"/>
              </w:rPr>
              <w:t>%</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c>
          <w:tcPr>
            <w:tcW w:w="1134" w:type="dxa"/>
            <w:vAlign w:val="center"/>
          </w:tcPr>
          <w:p w:rsidR="00CF0324" w:rsidRDefault="00124A10">
            <w:pPr>
              <w:jc w:val="center"/>
            </w:pPr>
            <w:r>
              <w:t>1,9</w:t>
            </w:r>
          </w:p>
        </w:tc>
      </w:tr>
      <w:tr w:rsidR="00CF0324">
        <w:tc>
          <w:tcPr>
            <w:tcW w:w="568" w:type="dxa"/>
            <w:vAlign w:val="center"/>
          </w:tcPr>
          <w:p w:rsidR="00CF0324" w:rsidRDefault="00124A10">
            <w:pPr>
              <w:jc w:val="center"/>
            </w:pPr>
            <w:r>
              <w:t>27</w:t>
            </w:r>
          </w:p>
        </w:tc>
        <w:tc>
          <w:tcPr>
            <w:tcW w:w="3401" w:type="dxa"/>
            <w:vAlign w:val="center"/>
          </w:tcPr>
          <w:p w:rsidR="00CF0324" w:rsidRDefault="00124A10">
            <w:pPr>
              <w:shd w:val="clear" w:color="auto" w:fill="FFFFFF"/>
            </w:pPr>
            <w:r>
              <w:t xml:space="preserve">Доля массовых социально </w:t>
            </w:r>
          </w:p>
          <w:p w:rsidR="00CF0324" w:rsidRDefault="00124A10">
            <w:pPr>
              <w:shd w:val="clear" w:color="auto" w:fill="FFFFFF"/>
            </w:pPr>
            <w:r>
              <w:t>значимых услуг, доступных в</w:t>
            </w:r>
          </w:p>
          <w:p w:rsidR="00CF0324" w:rsidRDefault="00124A10">
            <w:pPr>
              <w:shd w:val="clear" w:color="auto" w:fill="FFFFFF"/>
            </w:pPr>
            <w:r>
              <w:t>электронном виде</w:t>
            </w:r>
          </w:p>
        </w:tc>
        <w:tc>
          <w:tcPr>
            <w:tcW w:w="1276" w:type="dxa"/>
            <w:vAlign w:val="center"/>
          </w:tcPr>
          <w:p w:rsidR="00CF0324" w:rsidRDefault="00124A10">
            <w:pPr>
              <w:jc w:val="center"/>
            </w:pPr>
            <w:r>
              <w:t>%</w:t>
            </w:r>
          </w:p>
        </w:tc>
        <w:tc>
          <w:tcPr>
            <w:tcW w:w="1134" w:type="dxa"/>
            <w:vAlign w:val="center"/>
          </w:tcPr>
          <w:p w:rsidR="00CF0324" w:rsidRDefault="00124A10">
            <w:pPr>
              <w:jc w:val="center"/>
            </w:pPr>
            <w:r>
              <w:t>75</w:t>
            </w:r>
          </w:p>
        </w:tc>
        <w:tc>
          <w:tcPr>
            <w:tcW w:w="1134" w:type="dxa"/>
            <w:vAlign w:val="center"/>
          </w:tcPr>
          <w:p w:rsidR="00CF0324" w:rsidRDefault="00124A10">
            <w:pPr>
              <w:jc w:val="center"/>
            </w:pPr>
            <w:r>
              <w:t>95</w:t>
            </w:r>
          </w:p>
        </w:tc>
        <w:tc>
          <w:tcPr>
            <w:tcW w:w="1134" w:type="dxa"/>
            <w:vAlign w:val="center"/>
          </w:tcPr>
          <w:p w:rsidR="00CF0324" w:rsidRDefault="00124A10">
            <w:pPr>
              <w:jc w:val="center"/>
            </w:pPr>
            <w:r>
              <w:t>95</w:t>
            </w:r>
          </w:p>
        </w:tc>
        <w:tc>
          <w:tcPr>
            <w:tcW w:w="1134" w:type="dxa"/>
            <w:vAlign w:val="center"/>
          </w:tcPr>
          <w:p w:rsidR="00CF0324" w:rsidRDefault="00124A10">
            <w:pPr>
              <w:jc w:val="center"/>
            </w:pPr>
            <w:r>
              <w:t>96</w:t>
            </w:r>
          </w:p>
        </w:tc>
        <w:tc>
          <w:tcPr>
            <w:tcW w:w="1134" w:type="dxa"/>
            <w:vAlign w:val="center"/>
          </w:tcPr>
          <w:p w:rsidR="00CF0324" w:rsidRDefault="00124A10">
            <w:pPr>
              <w:jc w:val="center"/>
            </w:pPr>
            <w:r>
              <w:t>96</w:t>
            </w:r>
          </w:p>
        </w:tc>
        <w:tc>
          <w:tcPr>
            <w:tcW w:w="1134" w:type="dxa"/>
            <w:vAlign w:val="center"/>
          </w:tcPr>
          <w:p w:rsidR="00CF0324" w:rsidRDefault="00124A10">
            <w:pPr>
              <w:jc w:val="center"/>
            </w:pPr>
            <w:r>
              <w:t>97</w:t>
            </w:r>
          </w:p>
        </w:tc>
        <w:tc>
          <w:tcPr>
            <w:tcW w:w="1134" w:type="dxa"/>
            <w:vAlign w:val="center"/>
          </w:tcPr>
          <w:p w:rsidR="00CF0324" w:rsidRDefault="00124A10">
            <w:pPr>
              <w:jc w:val="center"/>
            </w:pPr>
            <w:r>
              <w:t>97</w:t>
            </w:r>
          </w:p>
        </w:tc>
        <w:tc>
          <w:tcPr>
            <w:tcW w:w="1134" w:type="dxa"/>
            <w:vAlign w:val="center"/>
          </w:tcPr>
          <w:p w:rsidR="00CF0324" w:rsidRDefault="00124A10">
            <w:pPr>
              <w:jc w:val="center"/>
            </w:pPr>
            <w:r>
              <w:t>98</w:t>
            </w:r>
          </w:p>
        </w:tc>
        <w:tc>
          <w:tcPr>
            <w:tcW w:w="1134" w:type="dxa"/>
            <w:vAlign w:val="center"/>
          </w:tcPr>
          <w:p w:rsidR="00CF0324" w:rsidRDefault="00124A10">
            <w:pPr>
              <w:jc w:val="center"/>
            </w:pPr>
            <w:r>
              <w:t>99</w:t>
            </w:r>
          </w:p>
        </w:tc>
      </w:tr>
      <w:tr w:rsidR="00CF0324">
        <w:tc>
          <w:tcPr>
            <w:tcW w:w="568" w:type="dxa"/>
            <w:vAlign w:val="center"/>
          </w:tcPr>
          <w:p w:rsidR="00CF0324" w:rsidRDefault="00124A10">
            <w:pPr>
              <w:jc w:val="center"/>
            </w:pPr>
            <w:r>
              <w:t>28</w:t>
            </w:r>
          </w:p>
        </w:tc>
        <w:tc>
          <w:tcPr>
            <w:tcW w:w="3401" w:type="dxa"/>
            <w:vAlign w:val="center"/>
          </w:tcPr>
          <w:p w:rsidR="00CF0324" w:rsidRDefault="00124A10">
            <w:pPr>
              <w:shd w:val="clear" w:color="auto" w:fill="FFFFFF"/>
              <w:rPr>
                <w:color w:val="1A1A1A"/>
              </w:rPr>
            </w:pPr>
            <w:r>
              <w:rPr>
                <w:color w:val="1A1A1A"/>
              </w:rPr>
              <w:t>Уровень преступности (число</w:t>
            </w:r>
          </w:p>
          <w:p w:rsidR="00CF0324" w:rsidRDefault="00124A10">
            <w:pPr>
              <w:shd w:val="clear" w:color="auto" w:fill="FFFFFF"/>
              <w:rPr>
                <w:color w:val="1A1A1A"/>
              </w:rPr>
            </w:pPr>
            <w:r>
              <w:rPr>
                <w:color w:val="1A1A1A"/>
              </w:rPr>
              <w:t>зарегистрированных преступлений на 100 тыс. человек населения), ед.</w:t>
            </w:r>
          </w:p>
        </w:tc>
        <w:tc>
          <w:tcPr>
            <w:tcW w:w="1276" w:type="dxa"/>
            <w:vAlign w:val="center"/>
          </w:tcPr>
          <w:p w:rsidR="00CF0324" w:rsidRDefault="00124A10">
            <w:pPr>
              <w:jc w:val="center"/>
            </w:pPr>
            <w:r>
              <w:t>Ед.</w:t>
            </w:r>
          </w:p>
        </w:tc>
        <w:tc>
          <w:tcPr>
            <w:tcW w:w="1134" w:type="dxa"/>
            <w:vAlign w:val="center"/>
          </w:tcPr>
          <w:p w:rsidR="00CF0324" w:rsidRDefault="00124A10">
            <w:pPr>
              <w:jc w:val="center"/>
            </w:pPr>
            <w:r>
              <w:t>1115</w:t>
            </w:r>
          </w:p>
        </w:tc>
        <w:tc>
          <w:tcPr>
            <w:tcW w:w="1134" w:type="dxa"/>
            <w:vAlign w:val="center"/>
          </w:tcPr>
          <w:p w:rsidR="00CF0324" w:rsidRDefault="00124A10">
            <w:pPr>
              <w:jc w:val="center"/>
            </w:pPr>
            <w:r>
              <w:t>1110</w:t>
            </w:r>
          </w:p>
        </w:tc>
        <w:tc>
          <w:tcPr>
            <w:tcW w:w="1134" w:type="dxa"/>
            <w:vAlign w:val="center"/>
          </w:tcPr>
          <w:p w:rsidR="00CF0324" w:rsidRDefault="00124A10">
            <w:pPr>
              <w:jc w:val="center"/>
            </w:pPr>
            <w:r>
              <w:t>1105</w:t>
            </w:r>
          </w:p>
        </w:tc>
        <w:tc>
          <w:tcPr>
            <w:tcW w:w="1134" w:type="dxa"/>
            <w:vAlign w:val="center"/>
          </w:tcPr>
          <w:p w:rsidR="00CF0324" w:rsidRDefault="00124A10">
            <w:pPr>
              <w:jc w:val="center"/>
            </w:pPr>
            <w:r>
              <w:t>1100</w:t>
            </w:r>
          </w:p>
        </w:tc>
        <w:tc>
          <w:tcPr>
            <w:tcW w:w="1134" w:type="dxa"/>
            <w:vAlign w:val="center"/>
          </w:tcPr>
          <w:p w:rsidR="00CF0324" w:rsidRDefault="00124A10">
            <w:pPr>
              <w:jc w:val="center"/>
            </w:pPr>
            <w:r>
              <w:t>1090</w:t>
            </w:r>
          </w:p>
        </w:tc>
        <w:tc>
          <w:tcPr>
            <w:tcW w:w="1134" w:type="dxa"/>
            <w:vAlign w:val="center"/>
          </w:tcPr>
          <w:p w:rsidR="00CF0324" w:rsidRDefault="00124A10">
            <w:pPr>
              <w:jc w:val="center"/>
            </w:pPr>
            <w:r>
              <w:t>1082</w:t>
            </w:r>
          </w:p>
        </w:tc>
        <w:tc>
          <w:tcPr>
            <w:tcW w:w="1134" w:type="dxa"/>
            <w:vAlign w:val="center"/>
          </w:tcPr>
          <w:p w:rsidR="00CF0324" w:rsidRDefault="00124A10">
            <w:pPr>
              <w:jc w:val="center"/>
            </w:pPr>
            <w:r>
              <w:t>1076</w:t>
            </w:r>
          </w:p>
        </w:tc>
        <w:tc>
          <w:tcPr>
            <w:tcW w:w="1134" w:type="dxa"/>
            <w:vAlign w:val="center"/>
          </w:tcPr>
          <w:p w:rsidR="00CF0324" w:rsidRDefault="00124A10">
            <w:pPr>
              <w:jc w:val="center"/>
            </w:pPr>
            <w:r>
              <w:t>1064</w:t>
            </w:r>
          </w:p>
        </w:tc>
        <w:tc>
          <w:tcPr>
            <w:tcW w:w="1134" w:type="dxa"/>
            <w:vAlign w:val="center"/>
          </w:tcPr>
          <w:p w:rsidR="00CF0324" w:rsidRDefault="00124A10">
            <w:pPr>
              <w:jc w:val="center"/>
            </w:pPr>
            <w:r>
              <w:t>980</w:t>
            </w:r>
          </w:p>
        </w:tc>
      </w:tr>
      <w:tr w:rsidR="00CF0324">
        <w:tc>
          <w:tcPr>
            <w:tcW w:w="568" w:type="dxa"/>
            <w:vAlign w:val="center"/>
          </w:tcPr>
          <w:p w:rsidR="00CF0324" w:rsidRDefault="00124A10">
            <w:pPr>
              <w:jc w:val="center"/>
            </w:pPr>
            <w:r>
              <w:t>29</w:t>
            </w:r>
          </w:p>
        </w:tc>
        <w:tc>
          <w:tcPr>
            <w:tcW w:w="3401" w:type="dxa"/>
            <w:vAlign w:val="center"/>
          </w:tcPr>
          <w:p w:rsidR="00CF0324" w:rsidRDefault="00124A10">
            <w:pPr>
              <w:shd w:val="clear" w:color="auto" w:fill="FFFFFF"/>
              <w:rPr>
                <w:color w:val="1A1A1A"/>
              </w:rPr>
            </w:pPr>
            <w:r>
              <w:rPr>
                <w:color w:val="1A1A1A"/>
              </w:rPr>
              <w:t>Доля протяженности</w:t>
            </w:r>
          </w:p>
          <w:p w:rsidR="00CF0324" w:rsidRDefault="00124A10">
            <w:pPr>
              <w:shd w:val="clear" w:color="auto" w:fill="FFFFFF"/>
              <w:rPr>
                <w:color w:val="1A1A1A"/>
              </w:rPr>
            </w:pPr>
            <w:r>
              <w:rPr>
                <w:color w:val="1A1A1A"/>
              </w:rPr>
              <w:t>автомобильных дорог общего</w:t>
            </w:r>
          </w:p>
          <w:p w:rsidR="00CF0324" w:rsidRDefault="00124A10">
            <w:pPr>
              <w:shd w:val="clear" w:color="auto" w:fill="FFFFFF"/>
              <w:rPr>
                <w:color w:val="1A1A1A"/>
              </w:rPr>
            </w:pPr>
            <w:r>
              <w:rPr>
                <w:color w:val="1A1A1A"/>
              </w:rPr>
              <w:t>пользования местного значения, не отвечающих</w:t>
            </w:r>
          </w:p>
          <w:p w:rsidR="00CF0324" w:rsidRDefault="00124A10">
            <w:pPr>
              <w:shd w:val="clear" w:color="auto" w:fill="FFFFFF"/>
              <w:rPr>
                <w:color w:val="1A1A1A"/>
              </w:rPr>
            </w:pPr>
            <w:r>
              <w:rPr>
                <w:color w:val="1A1A1A"/>
              </w:rPr>
              <w:t>нормативным требованиям, в</w:t>
            </w:r>
          </w:p>
          <w:p w:rsidR="00CF0324" w:rsidRDefault="00124A10">
            <w:pPr>
              <w:shd w:val="clear" w:color="auto" w:fill="FFFFFF"/>
              <w:rPr>
                <w:color w:val="1A1A1A"/>
              </w:rPr>
            </w:pPr>
            <w:r>
              <w:rPr>
                <w:color w:val="1A1A1A"/>
              </w:rPr>
              <w:t>общей протяженности</w:t>
            </w:r>
          </w:p>
          <w:p w:rsidR="00CF0324" w:rsidRDefault="00124A10">
            <w:pPr>
              <w:shd w:val="clear" w:color="auto" w:fill="FFFFFF"/>
              <w:rPr>
                <w:color w:val="1A1A1A"/>
              </w:rPr>
            </w:pPr>
            <w:r>
              <w:rPr>
                <w:color w:val="1A1A1A"/>
              </w:rPr>
              <w:t>автомобильных дорог местного значения, %</w:t>
            </w:r>
          </w:p>
        </w:tc>
        <w:tc>
          <w:tcPr>
            <w:tcW w:w="1276" w:type="dxa"/>
            <w:vAlign w:val="center"/>
          </w:tcPr>
          <w:p w:rsidR="00CF0324" w:rsidRDefault="00124A10">
            <w:pPr>
              <w:jc w:val="center"/>
            </w:pPr>
            <w:r>
              <w:t>%</w:t>
            </w:r>
          </w:p>
        </w:tc>
        <w:tc>
          <w:tcPr>
            <w:tcW w:w="1134" w:type="dxa"/>
            <w:vAlign w:val="center"/>
          </w:tcPr>
          <w:p w:rsidR="00CF0324" w:rsidRDefault="00124A10">
            <w:pPr>
              <w:jc w:val="center"/>
            </w:pPr>
            <w:r>
              <w:t>1,2</w:t>
            </w:r>
          </w:p>
        </w:tc>
        <w:tc>
          <w:tcPr>
            <w:tcW w:w="1134" w:type="dxa"/>
            <w:vAlign w:val="center"/>
          </w:tcPr>
          <w:p w:rsidR="00CF0324" w:rsidRDefault="00124A10">
            <w:pPr>
              <w:jc w:val="center"/>
            </w:pPr>
            <w:r>
              <w:t>0,8</w:t>
            </w:r>
          </w:p>
        </w:tc>
        <w:tc>
          <w:tcPr>
            <w:tcW w:w="1134" w:type="dxa"/>
            <w:vAlign w:val="center"/>
          </w:tcPr>
          <w:p w:rsidR="00CF0324" w:rsidRDefault="00124A10">
            <w:pPr>
              <w:jc w:val="center"/>
            </w:pPr>
            <w:r>
              <w:t>0,8</w:t>
            </w:r>
          </w:p>
        </w:tc>
        <w:tc>
          <w:tcPr>
            <w:tcW w:w="1134" w:type="dxa"/>
            <w:vAlign w:val="center"/>
          </w:tcPr>
          <w:p w:rsidR="00CF0324" w:rsidRDefault="00124A10">
            <w:pPr>
              <w:jc w:val="center"/>
            </w:pPr>
            <w:r>
              <w:t>0,7</w:t>
            </w:r>
          </w:p>
        </w:tc>
        <w:tc>
          <w:tcPr>
            <w:tcW w:w="1134" w:type="dxa"/>
            <w:vAlign w:val="center"/>
          </w:tcPr>
          <w:p w:rsidR="00CF0324" w:rsidRDefault="00124A10">
            <w:pPr>
              <w:jc w:val="center"/>
            </w:pPr>
            <w:r>
              <w:t>0,7</w:t>
            </w:r>
          </w:p>
        </w:tc>
        <w:tc>
          <w:tcPr>
            <w:tcW w:w="1134" w:type="dxa"/>
            <w:vAlign w:val="center"/>
          </w:tcPr>
          <w:p w:rsidR="00CF0324" w:rsidRDefault="00124A10">
            <w:pPr>
              <w:jc w:val="center"/>
            </w:pPr>
            <w:r>
              <w:t>0,6</w:t>
            </w:r>
          </w:p>
        </w:tc>
        <w:tc>
          <w:tcPr>
            <w:tcW w:w="1134" w:type="dxa"/>
            <w:vAlign w:val="center"/>
          </w:tcPr>
          <w:p w:rsidR="00CF0324" w:rsidRDefault="00124A10">
            <w:pPr>
              <w:jc w:val="center"/>
            </w:pPr>
            <w:r>
              <w:t>0,6</w:t>
            </w:r>
          </w:p>
        </w:tc>
        <w:tc>
          <w:tcPr>
            <w:tcW w:w="1134" w:type="dxa"/>
            <w:vAlign w:val="center"/>
          </w:tcPr>
          <w:p w:rsidR="00CF0324" w:rsidRDefault="00124A10">
            <w:pPr>
              <w:jc w:val="center"/>
            </w:pPr>
            <w:r>
              <w:t>0,5</w:t>
            </w:r>
          </w:p>
        </w:tc>
        <w:tc>
          <w:tcPr>
            <w:tcW w:w="1134" w:type="dxa"/>
            <w:vAlign w:val="center"/>
          </w:tcPr>
          <w:p w:rsidR="00CF0324" w:rsidRDefault="00124A10">
            <w:pPr>
              <w:jc w:val="center"/>
            </w:pPr>
            <w:r>
              <w:t>0,4</w:t>
            </w:r>
          </w:p>
        </w:tc>
      </w:tr>
      <w:tr w:rsidR="00CF0324">
        <w:tc>
          <w:tcPr>
            <w:tcW w:w="15451" w:type="dxa"/>
            <w:gridSpan w:val="12"/>
            <w:vAlign w:val="center"/>
          </w:tcPr>
          <w:p w:rsidR="00CF0324" w:rsidRDefault="00124A10">
            <w:pPr>
              <w:jc w:val="center"/>
            </w:pPr>
            <w:r>
              <w:t>Бюджетная политика</w:t>
            </w:r>
          </w:p>
        </w:tc>
      </w:tr>
      <w:tr w:rsidR="00CF0324">
        <w:tc>
          <w:tcPr>
            <w:tcW w:w="568" w:type="dxa"/>
            <w:vAlign w:val="center"/>
          </w:tcPr>
          <w:p w:rsidR="00CF0324" w:rsidRDefault="00124A10">
            <w:pPr>
              <w:jc w:val="center"/>
            </w:pPr>
            <w:r>
              <w:t>30</w:t>
            </w:r>
          </w:p>
        </w:tc>
        <w:tc>
          <w:tcPr>
            <w:tcW w:w="3401" w:type="dxa"/>
            <w:vAlign w:val="center"/>
          </w:tcPr>
          <w:p w:rsidR="00CF0324" w:rsidRDefault="00124A10">
            <w:pPr>
              <w:shd w:val="clear" w:color="auto" w:fill="FFFFFF"/>
              <w:rPr>
                <w:color w:val="1A1A1A"/>
              </w:rPr>
            </w:pPr>
            <w:r>
              <w:rPr>
                <w:color w:val="1A1A1A"/>
              </w:rPr>
              <w:t>Доля налоговых и неналоговых доходов местного бюджета (за</w:t>
            </w:r>
          </w:p>
          <w:p w:rsidR="00CF0324" w:rsidRDefault="00124A10">
            <w:pPr>
              <w:shd w:val="clear" w:color="auto" w:fill="FFFFFF"/>
              <w:rPr>
                <w:color w:val="1A1A1A"/>
              </w:rPr>
            </w:pPr>
            <w:r>
              <w:rPr>
                <w:color w:val="1A1A1A"/>
              </w:rPr>
              <w:t>исключением поступлений</w:t>
            </w:r>
          </w:p>
          <w:p w:rsidR="00CF0324" w:rsidRDefault="00124A10">
            <w:pPr>
              <w:shd w:val="clear" w:color="auto" w:fill="FFFFFF"/>
              <w:rPr>
                <w:color w:val="1A1A1A"/>
              </w:rPr>
            </w:pPr>
            <w:r>
              <w:rPr>
                <w:color w:val="1A1A1A"/>
              </w:rPr>
              <w:t>налоговых доходов по</w:t>
            </w:r>
          </w:p>
          <w:p w:rsidR="00CF0324" w:rsidRDefault="00124A10">
            <w:pPr>
              <w:shd w:val="clear" w:color="auto" w:fill="FFFFFF"/>
              <w:rPr>
                <w:color w:val="1A1A1A"/>
              </w:rPr>
            </w:pPr>
            <w:r>
              <w:rPr>
                <w:color w:val="1A1A1A"/>
              </w:rPr>
              <w:t>дополнительным нормативам</w:t>
            </w:r>
          </w:p>
          <w:p w:rsidR="00CF0324" w:rsidRDefault="00124A10">
            <w:pPr>
              <w:shd w:val="clear" w:color="auto" w:fill="FFFFFF"/>
              <w:rPr>
                <w:color w:val="1A1A1A"/>
              </w:rPr>
            </w:pPr>
            <w:r>
              <w:rPr>
                <w:color w:val="1A1A1A"/>
              </w:rPr>
              <w:t xml:space="preserve">отчислений) в общем объеме </w:t>
            </w:r>
            <w:r>
              <w:rPr>
                <w:color w:val="1A1A1A"/>
              </w:rPr>
              <w:lastRenderedPageBreak/>
              <w:t>собственных</w:t>
            </w:r>
          </w:p>
          <w:p w:rsidR="00CF0324" w:rsidRDefault="00124A10">
            <w:pPr>
              <w:shd w:val="clear" w:color="auto" w:fill="FFFFFF"/>
              <w:rPr>
                <w:color w:val="1A1A1A"/>
              </w:rPr>
            </w:pPr>
            <w:r>
              <w:rPr>
                <w:color w:val="1A1A1A"/>
              </w:rPr>
              <w:t>доходов бюджета муниципального образования</w:t>
            </w:r>
          </w:p>
          <w:p w:rsidR="00CF0324" w:rsidRDefault="00124A10">
            <w:pPr>
              <w:shd w:val="clear" w:color="auto" w:fill="FFFFFF"/>
              <w:rPr>
                <w:color w:val="1A1A1A"/>
              </w:rPr>
            </w:pPr>
            <w:r>
              <w:rPr>
                <w:color w:val="1A1A1A"/>
              </w:rPr>
              <w:t>(без учета субвенций)</w:t>
            </w:r>
          </w:p>
        </w:tc>
        <w:tc>
          <w:tcPr>
            <w:tcW w:w="1276" w:type="dxa"/>
            <w:vAlign w:val="center"/>
          </w:tcPr>
          <w:p w:rsidR="00CF0324" w:rsidRDefault="00124A10">
            <w:pPr>
              <w:jc w:val="center"/>
            </w:pPr>
            <w:r>
              <w:lastRenderedPageBreak/>
              <w:t>%</w:t>
            </w:r>
          </w:p>
        </w:tc>
        <w:tc>
          <w:tcPr>
            <w:tcW w:w="1134" w:type="dxa"/>
            <w:vAlign w:val="center"/>
          </w:tcPr>
          <w:p w:rsidR="00CF0324" w:rsidRDefault="00124A10">
            <w:pPr>
              <w:jc w:val="center"/>
              <w:rPr>
                <w:color w:val="000000"/>
              </w:rPr>
            </w:pPr>
            <w:r>
              <w:rPr>
                <w:color w:val="000000"/>
              </w:rPr>
              <w:t>31,3</w:t>
            </w:r>
          </w:p>
        </w:tc>
        <w:tc>
          <w:tcPr>
            <w:tcW w:w="1134" w:type="dxa"/>
            <w:vAlign w:val="center"/>
          </w:tcPr>
          <w:p w:rsidR="00CF0324" w:rsidRDefault="00124A10">
            <w:pPr>
              <w:jc w:val="center"/>
              <w:rPr>
                <w:color w:val="000000"/>
              </w:rPr>
            </w:pPr>
            <w:r>
              <w:rPr>
                <w:color w:val="000000"/>
              </w:rPr>
              <w:t>33,4</w:t>
            </w:r>
          </w:p>
        </w:tc>
        <w:tc>
          <w:tcPr>
            <w:tcW w:w="1134" w:type="dxa"/>
            <w:vAlign w:val="center"/>
          </w:tcPr>
          <w:p w:rsidR="00CF0324" w:rsidRDefault="00124A10">
            <w:pPr>
              <w:jc w:val="center"/>
              <w:rPr>
                <w:color w:val="000000"/>
              </w:rPr>
            </w:pPr>
            <w:r>
              <w:rPr>
                <w:color w:val="000000"/>
              </w:rPr>
              <w:t>34,6</w:t>
            </w:r>
          </w:p>
        </w:tc>
        <w:tc>
          <w:tcPr>
            <w:tcW w:w="1134" w:type="dxa"/>
            <w:vAlign w:val="center"/>
          </w:tcPr>
          <w:p w:rsidR="00CF0324" w:rsidRDefault="00124A10">
            <w:pPr>
              <w:jc w:val="center"/>
            </w:pPr>
            <w:r>
              <w:rPr>
                <w:color w:val="000000"/>
              </w:rPr>
              <w:t>34,8</w:t>
            </w:r>
          </w:p>
        </w:tc>
        <w:tc>
          <w:tcPr>
            <w:tcW w:w="1134" w:type="dxa"/>
            <w:vAlign w:val="center"/>
          </w:tcPr>
          <w:p w:rsidR="00CF0324" w:rsidRDefault="00124A10">
            <w:pPr>
              <w:jc w:val="center"/>
            </w:pPr>
            <w:r>
              <w:rPr>
                <w:color w:val="000000"/>
              </w:rPr>
              <w:t>35,1</w:t>
            </w:r>
          </w:p>
        </w:tc>
        <w:tc>
          <w:tcPr>
            <w:tcW w:w="1134" w:type="dxa"/>
            <w:vAlign w:val="center"/>
          </w:tcPr>
          <w:p w:rsidR="00CF0324" w:rsidRDefault="00124A10">
            <w:pPr>
              <w:jc w:val="center"/>
            </w:pPr>
            <w:r>
              <w:rPr>
                <w:color w:val="000000"/>
              </w:rPr>
              <w:t>35,4</w:t>
            </w:r>
          </w:p>
        </w:tc>
        <w:tc>
          <w:tcPr>
            <w:tcW w:w="1134" w:type="dxa"/>
            <w:vAlign w:val="center"/>
          </w:tcPr>
          <w:p w:rsidR="00CF0324" w:rsidRDefault="00124A10">
            <w:pPr>
              <w:jc w:val="center"/>
            </w:pPr>
            <w:r>
              <w:rPr>
                <w:color w:val="000000"/>
              </w:rPr>
              <w:t>35,9</w:t>
            </w:r>
          </w:p>
        </w:tc>
        <w:tc>
          <w:tcPr>
            <w:tcW w:w="1134" w:type="dxa"/>
            <w:vAlign w:val="center"/>
          </w:tcPr>
          <w:p w:rsidR="00CF0324" w:rsidRDefault="00124A10">
            <w:pPr>
              <w:jc w:val="center"/>
            </w:pPr>
            <w:r>
              <w:rPr>
                <w:color w:val="000000"/>
              </w:rPr>
              <w:t>36,4</w:t>
            </w:r>
          </w:p>
        </w:tc>
        <w:tc>
          <w:tcPr>
            <w:tcW w:w="1134" w:type="dxa"/>
            <w:vAlign w:val="center"/>
          </w:tcPr>
          <w:p w:rsidR="00CF0324" w:rsidRDefault="00124A10">
            <w:pPr>
              <w:jc w:val="center"/>
            </w:pPr>
            <w:r>
              <w:rPr>
                <w:color w:val="000000"/>
              </w:rPr>
              <w:t>39,4</w:t>
            </w:r>
          </w:p>
        </w:tc>
      </w:tr>
      <w:tr w:rsidR="00CF0324">
        <w:tc>
          <w:tcPr>
            <w:tcW w:w="568" w:type="dxa"/>
            <w:vAlign w:val="center"/>
          </w:tcPr>
          <w:p w:rsidR="00CF0324" w:rsidRDefault="00CF0324">
            <w:pPr>
              <w:jc w:val="both"/>
              <w:rPr>
                <w:color w:val="FF0000"/>
              </w:rPr>
            </w:pPr>
          </w:p>
        </w:tc>
        <w:tc>
          <w:tcPr>
            <w:tcW w:w="14883" w:type="dxa"/>
            <w:gridSpan w:val="11"/>
            <w:vAlign w:val="center"/>
          </w:tcPr>
          <w:p w:rsidR="00CF0324" w:rsidRDefault="00124A10">
            <w:pPr>
              <w:jc w:val="center"/>
            </w:pPr>
            <w:r>
              <w:t>Экология</w:t>
            </w:r>
          </w:p>
        </w:tc>
      </w:tr>
      <w:tr w:rsidR="00CF0324">
        <w:tc>
          <w:tcPr>
            <w:tcW w:w="568" w:type="dxa"/>
            <w:vAlign w:val="center"/>
          </w:tcPr>
          <w:p w:rsidR="00CF0324" w:rsidRDefault="00124A10">
            <w:pPr>
              <w:jc w:val="both"/>
            </w:pPr>
            <w:r>
              <w:t>31</w:t>
            </w:r>
          </w:p>
        </w:tc>
        <w:tc>
          <w:tcPr>
            <w:tcW w:w="3401" w:type="dxa"/>
            <w:vAlign w:val="center"/>
          </w:tcPr>
          <w:p w:rsidR="00CF0324" w:rsidRDefault="00124A10">
            <w:pPr>
              <w:jc w:val="both"/>
            </w:pPr>
            <w:r>
              <w:t>Протяженность очищенной прибрежной полосы водных объектов</w:t>
            </w:r>
          </w:p>
        </w:tc>
        <w:tc>
          <w:tcPr>
            <w:tcW w:w="1276" w:type="dxa"/>
            <w:vAlign w:val="center"/>
          </w:tcPr>
          <w:p w:rsidR="00CF0324" w:rsidRDefault="00124A10">
            <w:pPr>
              <w:jc w:val="center"/>
            </w:pPr>
            <w:r>
              <w:t>км (нарастающим итогом)</w:t>
            </w:r>
          </w:p>
        </w:tc>
        <w:tc>
          <w:tcPr>
            <w:tcW w:w="1134" w:type="dxa"/>
            <w:vAlign w:val="center"/>
          </w:tcPr>
          <w:p w:rsidR="00CF0324" w:rsidRDefault="00124A10">
            <w:pPr>
              <w:jc w:val="center"/>
            </w:pPr>
            <w:r>
              <w:t>49,603</w:t>
            </w:r>
          </w:p>
        </w:tc>
        <w:tc>
          <w:tcPr>
            <w:tcW w:w="1134" w:type="dxa"/>
            <w:vAlign w:val="center"/>
          </w:tcPr>
          <w:p w:rsidR="00CF0324" w:rsidRDefault="00124A10">
            <w:pPr>
              <w:jc w:val="center"/>
            </w:pPr>
            <w:r>
              <w:t>67,7</w:t>
            </w:r>
          </w:p>
        </w:tc>
        <w:tc>
          <w:tcPr>
            <w:tcW w:w="1134" w:type="dxa"/>
            <w:vAlign w:val="center"/>
          </w:tcPr>
          <w:p w:rsidR="00CF0324" w:rsidRDefault="00124A10">
            <w:pPr>
              <w:jc w:val="center"/>
            </w:pPr>
            <w:r>
              <w:t>85,8</w:t>
            </w:r>
          </w:p>
        </w:tc>
        <w:tc>
          <w:tcPr>
            <w:tcW w:w="1134" w:type="dxa"/>
            <w:vAlign w:val="center"/>
          </w:tcPr>
          <w:p w:rsidR="00CF0324" w:rsidRDefault="00124A10">
            <w:pPr>
              <w:jc w:val="center"/>
            </w:pPr>
            <w:r>
              <w:t>103,9</w:t>
            </w:r>
          </w:p>
        </w:tc>
        <w:tc>
          <w:tcPr>
            <w:tcW w:w="1134" w:type="dxa"/>
            <w:vAlign w:val="center"/>
          </w:tcPr>
          <w:p w:rsidR="00CF0324" w:rsidRDefault="00124A10">
            <w:pPr>
              <w:jc w:val="center"/>
            </w:pPr>
            <w:r>
              <w:t>122</w:t>
            </w:r>
          </w:p>
        </w:tc>
        <w:tc>
          <w:tcPr>
            <w:tcW w:w="1134" w:type="dxa"/>
            <w:vAlign w:val="center"/>
          </w:tcPr>
          <w:p w:rsidR="00CF0324" w:rsidRDefault="00124A10">
            <w:pPr>
              <w:jc w:val="center"/>
            </w:pPr>
            <w:r>
              <w:t>140,2</w:t>
            </w:r>
          </w:p>
        </w:tc>
        <w:tc>
          <w:tcPr>
            <w:tcW w:w="1134" w:type="dxa"/>
            <w:vAlign w:val="center"/>
          </w:tcPr>
          <w:p w:rsidR="00CF0324" w:rsidRDefault="00124A10">
            <w:pPr>
              <w:jc w:val="center"/>
            </w:pPr>
            <w:r>
              <w:t>158,3</w:t>
            </w:r>
          </w:p>
        </w:tc>
        <w:tc>
          <w:tcPr>
            <w:tcW w:w="1134" w:type="dxa"/>
            <w:vAlign w:val="center"/>
          </w:tcPr>
          <w:p w:rsidR="00CF0324" w:rsidRDefault="00124A10">
            <w:pPr>
              <w:jc w:val="center"/>
            </w:pPr>
            <w:r>
              <w:t>176,4</w:t>
            </w:r>
          </w:p>
        </w:tc>
        <w:tc>
          <w:tcPr>
            <w:tcW w:w="1134" w:type="dxa"/>
            <w:vAlign w:val="center"/>
          </w:tcPr>
          <w:p w:rsidR="00CF0324" w:rsidRDefault="00124A10">
            <w:pPr>
              <w:jc w:val="center"/>
            </w:pPr>
            <w:r>
              <w:t>285,1</w:t>
            </w:r>
          </w:p>
        </w:tc>
      </w:tr>
      <w:tr w:rsidR="00CF0324">
        <w:tc>
          <w:tcPr>
            <w:tcW w:w="568" w:type="dxa"/>
            <w:vAlign w:val="center"/>
          </w:tcPr>
          <w:p w:rsidR="00CF0324" w:rsidRDefault="00124A10">
            <w:pPr>
              <w:jc w:val="both"/>
            </w:pPr>
            <w:r>
              <w:t>32</w:t>
            </w:r>
          </w:p>
        </w:tc>
        <w:tc>
          <w:tcPr>
            <w:tcW w:w="3401" w:type="dxa"/>
            <w:vAlign w:val="center"/>
          </w:tcPr>
          <w:p w:rsidR="00CF0324" w:rsidRDefault="00124A10">
            <w:pPr>
              <w:jc w:val="both"/>
            </w:pPr>
            <w:r>
              <w:t xml:space="preserve">Количество населения, вовлеченного в мероприятия по очистке берегов водных объектов, </w:t>
            </w:r>
          </w:p>
        </w:tc>
        <w:tc>
          <w:tcPr>
            <w:tcW w:w="1276" w:type="dxa"/>
            <w:vAlign w:val="center"/>
          </w:tcPr>
          <w:p w:rsidR="00CF0324" w:rsidRDefault="00124A10">
            <w:pPr>
              <w:jc w:val="center"/>
              <w:rPr>
                <w:color w:val="FF0000"/>
              </w:rPr>
            </w:pPr>
            <w:r>
              <w:t>тыс. чел. (нарастающим итогом)</w:t>
            </w:r>
          </w:p>
        </w:tc>
        <w:tc>
          <w:tcPr>
            <w:tcW w:w="1134" w:type="dxa"/>
            <w:vAlign w:val="center"/>
          </w:tcPr>
          <w:p w:rsidR="00CF0324" w:rsidRDefault="00124A10">
            <w:pPr>
              <w:jc w:val="center"/>
            </w:pPr>
            <w:r>
              <w:t>7,57</w:t>
            </w:r>
          </w:p>
        </w:tc>
        <w:tc>
          <w:tcPr>
            <w:tcW w:w="1134" w:type="dxa"/>
            <w:vAlign w:val="center"/>
          </w:tcPr>
          <w:p w:rsidR="00CF0324" w:rsidRDefault="00124A10">
            <w:pPr>
              <w:jc w:val="center"/>
            </w:pPr>
            <w:r>
              <w:t>9,1</w:t>
            </w:r>
          </w:p>
        </w:tc>
        <w:tc>
          <w:tcPr>
            <w:tcW w:w="1134" w:type="dxa"/>
            <w:vAlign w:val="center"/>
          </w:tcPr>
          <w:p w:rsidR="00CF0324" w:rsidRDefault="00124A10">
            <w:pPr>
              <w:jc w:val="center"/>
            </w:pPr>
            <w:r>
              <w:t>10,6</w:t>
            </w:r>
          </w:p>
        </w:tc>
        <w:tc>
          <w:tcPr>
            <w:tcW w:w="1134" w:type="dxa"/>
            <w:vAlign w:val="center"/>
          </w:tcPr>
          <w:p w:rsidR="00CF0324" w:rsidRDefault="00124A10">
            <w:pPr>
              <w:jc w:val="center"/>
            </w:pPr>
            <w:r>
              <w:t>12,1</w:t>
            </w:r>
          </w:p>
        </w:tc>
        <w:tc>
          <w:tcPr>
            <w:tcW w:w="1134" w:type="dxa"/>
            <w:vAlign w:val="center"/>
          </w:tcPr>
          <w:p w:rsidR="00CF0324" w:rsidRDefault="00124A10">
            <w:pPr>
              <w:jc w:val="center"/>
            </w:pPr>
            <w:r>
              <w:t>13,6</w:t>
            </w:r>
          </w:p>
        </w:tc>
        <w:tc>
          <w:tcPr>
            <w:tcW w:w="1134" w:type="dxa"/>
            <w:vAlign w:val="center"/>
          </w:tcPr>
          <w:p w:rsidR="00CF0324" w:rsidRDefault="00124A10">
            <w:pPr>
              <w:jc w:val="center"/>
            </w:pPr>
            <w:r>
              <w:t>9,1</w:t>
            </w:r>
          </w:p>
        </w:tc>
        <w:tc>
          <w:tcPr>
            <w:tcW w:w="1134" w:type="dxa"/>
            <w:vAlign w:val="center"/>
          </w:tcPr>
          <w:p w:rsidR="00CF0324" w:rsidRDefault="00124A10">
            <w:pPr>
              <w:jc w:val="center"/>
            </w:pPr>
            <w:r>
              <w:t>15,1</w:t>
            </w:r>
          </w:p>
        </w:tc>
        <w:tc>
          <w:tcPr>
            <w:tcW w:w="1134" w:type="dxa"/>
            <w:vAlign w:val="center"/>
          </w:tcPr>
          <w:p w:rsidR="00CF0324" w:rsidRDefault="00124A10">
            <w:pPr>
              <w:jc w:val="center"/>
            </w:pPr>
            <w:r>
              <w:t>16,6</w:t>
            </w:r>
          </w:p>
        </w:tc>
        <w:tc>
          <w:tcPr>
            <w:tcW w:w="1134" w:type="dxa"/>
            <w:vAlign w:val="center"/>
          </w:tcPr>
          <w:p w:rsidR="00CF0324" w:rsidRDefault="00124A10">
            <w:pPr>
              <w:jc w:val="center"/>
            </w:pPr>
            <w:r>
              <w:t>25,6</w:t>
            </w:r>
          </w:p>
        </w:tc>
      </w:tr>
    </w:tbl>
    <w:p w:rsidR="00CF0324" w:rsidRDefault="00CF0324"/>
    <w:sectPr w:rsidR="00CF0324">
      <w:footerReference w:type="default" r:id="rId53"/>
      <w:pgSz w:w="16838" w:h="11906" w:orient="landscape"/>
      <w:pgMar w:top="1560"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324" w:rsidRDefault="00124A10">
      <w:r>
        <w:separator/>
      </w:r>
    </w:p>
  </w:endnote>
  <w:endnote w:type="continuationSeparator" w:id="0">
    <w:p w:rsidR="00CF0324" w:rsidRDefault="00124A10">
      <w:r>
        <w:continuationSeparator/>
      </w:r>
    </w:p>
  </w:endnote>
  <w:endnote w:id="1">
    <w:p w:rsidR="00CF0324" w:rsidRDefault="00124A10">
      <w:pPr>
        <w:pStyle w:val="af3"/>
      </w:pPr>
      <w:r>
        <w:rPr>
          <w:rStyle w:val="af5"/>
        </w:rPr>
        <w:endnoteRef/>
      </w:r>
      <w:r>
        <w:t xml:space="preserve"> Приложение 11 к постановлению Правительства Ханты-Мансийского автономного округа – Югры «О мерах по реализации государственной программы Ханты-Мансийского автономного округа – Югры «Развитие экономического потенциала» от 30.12.2021 №633-п (с изменениями от 30.06.2023)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default"/>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charset w:val="00"/>
    <w:family w:val="auto"/>
    <w:pitch w:val="default"/>
  </w:font>
  <w:font w:name="Sans EE">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PT Sans+FPE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rPr>
        <w:sz w:val="22"/>
        <w:szCs w:val="22"/>
      </w:rPr>
    </w:pPr>
  </w:p>
  <w:p w:rsidR="00CF0324" w:rsidRDefault="00CF0324">
    <w:pPr>
      <w:pStyle w:val="5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p w:rsidR="00CF0324" w:rsidRDefault="00CF032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p w:rsidR="00CF0324" w:rsidRDefault="00CF032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CF0324">
    <w:pPr>
      <w:pStyle w:val="53"/>
      <w:jc w:val="right"/>
    </w:pPr>
  </w:p>
  <w:p w:rsidR="00CF0324" w:rsidRDefault="00CF0324">
    <w:pPr>
      <w:pStyle w:val="53"/>
    </w:pPr>
  </w:p>
  <w:p w:rsidR="00CF0324" w:rsidRDefault="00CF032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53"/>
      <w:framePr w:wrap="around" w:vAnchor="text" w:hAnchor="margin" w:xAlign="center" w:y="1"/>
      <w:rPr>
        <w:rStyle w:val="aff7"/>
        <w:rFonts w:cs="Calibri"/>
      </w:rPr>
    </w:pPr>
    <w:r>
      <w:rPr>
        <w:rStyle w:val="aff7"/>
        <w:rFonts w:cs="Calibri"/>
      </w:rPr>
      <w:fldChar w:fldCharType="begin"/>
    </w:r>
    <w:r>
      <w:rPr>
        <w:rStyle w:val="aff7"/>
        <w:rFonts w:cs="Calibri"/>
      </w:rPr>
      <w:instrText xml:space="preserve">PAGE  </w:instrText>
    </w:r>
    <w:r>
      <w:rPr>
        <w:rStyle w:val="aff7"/>
        <w:rFonts w:cs="Calibri"/>
      </w:rPr>
      <w:fldChar w:fldCharType="separate"/>
    </w:r>
    <w:r>
      <w:rPr>
        <w:rStyle w:val="aff7"/>
        <w:rFonts w:cs="Calibri"/>
      </w:rPr>
      <w:t>24</w:t>
    </w:r>
    <w:r>
      <w:rPr>
        <w:rStyle w:val="aff7"/>
        <w:rFonts w:cs="Calibri"/>
      </w:rPr>
      <w:fldChar w:fldCharType="end"/>
    </w:r>
  </w:p>
  <w:p w:rsidR="00CF0324" w:rsidRDefault="00CF0324">
    <w:pPr>
      <w:pStyle w:val="5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324" w:rsidRDefault="00124A10">
      <w:r>
        <w:separator/>
      </w:r>
    </w:p>
  </w:footnote>
  <w:footnote w:type="continuationSeparator" w:id="0">
    <w:p w:rsidR="00CF0324" w:rsidRDefault="00124A10">
      <w:r>
        <w:continuationSeparator/>
      </w:r>
    </w:p>
  </w:footnote>
  <w:footnote w:id="1">
    <w:p w:rsidR="00CF0324" w:rsidRDefault="00124A10">
      <w:pPr>
        <w:pStyle w:val="TableFootnotelast1FootnoteTextCharFootnoteTextChar-FNTableFootnotelastTableFootnotelastsinglespace1"/>
      </w:pPr>
      <w:r>
        <w:rPr>
          <w:rStyle w:val="16"/>
        </w:rPr>
        <w:footnoteRef/>
      </w:r>
      <w:r>
        <w:t xml:space="preserve">  </w:t>
      </w:r>
      <w:hyperlink r:id="rId1" w:history="1">
        <w:r>
          <w:rPr>
            <w:rStyle w:val="af"/>
          </w:rPr>
          <w:t>https://rosstat.gov.ru/storage/mediabank/OPJ.xlsx</w:t>
        </w:r>
      </w:hyperlink>
      <w:r>
        <w:t xml:space="preserve"> </w:t>
      </w:r>
    </w:p>
  </w:footnote>
  <w:footnote w:id="2">
    <w:p w:rsidR="00CF0324" w:rsidRDefault="00124A10">
      <w:pPr>
        <w:pStyle w:val="TableFootnotelast1FootnoteTextCharFootnoteTextChar-FNTableFootnotelastTableFootnotelastsinglespace1"/>
      </w:pPr>
      <w:r>
        <w:rPr>
          <w:rStyle w:val="16"/>
        </w:rPr>
        <w:footnoteRef/>
      </w:r>
      <w:r>
        <w:t xml:space="preserve"> </w:t>
      </w:r>
      <w:hyperlink r:id="rId2" w:history="1">
        <w:r>
          <w:rPr>
            <w:rStyle w:val="af"/>
          </w:rPr>
          <w:t>https://deptrud.admhmao.ru/monitoring-situatsii-na-registriruemom-rynke-truda/pokazateli-ezhenedelnogo-monitoringa-situatsii-na-registriruemom-rynke-truda/2022-god/</w:t>
        </w:r>
      </w:hyperlink>
      <w:r>
        <w:t xml:space="preserve"> </w:t>
      </w:r>
    </w:p>
  </w:footnote>
  <w:footnote w:id="3">
    <w:p w:rsidR="00CF0324" w:rsidRDefault="00124A10">
      <w:pPr>
        <w:pStyle w:val="TableFootnotelast1FootnoteTextCharFootnoteTextChar-FNTableFootnotelastTableFootnotelastsinglespace1"/>
      </w:pPr>
      <w:r>
        <w:rPr>
          <w:rStyle w:val="16"/>
        </w:rPr>
        <w:footnoteRef/>
      </w:r>
      <w:r>
        <w:t xml:space="preserve"> </w:t>
      </w:r>
      <w:r>
        <w:rPr>
          <w:sz w:val="16"/>
          <w:szCs w:val="16"/>
        </w:rPr>
        <w:t>ОК 009-2016. Общероссийский классификатор специальностей по образованию" (принят и введен в действие Приказом Росстандарта от 08.12.2016 N 2007-ст)</w:t>
      </w:r>
      <w:r>
        <w:t xml:space="preserve"> </w:t>
      </w:r>
    </w:p>
  </w:footnote>
  <w:footnote w:id="4">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3" w:history="1">
        <w:r>
          <w:rPr>
            <w:rStyle w:val="af"/>
            <w:sz w:val="16"/>
            <w:szCs w:val="16"/>
          </w:rPr>
          <w:t>https://www.gks.ru/scripts/db_inet2/passport/table.aspx?opt=7181600020162017201820192020202120222023</w:t>
        </w:r>
      </w:hyperlink>
      <w:r>
        <w:rPr>
          <w:sz w:val="16"/>
          <w:szCs w:val="16"/>
        </w:rPr>
        <w:t xml:space="preserve"> </w:t>
      </w:r>
    </w:p>
  </w:footnote>
  <w:footnote w:id="5">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Информация Департамента недропользования и природных ресурсов Ханты-Мансийского автономного округа – Югры от 21.08.2023 12-Исх-23948</w:t>
      </w:r>
    </w:p>
  </w:footnote>
  <w:footnote w:id="6">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4" w:history="1">
        <w:r>
          <w:rPr>
            <w:rStyle w:val="af"/>
            <w:sz w:val="16"/>
            <w:szCs w:val="16"/>
          </w:rPr>
          <w:t>https://docs.yandex.ru/docs/view?url=ya-browser%3A%2F%2F4DT1uXEPRrJRXlUFoewruPNxHzVWClfZMf5f1sMVFEV3EyO3Gm1Yhqysf6hqWSm4MX5CKeFaZ9EEnDpHQRb5XSPRrPzQQ76onavqlldz9rajP4gMYaCSEEHEtKS-z9CztWjzW5Tygi_SPdicLIx6KA%3D%3D%3Fsign%3DX2VtfMGv5viukEVLZn9uBGjmAsZTqSxRXoS_qdZm06k%3D&amp;name=Численность%20населения%20за%202017-2022%20годы_ХМАО_2.xlsx&amp;nosw=1</w:t>
        </w:r>
      </w:hyperlink>
      <w:r>
        <w:rPr>
          <w:sz w:val="16"/>
          <w:szCs w:val="16"/>
        </w:rPr>
        <w:t xml:space="preserve"> </w:t>
      </w:r>
    </w:p>
  </w:footnote>
  <w:footnote w:id="7">
    <w:p w:rsidR="00CF0324" w:rsidRDefault="00124A10">
      <w:pPr>
        <w:pStyle w:val="TableFootnotelast1FootnoteTextCharFootnoteTextChar-FNTableFootnotelastTableFootnotelastsinglespace1"/>
      </w:pPr>
      <w:r>
        <w:rPr>
          <w:rStyle w:val="16"/>
        </w:rPr>
        <w:footnoteRef/>
      </w:r>
      <w:r>
        <w:t xml:space="preserve"> </w:t>
      </w:r>
      <w:hyperlink r:id="rId5" w:history="1">
        <w:r>
          <w:rPr>
            <w:rStyle w:val="af"/>
          </w:rPr>
          <w:t>https://tourism.admhmao.ru/reestr-turistskikh-resursov-i-obektov-turistskoy-industrii-yugry/kondinskiy-rayon/</w:t>
        </w:r>
      </w:hyperlink>
      <w:r>
        <w:t xml:space="preserve"> </w:t>
      </w:r>
    </w:p>
  </w:footnote>
  <w:footnote w:id="8">
    <w:p w:rsidR="00CF0324" w:rsidRDefault="00124A10">
      <w:pPr>
        <w:rPr>
          <w:rFonts w:eastAsia="Calibri"/>
          <w:sz w:val="16"/>
          <w:szCs w:val="16"/>
        </w:rPr>
      </w:pPr>
      <w:r>
        <w:rPr>
          <w:rStyle w:val="16"/>
          <w:sz w:val="16"/>
          <w:szCs w:val="16"/>
        </w:rPr>
        <w:footnoteRef/>
      </w:r>
      <w:r>
        <w:rPr>
          <w:sz w:val="16"/>
          <w:szCs w:val="16"/>
        </w:rPr>
        <w:t xml:space="preserve"> 1)</w:t>
      </w:r>
      <w:r>
        <w:rPr>
          <w:rFonts w:eastAsia="Calibri"/>
          <w:sz w:val="16"/>
          <w:szCs w:val="16"/>
        </w:rPr>
        <w:t>МУНИЦИПАЛЬНОЕ УЧРЕЖДЕНИЕ КУЛЬТУРЫ "РАЙОННЫЙ КРАЕВЕДЧЕСКИЙ МУЗЕЙ ИМЕНИ НИНЫ СТЕПАНОВНЫ ЦЕХНОВОЙ"</w:t>
      </w:r>
      <w:r>
        <w:rPr>
          <w:sz w:val="16"/>
          <w:szCs w:val="16"/>
        </w:rPr>
        <w:t xml:space="preserve">; Ханты-Мансийский автономный округ - Югра, Кондинский район, гп. Кондинское, ул.Первомайская, 12, </w:t>
      </w:r>
      <w:hyperlink r:id="rId6" w:history="1">
        <w:r>
          <w:rPr>
            <w:rStyle w:val="af"/>
            <w:sz w:val="16"/>
            <w:szCs w:val="16"/>
          </w:rPr>
          <w:t>https://www.culture.ru/institutes/21038/raionnyi-kraevedcheskii-muzei-imeni-niny-stepanovny-cekhnovoi</w:t>
        </w:r>
      </w:hyperlink>
      <w:r>
        <w:rPr>
          <w:sz w:val="16"/>
          <w:szCs w:val="16"/>
        </w:rPr>
        <w:t xml:space="preserve"> </w:t>
      </w:r>
    </w:p>
    <w:p w:rsidR="00CF0324" w:rsidRDefault="00124A10">
      <w:pPr>
        <w:rPr>
          <w:sz w:val="16"/>
          <w:szCs w:val="16"/>
        </w:rPr>
      </w:pPr>
      <w:r>
        <w:rPr>
          <w:sz w:val="16"/>
          <w:szCs w:val="16"/>
        </w:rPr>
        <w:t xml:space="preserve">2) МУНИЦИПАЛЬНОЕ УЧРЕЖДЕНИЕ КУЛЬТУРЫ "РАЙОННЫЙ УЧИНСКИЙ ИСТОРИКО-ЭТНОГРАФИЧЕСКИЙ МУЗЕЙ" ИМЕНИ АНАТОЛИЯ НИКОЛАЕВИЧА ХОМЯКОВА; Адрес: Ханты-Мансийский автономный округ - Югра, Кондинский район, п.Половинка, ул. Рыбников, 8, </w:t>
      </w:r>
      <w:hyperlink r:id="rId7" w:history="1">
        <w:r>
          <w:rPr>
            <w:rStyle w:val="af"/>
            <w:sz w:val="16"/>
            <w:szCs w:val="16"/>
          </w:rPr>
          <w:t>http://www.hmao-museums.ru/museum/rayonnyy_uchinskiy_muzey/about/</w:t>
        </w:r>
      </w:hyperlink>
      <w:r>
        <w:rPr>
          <w:sz w:val="16"/>
          <w:szCs w:val="16"/>
        </w:rPr>
        <w:t xml:space="preserve"> </w:t>
      </w:r>
    </w:p>
  </w:footnote>
  <w:footnote w:id="9">
    <w:p w:rsidR="00CF0324" w:rsidRDefault="00124A10">
      <w:pPr>
        <w:pStyle w:val="TableFootnotelast1FootnoteTextCharFootnoteTextChar-FNTableFootnotelastTableFootnotelastsinglespace1"/>
      </w:pPr>
      <w:r>
        <w:rPr>
          <w:rStyle w:val="16"/>
        </w:rPr>
        <w:footnoteRef/>
      </w:r>
      <w:r>
        <w:rPr>
          <w:sz w:val="16"/>
          <w:szCs w:val="16"/>
        </w:rPr>
        <w:t>Отчеты о количестве туристов и экскурсантов в Кондинском районе за 2022, 2021 годы, комитета несырьевого сектора экономики и поддержки предпринимательства администрации Кондинского района, ответственных за реализацию политики в сфере туризма</w:t>
      </w:r>
      <w:r>
        <w:t>.</w:t>
      </w:r>
    </w:p>
  </w:footnote>
  <w:footnote w:id="10">
    <w:p w:rsidR="00CF0324" w:rsidRDefault="00124A10">
      <w:pPr>
        <w:pStyle w:val="TableFootnotelast1FootnoteTextCharFootnoteTextChar-FNTableFootnotelastTableFootnotelastsinglespace1"/>
        <w:rPr>
          <w:sz w:val="16"/>
          <w:szCs w:val="16"/>
        </w:rPr>
      </w:pPr>
      <w:r>
        <w:rPr>
          <w:rStyle w:val="16"/>
        </w:rPr>
        <w:footnoteRef/>
      </w:r>
      <w:hyperlink r:id="rId8" w:history="1">
        <w:r>
          <w:rPr>
            <w:rStyle w:val="af"/>
            <w:sz w:val="16"/>
            <w:szCs w:val="16"/>
          </w:rPr>
          <w:t>https://visitugra.ru/locations?sort=rating&amp;territory_id=17&amp;type_id=0&amp;page=1</w:t>
        </w:r>
      </w:hyperlink>
    </w:p>
  </w:footnote>
  <w:footnote w:id="11">
    <w:p w:rsidR="00CF0324" w:rsidRDefault="00124A10">
      <w:pPr>
        <w:pStyle w:val="TableFootnotelast1FootnoteTextCharFootnoteTextChar-FNTableFootnotelastTableFootnotelastsinglespace1"/>
      </w:pPr>
      <w:r>
        <w:rPr>
          <w:rStyle w:val="16"/>
        </w:rPr>
        <w:footnoteRef/>
      </w:r>
      <w:r>
        <w:t xml:space="preserve"> </w:t>
      </w:r>
      <w:hyperlink r:id="rId9" w:history="1">
        <w:r>
          <w:rPr>
            <w:rStyle w:val="af"/>
            <w:sz w:val="16"/>
            <w:szCs w:val="16"/>
          </w:rPr>
          <w:t>https://tourism.admhmao.ru/reestr-turistskikh-resursov-i-obektov-turistskoy-industrii-yugry/kondinskiy-rayon/turistskie-resursy/328412/pamyatniki-prirody/</w:t>
        </w:r>
      </w:hyperlink>
      <w:r>
        <w:t xml:space="preserve"> </w:t>
      </w:r>
    </w:p>
  </w:footnote>
  <w:footnote w:id="12">
    <w:p w:rsidR="00CF0324" w:rsidRDefault="00124A10">
      <w:pPr>
        <w:jc w:val="both"/>
        <w:rPr>
          <w:bCs/>
          <w:sz w:val="16"/>
          <w:szCs w:val="16"/>
        </w:rPr>
      </w:pPr>
      <w:r>
        <w:rPr>
          <w:rStyle w:val="16"/>
          <w:sz w:val="16"/>
          <w:szCs w:val="16"/>
        </w:rPr>
        <w:footnoteRef/>
      </w:r>
      <w:r>
        <w:rPr>
          <w:sz w:val="16"/>
          <w:szCs w:val="16"/>
        </w:rPr>
        <w:t xml:space="preserve"> распоряжение Правительства Ханты-Мансийского автономного округа-Югры от 01 июня 2012 года № 195-п «</w:t>
      </w:r>
      <w:r>
        <w:rPr>
          <w:bCs/>
          <w:sz w:val="16"/>
          <w:szCs w:val="16"/>
        </w:rPr>
        <w:t>О Концепции развития внутреннего и въездного туризма в Ханты-Мансийском автономном округе - Югре</w:t>
      </w:r>
    </w:p>
  </w:footnote>
  <w:footnote w:id="13">
    <w:p w:rsidR="00CF0324" w:rsidRDefault="00124A10">
      <w:pPr>
        <w:jc w:val="both"/>
        <w:rPr>
          <w:sz w:val="16"/>
          <w:szCs w:val="16"/>
        </w:rPr>
      </w:pPr>
      <w:r>
        <w:rPr>
          <w:rStyle w:val="16"/>
        </w:rPr>
        <w:footnoteRef/>
      </w:r>
      <w:r>
        <w:t xml:space="preserve"> </w:t>
      </w:r>
      <w:r>
        <w:rPr>
          <w:bCs/>
          <w:sz w:val="16"/>
          <w:szCs w:val="16"/>
        </w:rPr>
        <w:t>10.1. Функционально-пространственное зонирование автономного</w:t>
      </w:r>
      <w:r>
        <w:rPr>
          <w:sz w:val="16"/>
          <w:szCs w:val="16"/>
        </w:rPr>
        <w:t xml:space="preserve"> </w:t>
      </w:r>
      <w:r>
        <w:rPr>
          <w:bCs/>
          <w:sz w:val="16"/>
          <w:szCs w:val="16"/>
        </w:rPr>
        <w:t>округа, Раздел X. СТРАТЕГИЯ ПРОСТРАНСТВЕННОГО РАЗВИТИЯ</w:t>
      </w:r>
      <w:r>
        <w:rPr>
          <w:sz w:val="16"/>
          <w:szCs w:val="16"/>
        </w:rPr>
        <w:t xml:space="preserve"> </w:t>
      </w:r>
      <w:r>
        <w:rPr>
          <w:bCs/>
          <w:sz w:val="16"/>
          <w:szCs w:val="16"/>
        </w:rPr>
        <w:t>ХАНТЫ-МАНСИЙСКОГО АВТОНОМНОГО ОКРУГА – ЮГРЫ,</w:t>
      </w:r>
      <w:r>
        <w:rPr>
          <w:sz w:val="16"/>
          <w:szCs w:val="16"/>
        </w:rPr>
        <w:t xml:space="preserve"> Приложения к Распоряжению Правительства Ханты-Мансийского автономного округа – Югры от 03.11.2022 N 679-рп "О Стратегии социально экономического развития Ханты-Мансийского автономного округа - Югры до 2036 года с целевыми ориентирами до 2050 года".</w:t>
      </w:r>
    </w:p>
  </w:footnote>
  <w:footnote w:id="14">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Распоряжение Правительства РФ от 08.05.2009 N 631-р (ред. от 21.07.2023)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footnote>
  <w:footnote w:id="15">
    <w:p w:rsidR="00CF0324" w:rsidRDefault="00124A10">
      <w:pPr>
        <w:pStyle w:val="TableFootnotelast1FootnoteTextCharFootnoteTextChar-FNTableFootnotelastTableFootnotelastsinglespace1"/>
      </w:pPr>
      <w:r>
        <w:rPr>
          <w:rStyle w:val="16"/>
        </w:rPr>
        <w:footnoteRef/>
      </w:r>
      <w:r>
        <w:t xml:space="preserve"> </w:t>
      </w:r>
      <w:hyperlink r:id="rId10" w:history="1">
        <w:r>
          <w:rPr>
            <w:rStyle w:val="af"/>
          </w:rPr>
          <w:t>https://rosstat.gov.ru/storage/2023/04-22/q710MqhG/UFO_06.xlsx</w:t>
        </w:r>
      </w:hyperlink>
      <w:r>
        <w:t xml:space="preserve"> </w:t>
      </w:r>
    </w:p>
  </w:footnote>
  <w:footnote w:id="16">
    <w:p w:rsidR="00CF0324" w:rsidRDefault="00124A10">
      <w:pPr>
        <w:jc w:val="both"/>
        <w:rPr>
          <w:b/>
          <w:sz w:val="16"/>
          <w:szCs w:val="16"/>
        </w:rPr>
      </w:pPr>
      <w:r>
        <w:rPr>
          <w:rStyle w:val="16"/>
          <w:sz w:val="16"/>
          <w:szCs w:val="16"/>
        </w:rPr>
        <w:footnoteRef/>
      </w:r>
      <w:r>
        <w:rPr>
          <w:sz w:val="16"/>
          <w:szCs w:val="16"/>
        </w:rPr>
        <w:t xml:space="preserve"> Постановление Правительства Ханты-Мансийского автономного округа – Югры от 28 июля 2023 года № 505-рп «О социально-экономическом развитии в Ханты-Мансийском автономном округе – Югре опорных и прилегающих к ним населенных пунктов (сельских агломераций)».</w:t>
      </w:r>
    </w:p>
  </w:footnote>
  <w:footnote w:id="17">
    <w:p w:rsidR="00CF0324" w:rsidRDefault="00124A10">
      <w:pPr>
        <w:jc w:val="both"/>
        <w:rPr>
          <w:sz w:val="16"/>
          <w:szCs w:val="16"/>
        </w:rPr>
      </w:pPr>
      <w:r>
        <w:rPr>
          <w:rStyle w:val="16"/>
        </w:rPr>
        <w:footnoteRef/>
      </w:r>
      <w:r>
        <w:t xml:space="preserve"> </w:t>
      </w:r>
      <w:r>
        <w:rPr>
          <w:bCs/>
          <w:sz w:val="16"/>
          <w:szCs w:val="16"/>
        </w:rPr>
        <w:t>Раздел X. СТРАТЕГИЯ ПРОСТРАНСТВЕННОГО РАЗВИТИЯ</w:t>
      </w:r>
      <w:r>
        <w:rPr>
          <w:sz w:val="16"/>
          <w:szCs w:val="16"/>
        </w:rPr>
        <w:t xml:space="preserve"> </w:t>
      </w:r>
      <w:r>
        <w:rPr>
          <w:bCs/>
          <w:sz w:val="16"/>
          <w:szCs w:val="16"/>
        </w:rPr>
        <w:t>ХАНТЫ-МАНСИЙСКОГО АВТОНОМНОГО ОКРУГА – ЮГРЫ,</w:t>
      </w:r>
      <w:r>
        <w:rPr>
          <w:sz w:val="16"/>
          <w:szCs w:val="16"/>
        </w:rPr>
        <w:t xml:space="preserve"> Приложения к Распоряжению Правительства Ханты-Мансийского автономного округа - Югры от 03.11.2022 N 679-рп "О Стратегии социально экономического развития Ханты-Мансийского автономного округа - Югры до 2036 года с целевыми ориентирами до 2050 года".</w:t>
      </w:r>
    </w:p>
  </w:footnote>
  <w:footnote w:id="18">
    <w:p w:rsidR="00CF0324" w:rsidRDefault="00124A10">
      <w:pPr>
        <w:jc w:val="both"/>
        <w:rPr>
          <w:bCs/>
          <w:sz w:val="16"/>
          <w:szCs w:val="16"/>
        </w:rPr>
      </w:pPr>
      <w:r>
        <w:rPr>
          <w:rStyle w:val="16"/>
          <w:sz w:val="16"/>
          <w:szCs w:val="16"/>
        </w:rPr>
        <w:footnoteRef/>
      </w:r>
      <w:r>
        <w:rPr>
          <w:sz w:val="16"/>
          <w:szCs w:val="16"/>
        </w:rPr>
        <w:t xml:space="preserve"> П.2 таблицы 3 Приложения 1 к постановлению Правительства Ханты-Мансийского автономного округа – Югры от 31 октября 2021 года № 485-п «</w:t>
      </w:r>
      <w:r>
        <w:rPr>
          <w:bCs/>
          <w:sz w:val="16"/>
          <w:szCs w:val="16"/>
        </w:rPr>
        <w:t>О государственной программе Ханты-Мансийского автономного округа - Югры "Современная Транспортная Система"</w:t>
      </w:r>
    </w:p>
    <w:p w:rsidR="00CF0324" w:rsidRDefault="00CF0324">
      <w:pPr>
        <w:pStyle w:val="TableFootnotelast1FootnoteTextCharFootnoteTextChar-FNTableFootnotelastTableFootnotelastsinglespace1"/>
      </w:pPr>
    </w:p>
  </w:footnote>
  <w:footnote w:id="19">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1" w:history="1">
        <w:r>
          <w:rPr>
            <w:rStyle w:val="af"/>
            <w:sz w:val="16"/>
            <w:szCs w:val="16"/>
          </w:rPr>
          <w:t>https://rosstat.gov.ru/scripts/db_inet2/passport/table.aspx?opt=718160002016201720182019202020212022</w:t>
        </w:r>
      </w:hyperlink>
      <w:r>
        <w:rPr>
          <w:sz w:val="16"/>
          <w:szCs w:val="16"/>
        </w:rPr>
        <w:t xml:space="preserve"> </w:t>
      </w:r>
    </w:p>
  </w:footnote>
  <w:footnote w:id="20">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2" w:history="1">
        <w:r>
          <w:rPr>
            <w:rStyle w:val="af"/>
            <w:sz w:val="16"/>
            <w:szCs w:val="16"/>
          </w:rPr>
          <w:t>https://rosstat.gov.ru/scripts/db_inet2/passport/table.aspx?opt=718160002016201720182019202020212022</w:t>
        </w:r>
      </w:hyperlink>
      <w:r>
        <w:rPr>
          <w:sz w:val="16"/>
          <w:szCs w:val="16"/>
        </w:rPr>
        <w:t xml:space="preserve"> </w:t>
      </w:r>
    </w:p>
  </w:footnote>
  <w:footnote w:id="21">
    <w:p w:rsidR="00CF0324" w:rsidRDefault="00124A10">
      <w:pPr>
        <w:pStyle w:val="TableFootnotelast1FootnoteTextCharFootnoteTextChar-FNTableFootnotelastTableFootnotelastsinglespace1"/>
      </w:pPr>
      <w:r>
        <w:rPr>
          <w:rStyle w:val="16"/>
        </w:rPr>
        <w:footnoteRef/>
      </w:r>
      <w:r>
        <w:t xml:space="preserve"> </w:t>
      </w:r>
      <w:hyperlink r:id="rId13" w:history="1">
        <w:r>
          <w:rPr>
            <w:rStyle w:val="af"/>
          </w:rPr>
          <w:t>https://rosstat.gov.ru/scripts/db_inet2/passport/table.aspx?opt=718160002016201720182019202020212022</w:t>
        </w:r>
      </w:hyperlink>
      <w:r>
        <w:t xml:space="preserve"> </w:t>
      </w:r>
    </w:p>
  </w:footnote>
  <w:footnote w:id="22">
    <w:p w:rsidR="00CF0324" w:rsidRDefault="00124A10">
      <w:pPr>
        <w:pStyle w:val="TableFootnotelast1FootnoteTextCharFootnoteTextChar-FNTableFootnotelastTableFootnotelastsinglespace1"/>
      </w:pPr>
      <w:r>
        <w:rPr>
          <w:rStyle w:val="16"/>
        </w:rPr>
        <w:footnoteRef/>
      </w:r>
      <w:r>
        <w:t xml:space="preserve"> </w:t>
      </w:r>
      <w:hyperlink r:id="rId14" w:history="1">
        <w:r>
          <w:rPr>
            <w:rStyle w:val="af"/>
          </w:rPr>
          <w:t>https://rosstat.gov.ru/scripts/db_inet2/passport/table.aspx?opt=718160002016201720182019202020212022</w:t>
        </w:r>
      </w:hyperlink>
      <w:r>
        <w:t xml:space="preserve"> </w:t>
      </w:r>
    </w:p>
  </w:footnote>
  <w:footnote w:id="23">
    <w:p w:rsidR="00CF0324" w:rsidRDefault="00124A10">
      <w:pPr>
        <w:rPr>
          <w:bCs/>
          <w:sz w:val="16"/>
          <w:szCs w:val="16"/>
        </w:rPr>
      </w:pPr>
      <w:r>
        <w:rPr>
          <w:rStyle w:val="16"/>
          <w:sz w:val="16"/>
          <w:szCs w:val="16"/>
        </w:rPr>
        <w:footnoteRef/>
      </w:r>
      <w:r>
        <w:rPr>
          <w:sz w:val="16"/>
          <w:szCs w:val="16"/>
        </w:rPr>
        <w:t xml:space="preserve"> </w:t>
      </w:r>
      <w:r>
        <w:rPr>
          <w:bCs/>
          <w:sz w:val="16"/>
          <w:szCs w:val="16"/>
        </w:rPr>
        <w:t>Распоряжение Правительство Ханты-Мансийского автономного округа - Югры от 19 мая 2023 г. N 278-рп «Об итогах социально-экономического развития Ханты-Мансийского автономного округа - Югры за 2022 год».</w:t>
      </w:r>
    </w:p>
  </w:footnote>
  <w:footnote w:id="24">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5" w:history="1">
        <w:r>
          <w:rPr>
            <w:rStyle w:val="af"/>
            <w:sz w:val="16"/>
            <w:szCs w:val="16"/>
          </w:rPr>
          <w:t>https://rosstat.gov.ru/scripts/db_inet2/passport/table.aspx?opt=718160002016201720182019202020212022</w:t>
        </w:r>
      </w:hyperlink>
      <w:r>
        <w:rPr>
          <w:sz w:val="16"/>
          <w:szCs w:val="16"/>
        </w:rPr>
        <w:t xml:space="preserve"> </w:t>
      </w:r>
    </w:p>
  </w:footnote>
  <w:footnote w:id="25">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6" w:history="1">
        <w:r>
          <w:rPr>
            <w:rStyle w:val="af"/>
            <w:sz w:val="16"/>
            <w:szCs w:val="16"/>
          </w:rPr>
          <w:t>https://rosstat.gov.ru/scripts/db_inet2/passport/table.aspx?opt=718160002016201720182019202020212022</w:t>
        </w:r>
      </w:hyperlink>
      <w:r>
        <w:rPr>
          <w:sz w:val="16"/>
          <w:szCs w:val="16"/>
        </w:rPr>
        <w:t xml:space="preserve"> </w:t>
      </w:r>
    </w:p>
  </w:footnote>
  <w:footnote w:id="26">
    <w:p w:rsidR="00CF0324" w:rsidRDefault="00124A10">
      <w:pPr>
        <w:pStyle w:val="TableFootnotelast1FootnoteTextCharFootnoteTextChar-FNTableFootnotelastTableFootnotelastsinglespace1"/>
      </w:pPr>
      <w:r>
        <w:rPr>
          <w:rStyle w:val="16"/>
        </w:rPr>
        <w:footnoteRef/>
      </w:r>
      <w:r>
        <w:t xml:space="preserve"> </w:t>
      </w:r>
      <w:r>
        <w:rPr>
          <w:sz w:val="16"/>
          <w:szCs w:val="16"/>
        </w:rPr>
        <w:t>Информация предоставлена комитетом по управлению муниципальным имуществом администрации Кондинского района.</w:t>
      </w:r>
    </w:p>
  </w:footnote>
  <w:footnote w:id="27">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Среднее значение среди муниципальных образований Югры (Приказ Региональной службы по тарифам Ханты-Мансийского автономного округа - Югры от 25.10.2022 N 62-нп "Об утверждении нормативов средней рыночной стоимости 1 квадратного метра общей площади жилого помещения по муниципальным образованиям Ханты-Мансийского автономного округа - Югры на четвертый квартал 2022 года").</w:t>
      </w:r>
    </w:p>
  </w:footnote>
  <w:footnote w:id="28">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Информация предоставлена комитетом по управлению муниципальным имуществом администрации Кондинского района.</w:t>
      </w:r>
    </w:p>
  </w:footnote>
  <w:footnote w:id="29">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7" w:history="1">
        <w:r>
          <w:rPr>
            <w:rStyle w:val="af"/>
            <w:sz w:val="16"/>
            <w:szCs w:val="16"/>
          </w:rPr>
          <w:t>https://docs.yandex.ru/docs/view?url=ya-browser%3A%2F%2F4DT1uXEPRrJRXlUFoewruJyzCU6A_fn2krLfkfl1bo5xqNACCD1XctA6DOuMb92BSfVM0RlFaJ6Q_xLR9E3uCxIKAzzVrnygub3S2Nov_ukr7rL0WJsmhkOf0emeRir7ruG8nIxnbVuwG-czxol8UQ%3D%3D%3Fsign%3DbSXME4GFaTDYT7ewO_PNDkyEUoVcbGxEzuF_mNpbgzY%3D&amp;name=Oborot_dusha.xlsx&amp;nosw=1</w:t>
        </w:r>
      </w:hyperlink>
      <w:r>
        <w:rPr>
          <w:sz w:val="16"/>
          <w:szCs w:val="16"/>
        </w:rPr>
        <w:t xml:space="preserve"> </w:t>
      </w:r>
    </w:p>
  </w:footnote>
  <w:footnote w:id="30">
    <w:p w:rsidR="00CF0324" w:rsidRDefault="00124A10">
      <w:pPr>
        <w:rPr>
          <w:bCs/>
          <w:sz w:val="16"/>
          <w:szCs w:val="16"/>
        </w:rPr>
      </w:pPr>
      <w:r>
        <w:rPr>
          <w:rStyle w:val="16"/>
          <w:sz w:val="16"/>
          <w:szCs w:val="16"/>
        </w:rPr>
        <w:footnoteRef/>
      </w:r>
      <w:r>
        <w:rPr>
          <w:sz w:val="16"/>
          <w:szCs w:val="16"/>
        </w:rPr>
        <w:t xml:space="preserve"> </w:t>
      </w:r>
      <w:r>
        <w:rPr>
          <w:bCs/>
          <w:sz w:val="16"/>
          <w:szCs w:val="16"/>
        </w:rPr>
        <w:t>Распоряжение Правительство Ханты-Мансийского автономного округа - Югры от 19 мая 2023 г. N 278-рп «Об итогах социально-экономического развития Ханты-Мансийского автономного округа - Югры за 2022 год».</w:t>
      </w:r>
    </w:p>
  </w:footnote>
  <w:footnote w:id="31">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8" w:history="1">
        <w:r>
          <w:rPr>
            <w:rStyle w:val="af"/>
            <w:sz w:val="16"/>
            <w:szCs w:val="16"/>
          </w:rPr>
          <w:t>https://docs.yandex.ru/docs/view?url=ya-browser%3A%2F%2F4DT1uXEPRrJRXlUFoewruPcpy47OS4KSQMesU8TXcQkOzhaNm3C2g_vkHgIFLQaUeCAzCNXmW8OviYfHqGBvCRsTXXIKWBR4mjT2j_uWkw8ejVHZpW_a0PTSw4MZSDFjKD1h3u3eC5r0vL0NdQ_vMQ%3D%3D%3Fsign%3DWpXHX0GNa65pDquydlU-gAcw5IEhjz2O3JnZRt1Ks24%3D&amp;name=Obschepit-06.xls&amp;nosw=1</w:t>
        </w:r>
      </w:hyperlink>
      <w:r>
        <w:rPr>
          <w:sz w:val="16"/>
          <w:szCs w:val="16"/>
        </w:rPr>
        <w:t xml:space="preserve"> </w:t>
      </w:r>
    </w:p>
  </w:footnote>
  <w:footnote w:id="32">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19" w:history="1">
        <w:r>
          <w:rPr>
            <w:rStyle w:val="af"/>
            <w:sz w:val="16"/>
            <w:szCs w:val="16"/>
          </w:rPr>
          <w:t>https://rosstat.gov.ru/scripts/db_inet2/passport/table.aspx?opt=718160002016201720182019202020212022</w:t>
        </w:r>
      </w:hyperlink>
      <w:r>
        <w:rPr>
          <w:sz w:val="16"/>
          <w:szCs w:val="16"/>
        </w:rPr>
        <w:t xml:space="preserve"> </w:t>
      </w:r>
    </w:p>
  </w:footnote>
  <w:footnote w:id="33">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0" w:history="1">
        <w:r>
          <w:rPr>
            <w:rStyle w:val="af"/>
            <w:sz w:val="16"/>
            <w:szCs w:val="16"/>
          </w:rPr>
          <w:t>https://docs.yandex.ru/docs/view?url=ya-browser%3A%2F%2F4DT1uXEPRrJRXlUFoewruGqqfQ7AFS4K7_2tk0iTGU_3fD7853iY4GKCyjQN3Pa4aU2B2kfrVbEYO3rIERdBWdFYOpm8kQOWft42bsTSk_hCyaX_xaH0apc__A_zmKqoEfOtJJmFhwWHIdNQLZ2Awg%3D%3D%3Fsign%3DmnT08Nmx5Mv9d8VOuUsB4J01WoI5nwPnQJutzg7jCeE%3D&amp;name=Объем%20платных%20услуг%20на%20душу_ХМАО.xlsx&amp;nosw=1</w:t>
        </w:r>
      </w:hyperlink>
      <w:r>
        <w:rPr>
          <w:sz w:val="16"/>
          <w:szCs w:val="16"/>
        </w:rPr>
        <w:t xml:space="preserve"> </w:t>
      </w:r>
    </w:p>
  </w:footnote>
  <w:footnote w:id="34">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1" w:history="1">
        <w:r>
          <w:rPr>
            <w:rStyle w:val="af"/>
            <w:sz w:val="16"/>
            <w:szCs w:val="16"/>
          </w:rPr>
          <w:t>https://showdata.gks.ru/report/274546/</w:t>
        </w:r>
      </w:hyperlink>
      <w:r>
        <w:rPr>
          <w:sz w:val="16"/>
          <w:szCs w:val="16"/>
        </w:rPr>
        <w:t xml:space="preserve"> </w:t>
      </w:r>
    </w:p>
  </w:footnote>
  <w:footnote w:id="35">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Информация из Реестра субъектов малого и среднего предпринимательства по состоянию на 25 августа 2023 года (</w:t>
      </w:r>
      <w:r>
        <w:rPr>
          <w:sz w:val="16"/>
          <w:szCs w:val="16"/>
          <w:lang w:val="en-US"/>
        </w:rPr>
        <w:t>nalog</w:t>
      </w:r>
      <w:r>
        <w:rPr>
          <w:sz w:val="16"/>
          <w:szCs w:val="16"/>
        </w:rPr>
        <w:t>.</w:t>
      </w:r>
      <w:r>
        <w:rPr>
          <w:sz w:val="16"/>
          <w:szCs w:val="16"/>
          <w:lang w:val="en-US"/>
        </w:rPr>
        <w:t>ru</w:t>
      </w:r>
      <w:r>
        <w:rPr>
          <w:sz w:val="16"/>
          <w:szCs w:val="16"/>
        </w:rPr>
        <w:t>).</w:t>
      </w:r>
    </w:p>
  </w:footnote>
  <w:footnote w:id="36">
    <w:p w:rsidR="00CF0324" w:rsidRDefault="00124A10">
      <w:pPr>
        <w:rPr>
          <w:bCs/>
          <w:smallCaps/>
          <w:spacing w:val="5"/>
          <w:sz w:val="16"/>
          <w:szCs w:val="16"/>
        </w:rPr>
      </w:pPr>
      <w:r>
        <w:rPr>
          <w:rStyle w:val="16"/>
          <w:sz w:val="16"/>
          <w:szCs w:val="16"/>
        </w:rPr>
        <w:footnoteRef/>
      </w:r>
      <w:r>
        <w:rPr>
          <w:sz w:val="16"/>
          <w:szCs w:val="16"/>
        </w:rPr>
        <w:t xml:space="preserve"> Информация из доклада главы Кондинского района о достигнутых значениях показателей для оценки эффективности деятельности администрации Кондинского района Ханты-Мансийского автономного округа – Югры за текущий год и их планируемых значениях на 3-летний период.</w:t>
      </w:r>
    </w:p>
  </w:footnote>
  <w:footnote w:id="37">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2" w:history="1">
        <w:r>
          <w:rPr>
            <w:rStyle w:val="af"/>
            <w:sz w:val="16"/>
            <w:szCs w:val="16"/>
          </w:rPr>
          <w:t>https://docs.yandex.ru/docs/view?url=ya-browser%3A%2F%2F4DT1uXEPRrJRXlUFoewruJPfxe8y47oXO13CRfVMiS1_dC3PRavY0KWPPV2pw-ArAUzUwgm3_rAC6i4SNRR9swFzGKWUs_d_ziagICVsUQvluaEKKD9KRqzdMR6vgvmrC5ZpF58-_66e56KYiL8xuQ%3D%3D%3Fsign%3DrlIA1zKxQdj8XWza73x_soqMWjK0ttcNrQfMWCbLzxk%3D&amp;name=sbor22.07.222.docx&amp;nosw=1</w:t>
        </w:r>
      </w:hyperlink>
      <w:r>
        <w:rPr>
          <w:sz w:val="16"/>
          <w:szCs w:val="16"/>
        </w:rPr>
        <w:t xml:space="preserve"> </w:t>
      </w:r>
    </w:p>
  </w:footnote>
  <w:footnote w:id="38">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3" w:history="1">
        <w:r>
          <w:rPr>
            <w:rStyle w:val="af"/>
            <w:sz w:val="16"/>
            <w:szCs w:val="16"/>
          </w:rPr>
          <w:t>https://docs.yandex.ru/docs/view?url=ya-browser%3A%2F%2F4DT1uXEPRrJRXlUFoewruJmf3H5zChaeTydfels5LT7b2awLHyX5AX-pSSLiszkvCnwIWgpnWRWwsSZu-2yO3aZJrFdUWrnVBoxbxFdJ9Z5yNVfmPT9wOyX2-X-oDUB6f1Lnu9Y04-CIKHrDmeG2cw%3D%3D%3Fsign%3D_97vfc7atqhXa9aijHTKW6jJC9rpsMsa682Ji4Hpt0I%3D&amp;name=Tom2_2020.docx&amp;nosw=1</w:t>
        </w:r>
      </w:hyperlink>
      <w:r>
        <w:rPr>
          <w:sz w:val="16"/>
          <w:szCs w:val="16"/>
        </w:rPr>
        <w:t xml:space="preserve"> </w:t>
      </w:r>
    </w:p>
  </w:footnote>
  <w:footnote w:id="39">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Постановление Правительства Ханты-Мансийского автономного округа – Югры от 31.10.2021 №467-п «О государственной программе Ханты-Мансийского автономного округа-Югры № 467-п «Современное здравоохранение».</w:t>
      </w:r>
    </w:p>
  </w:footnote>
  <w:footnote w:id="40">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4" w:history="1">
        <w:r>
          <w:rPr>
            <w:rStyle w:val="af"/>
            <w:sz w:val="16"/>
            <w:szCs w:val="16"/>
          </w:rPr>
          <w:t>https://prirodnadzor.admhmao.ru/ekologicheskaya-pasportizatsiya/</w:t>
        </w:r>
      </w:hyperlink>
      <w:r>
        <w:rPr>
          <w:sz w:val="16"/>
          <w:szCs w:val="16"/>
        </w:rPr>
        <w:t xml:space="preserve"> </w:t>
      </w:r>
    </w:p>
  </w:footnote>
  <w:footnote w:id="41">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5" w:history="1">
        <w:r>
          <w:rPr>
            <w:rStyle w:val="af"/>
            <w:sz w:val="16"/>
            <w:szCs w:val="16"/>
          </w:rPr>
          <w:t>https://ep.admhmao.ru/app/3/search</w:t>
        </w:r>
      </w:hyperlink>
      <w:r>
        <w:rPr>
          <w:sz w:val="16"/>
          <w:szCs w:val="16"/>
        </w:rPr>
        <w:t xml:space="preserve"> </w:t>
      </w:r>
    </w:p>
  </w:footnote>
  <w:footnote w:id="42">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6" w:history="1">
        <w:r>
          <w:rPr>
            <w:rStyle w:val="af"/>
            <w:sz w:val="16"/>
            <w:szCs w:val="16"/>
          </w:rPr>
          <w:t>https://rosstat.gov.ru/scripts/db_inet2/passport/table.aspx?opt=718160002016201720182019202020212022</w:t>
        </w:r>
      </w:hyperlink>
      <w:r>
        <w:rPr>
          <w:sz w:val="16"/>
          <w:szCs w:val="16"/>
        </w:rPr>
        <w:t xml:space="preserve"> </w:t>
      </w:r>
    </w:p>
  </w:footnote>
  <w:footnote w:id="43">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7" w:history="1">
        <w:r>
          <w:rPr>
            <w:rStyle w:val="af"/>
            <w:sz w:val="16"/>
            <w:szCs w:val="16"/>
          </w:rPr>
          <w:t>https://prirodnadzor.admhmao.ru/sostoyanie-okruzhayushchey-sredy/poverkhnostnye-vodnye-obekty/sostoyanie-poverkhnostnykh-vod/131963/kachestvo-poverkhnostnykh-vod/</w:t>
        </w:r>
      </w:hyperlink>
      <w:r>
        <w:rPr>
          <w:sz w:val="16"/>
          <w:szCs w:val="16"/>
        </w:rPr>
        <w:t xml:space="preserve"> </w:t>
      </w:r>
    </w:p>
  </w:footnote>
  <w:footnote w:id="44">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8" w:history="1">
        <w:r>
          <w:rPr>
            <w:rStyle w:val="af"/>
            <w:sz w:val="16"/>
            <w:szCs w:val="16"/>
          </w:rPr>
          <w:t>http://www.ugrameteo.ru/mzos.php</w:t>
        </w:r>
      </w:hyperlink>
      <w:r>
        <w:rPr>
          <w:sz w:val="16"/>
          <w:szCs w:val="16"/>
        </w:rPr>
        <w:t xml:space="preserve"> </w:t>
      </w:r>
    </w:p>
  </w:footnote>
  <w:footnote w:id="45">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w:t>
      </w:r>
      <w:hyperlink r:id="rId29" w:history="1">
        <w:r>
          <w:rPr>
            <w:rStyle w:val="af"/>
            <w:sz w:val="16"/>
            <w:szCs w:val="16"/>
          </w:rPr>
          <w:t>https://prirodnadzor.admhmao.ru/doklady-i-otchyety/doklad-ob-ekologicheskoy-situatsii-v-khanty-mansiyskom-avtonomnom-okruge-yugre/8998458/2022-god-/</w:t>
        </w:r>
      </w:hyperlink>
    </w:p>
    <w:p w:rsidR="00CF0324" w:rsidRDefault="00CF0324">
      <w:pPr>
        <w:pStyle w:val="TableFootnotelast1FootnoteTextCharFootnoteTextChar-FNTableFootnotelastTableFootnotelastsinglespace1"/>
        <w:rPr>
          <w:sz w:val="16"/>
          <w:szCs w:val="16"/>
        </w:rPr>
      </w:pPr>
    </w:p>
  </w:footnote>
  <w:footnote w:id="46">
    <w:p w:rsidR="00CF0324" w:rsidRDefault="00124A10">
      <w:pPr>
        <w:pStyle w:val="TableFootnotelast1FootnoteTextCharFootnoteTextChar-FNTableFootnotelastTableFootnotelastsinglespace1"/>
      </w:pPr>
      <w:r>
        <w:rPr>
          <w:rStyle w:val="16"/>
        </w:rPr>
        <w:footnoteRef/>
      </w:r>
      <w:r>
        <w:t xml:space="preserve"> </w:t>
      </w:r>
      <w:hyperlink r:id="rId30" w:history="1">
        <w:r>
          <w:rPr>
            <w:rStyle w:val="af"/>
          </w:rPr>
          <w:t>https://72.rosstat.gov.ru/ofs_trud_hmao</w:t>
        </w:r>
      </w:hyperlink>
      <w:r>
        <w:t xml:space="preserve"> </w:t>
      </w:r>
    </w:p>
  </w:footnote>
  <w:footnote w:id="47">
    <w:p w:rsidR="00CF0324" w:rsidRDefault="00124A10">
      <w:pPr>
        <w:pStyle w:val="TableFootnotelast1FootnoteTextCharFootnoteTextChar-FNTableFootnotelastTableFootnotelastsinglespace1"/>
        <w:jc w:val="both"/>
        <w:rPr>
          <w:i/>
        </w:rPr>
      </w:pPr>
      <w:r>
        <w:rPr>
          <w:rStyle w:val="16"/>
          <w:sz w:val="22"/>
          <w:szCs w:val="22"/>
        </w:rPr>
        <w:footnoteRef/>
      </w:r>
      <w:r>
        <w:rPr>
          <w:i/>
          <w:sz w:val="22"/>
          <w:szCs w:val="22"/>
        </w:rPr>
        <w:t xml:space="preserve"> </w:t>
      </w:r>
      <w:r>
        <w:rPr>
          <w:rStyle w:val="afff4"/>
          <w:rFonts w:eastAsia="Calibri"/>
          <w:i w:val="0"/>
        </w:rPr>
        <w:t>Постановление Правительства Ханты-Мансийского автономного округа -Югры № 190-п от 23.05.2014 года «О внесении изменения в приложение 1 к постановлению Правительства Ханты-Мансийского автономного округа - Югры от 25 декабря 2013 года № 568-п «О Программе капитального ремонта общего имущества в многоквартирных домах, расположенных на территории Ханты-Мансийского автономного округа – Югры».</w:t>
      </w:r>
    </w:p>
  </w:footnote>
  <w:footnote w:id="48">
    <w:p w:rsidR="00CF0324" w:rsidRDefault="00124A10">
      <w:pPr>
        <w:pStyle w:val="TableFootnotelast1FootnoteTextCharFootnoteTextChar-FNTableFootnotelastTableFootnotelastsinglespace1"/>
      </w:pPr>
      <w:r>
        <w:rPr>
          <w:rStyle w:val="16"/>
        </w:rPr>
        <w:footnoteRef/>
      </w:r>
      <w:r>
        <w:t xml:space="preserve"> </w:t>
      </w:r>
      <w:hyperlink r:id="rId31" w:history="1">
        <w:r>
          <w:rPr>
            <w:rStyle w:val="af"/>
          </w:rPr>
          <w:t>https://admkonda.ru/moy-brend.html</w:t>
        </w:r>
      </w:hyperlink>
      <w:r>
        <w:t xml:space="preserve"> </w:t>
      </w:r>
    </w:p>
  </w:footnote>
  <w:footnote w:id="49">
    <w:p w:rsidR="00CF0324" w:rsidRDefault="00124A10">
      <w:pPr>
        <w:jc w:val="both"/>
        <w:rPr>
          <w:sz w:val="16"/>
          <w:szCs w:val="16"/>
        </w:rPr>
      </w:pPr>
      <w:r>
        <w:rPr>
          <w:rStyle w:val="16"/>
          <w:sz w:val="16"/>
          <w:szCs w:val="16"/>
        </w:rPr>
        <w:footnoteRef/>
      </w:r>
      <w:r>
        <w:rPr>
          <w:sz w:val="16"/>
          <w:szCs w:val="16"/>
        </w:rPr>
        <w:t xml:space="preserve"> Распоряжение Правительства Ханты-Мансийского автономного округа -Югры от 28.07.2023 № 505-рп «О социально-экономическом развитии в Ханты-Мансийском автономном округе – Югре опорных и прилегающих к ним населенных пунктов (сельских агломераций)»</w:t>
      </w:r>
    </w:p>
  </w:footnote>
  <w:footnote w:id="50">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Распоряжение Правительства Ханты-Мансийского автономного округа - Югры от 03.11.2022 N 679-рп "О Стратегии социально-экономического развития Ханты-Мансийского автономного округа - Югры до 2036 года с целевыми ориентирами до 2050 года"</w:t>
      </w:r>
    </w:p>
  </w:footnote>
  <w:footnote w:id="51">
    <w:p w:rsidR="00CF0324" w:rsidRDefault="00124A10">
      <w:pPr>
        <w:pStyle w:val="TableFootnotelast1FootnoteTextCharFootnoteTextChar-FNTableFootnotelastTableFootnotelastsinglespace1"/>
        <w:rPr>
          <w:sz w:val="16"/>
          <w:szCs w:val="16"/>
        </w:rPr>
      </w:pPr>
      <w:r>
        <w:rPr>
          <w:rStyle w:val="16"/>
          <w:sz w:val="16"/>
          <w:szCs w:val="16"/>
        </w:rPr>
        <w:footnoteRef/>
      </w:r>
      <w:r>
        <w:rPr>
          <w:sz w:val="16"/>
          <w:szCs w:val="16"/>
        </w:rPr>
        <w:t xml:space="preserve"> Постановление Правительства Ханты-Мансийского автономного округа-Югры от 31.10.2021 №468-п «О государственной программе Ханты-Мансийского автономного округа - Югры «Развитие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324" w:rsidRDefault="00124A10">
    <w:pPr>
      <w:pStyle w:val="a9"/>
      <w:jc w:val="right"/>
    </w:pPr>
    <w:r>
      <w:fldChar w:fldCharType="begin"/>
    </w:r>
    <w:r>
      <w:instrText xml:space="preserve"> PAGE   \* MERGEFORMAT </w:instrText>
    </w:r>
    <w:r>
      <w:fldChar w:fldCharType="separate"/>
    </w:r>
    <w:r w:rsidR="00BA49AD">
      <w:rPr>
        <w:noProof/>
      </w:rPr>
      <w:t>2</w:t>
    </w:r>
    <w:r>
      <w:fldChar w:fldCharType="end"/>
    </w:r>
  </w:p>
  <w:p w:rsidR="00CF0324" w:rsidRDefault="00CF032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557FD"/>
    <w:multiLevelType w:val="hybridMultilevel"/>
    <w:tmpl w:val="ABB48468"/>
    <w:lvl w:ilvl="0" w:tplc="2EA03516">
      <w:start w:val="1"/>
      <w:numFmt w:val="decimal"/>
      <w:lvlText w:val="%1)"/>
      <w:lvlJc w:val="left"/>
      <w:pPr>
        <w:ind w:left="1056" w:hanging="696"/>
      </w:pPr>
    </w:lvl>
    <w:lvl w:ilvl="1" w:tplc="E7EE322A">
      <w:start w:val="1"/>
      <w:numFmt w:val="lowerLetter"/>
      <w:lvlText w:val="%2."/>
      <w:lvlJc w:val="left"/>
      <w:pPr>
        <w:ind w:left="1440" w:hanging="360"/>
      </w:pPr>
    </w:lvl>
    <w:lvl w:ilvl="2" w:tplc="DA4AF6B8">
      <w:start w:val="1"/>
      <w:numFmt w:val="lowerRoman"/>
      <w:lvlText w:val="%3."/>
      <w:lvlJc w:val="right"/>
      <w:pPr>
        <w:ind w:left="2160" w:hanging="180"/>
      </w:pPr>
    </w:lvl>
    <w:lvl w:ilvl="3" w:tplc="B60C8D04">
      <w:start w:val="1"/>
      <w:numFmt w:val="decimal"/>
      <w:lvlText w:val="%4."/>
      <w:lvlJc w:val="left"/>
      <w:pPr>
        <w:ind w:left="2880" w:hanging="360"/>
      </w:pPr>
    </w:lvl>
    <w:lvl w:ilvl="4" w:tplc="37BA51A0">
      <w:start w:val="1"/>
      <w:numFmt w:val="lowerLetter"/>
      <w:lvlText w:val="%5."/>
      <w:lvlJc w:val="left"/>
      <w:pPr>
        <w:ind w:left="3600" w:hanging="360"/>
      </w:pPr>
    </w:lvl>
    <w:lvl w:ilvl="5" w:tplc="FA949C7E">
      <w:start w:val="1"/>
      <w:numFmt w:val="lowerRoman"/>
      <w:lvlText w:val="%6."/>
      <w:lvlJc w:val="right"/>
      <w:pPr>
        <w:ind w:left="4320" w:hanging="180"/>
      </w:pPr>
    </w:lvl>
    <w:lvl w:ilvl="6" w:tplc="FE44031E">
      <w:start w:val="1"/>
      <w:numFmt w:val="decimal"/>
      <w:lvlText w:val="%7."/>
      <w:lvlJc w:val="left"/>
      <w:pPr>
        <w:ind w:left="5040" w:hanging="360"/>
      </w:pPr>
    </w:lvl>
    <w:lvl w:ilvl="7" w:tplc="F8A8E968">
      <w:start w:val="1"/>
      <w:numFmt w:val="lowerLetter"/>
      <w:lvlText w:val="%8."/>
      <w:lvlJc w:val="left"/>
      <w:pPr>
        <w:ind w:left="5760" w:hanging="360"/>
      </w:pPr>
    </w:lvl>
    <w:lvl w:ilvl="8" w:tplc="FE42BA80">
      <w:start w:val="1"/>
      <w:numFmt w:val="lowerRoman"/>
      <w:lvlText w:val="%9."/>
      <w:lvlJc w:val="right"/>
      <w:pPr>
        <w:ind w:left="6480" w:hanging="180"/>
      </w:pPr>
    </w:lvl>
  </w:abstractNum>
  <w:abstractNum w:abstractNumId="1">
    <w:nsid w:val="09F81B2E"/>
    <w:multiLevelType w:val="hybridMultilevel"/>
    <w:tmpl w:val="D048D5B6"/>
    <w:lvl w:ilvl="0" w:tplc="4762CD90">
      <w:start w:val="1"/>
      <w:numFmt w:val="bullet"/>
      <w:lvlText w:val=""/>
      <w:lvlJc w:val="left"/>
      <w:pPr>
        <w:ind w:left="720" w:hanging="360"/>
      </w:pPr>
      <w:rPr>
        <w:rFonts w:ascii="Symbol" w:hAnsi="Symbol"/>
      </w:rPr>
    </w:lvl>
    <w:lvl w:ilvl="1" w:tplc="A63CF9CE">
      <w:start w:val="1"/>
      <w:numFmt w:val="bullet"/>
      <w:lvlText w:val="o"/>
      <w:lvlJc w:val="left"/>
      <w:pPr>
        <w:ind w:left="1440" w:hanging="360"/>
      </w:pPr>
      <w:rPr>
        <w:rFonts w:ascii="Courier New" w:hAnsi="Courier New" w:cs="Courier New"/>
      </w:rPr>
    </w:lvl>
    <w:lvl w:ilvl="2" w:tplc="F74E0732">
      <w:start w:val="1"/>
      <w:numFmt w:val="bullet"/>
      <w:lvlText w:val=""/>
      <w:lvlJc w:val="left"/>
      <w:pPr>
        <w:ind w:left="2160" w:hanging="360"/>
      </w:pPr>
      <w:rPr>
        <w:rFonts w:ascii="Wingdings" w:hAnsi="Wingdings"/>
      </w:rPr>
    </w:lvl>
    <w:lvl w:ilvl="3" w:tplc="64E075DA">
      <w:start w:val="1"/>
      <w:numFmt w:val="bullet"/>
      <w:lvlText w:val=""/>
      <w:lvlJc w:val="left"/>
      <w:pPr>
        <w:ind w:left="2880" w:hanging="360"/>
      </w:pPr>
      <w:rPr>
        <w:rFonts w:ascii="Symbol" w:hAnsi="Symbol"/>
      </w:rPr>
    </w:lvl>
    <w:lvl w:ilvl="4" w:tplc="93440CE6">
      <w:start w:val="1"/>
      <w:numFmt w:val="bullet"/>
      <w:lvlText w:val="o"/>
      <w:lvlJc w:val="left"/>
      <w:pPr>
        <w:ind w:left="3600" w:hanging="360"/>
      </w:pPr>
      <w:rPr>
        <w:rFonts w:ascii="Courier New" w:hAnsi="Courier New" w:cs="Courier New"/>
      </w:rPr>
    </w:lvl>
    <w:lvl w:ilvl="5" w:tplc="28B65C84">
      <w:start w:val="1"/>
      <w:numFmt w:val="bullet"/>
      <w:lvlText w:val=""/>
      <w:lvlJc w:val="left"/>
      <w:pPr>
        <w:ind w:left="4320" w:hanging="360"/>
      </w:pPr>
      <w:rPr>
        <w:rFonts w:ascii="Wingdings" w:hAnsi="Wingdings"/>
      </w:rPr>
    </w:lvl>
    <w:lvl w:ilvl="6" w:tplc="CD68A8E6">
      <w:start w:val="1"/>
      <w:numFmt w:val="bullet"/>
      <w:lvlText w:val=""/>
      <w:lvlJc w:val="left"/>
      <w:pPr>
        <w:ind w:left="5040" w:hanging="360"/>
      </w:pPr>
      <w:rPr>
        <w:rFonts w:ascii="Symbol" w:hAnsi="Symbol"/>
      </w:rPr>
    </w:lvl>
    <w:lvl w:ilvl="7" w:tplc="0C625C28">
      <w:start w:val="1"/>
      <w:numFmt w:val="bullet"/>
      <w:lvlText w:val="o"/>
      <w:lvlJc w:val="left"/>
      <w:pPr>
        <w:ind w:left="5760" w:hanging="360"/>
      </w:pPr>
      <w:rPr>
        <w:rFonts w:ascii="Courier New" w:hAnsi="Courier New" w:cs="Courier New"/>
      </w:rPr>
    </w:lvl>
    <w:lvl w:ilvl="8" w:tplc="D9AEA35C">
      <w:start w:val="1"/>
      <w:numFmt w:val="bullet"/>
      <w:lvlText w:val=""/>
      <w:lvlJc w:val="left"/>
      <w:pPr>
        <w:ind w:left="6480" w:hanging="360"/>
      </w:pPr>
      <w:rPr>
        <w:rFonts w:ascii="Wingdings" w:hAnsi="Wingdings"/>
      </w:rPr>
    </w:lvl>
  </w:abstractNum>
  <w:abstractNum w:abstractNumId="2">
    <w:nsid w:val="15FF07FF"/>
    <w:multiLevelType w:val="multilevel"/>
    <w:tmpl w:val="1A4C2A8C"/>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206C07F2"/>
    <w:multiLevelType w:val="hybridMultilevel"/>
    <w:tmpl w:val="DF0A2C3A"/>
    <w:lvl w:ilvl="0" w:tplc="01D00476">
      <w:start w:val="1"/>
      <w:numFmt w:val="bullet"/>
      <w:lvlText w:val="•"/>
      <w:lvlJc w:val="left"/>
      <w:pPr>
        <w:tabs>
          <w:tab w:val="num" w:pos="720"/>
        </w:tabs>
        <w:ind w:left="720" w:hanging="360"/>
      </w:pPr>
      <w:rPr>
        <w:rFonts w:ascii="Arial" w:hAnsi="Arial"/>
      </w:rPr>
    </w:lvl>
    <w:lvl w:ilvl="1" w:tplc="677805C2">
      <w:start w:val="1"/>
      <w:numFmt w:val="bullet"/>
      <w:lvlText w:val="•"/>
      <w:lvlJc w:val="left"/>
      <w:pPr>
        <w:tabs>
          <w:tab w:val="num" w:pos="1440"/>
        </w:tabs>
        <w:ind w:left="1440" w:hanging="360"/>
      </w:pPr>
      <w:rPr>
        <w:rFonts w:ascii="Arial" w:hAnsi="Arial"/>
      </w:rPr>
    </w:lvl>
    <w:lvl w:ilvl="2" w:tplc="210634BE">
      <w:start w:val="1"/>
      <w:numFmt w:val="bullet"/>
      <w:lvlText w:val="•"/>
      <w:lvlJc w:val="left"/>
      <w:pPr>
        <w:tabs>
          <w:tab w:val="num" w:pos="2160"/>
        </w:tabs>
        <w:ind w:left="2160" w:hanging="360"/>
      </w:pPr>
      <w:rPr>
        <w:rFonts w:ascii="Arial" w:hAnsi="Arial"/>
      </w:rPr>
    </w:lvl>
    <w:lvl w:ilvl="3" w:tplc="BE02E31E">
      <w:start w:val="1"/>
      <w:numFmt w:val="bullet"/>
      <w:lvlText w:val="•"/>
      <w:lvlJc w:val="left"/>
      <w:pPr>
        <w:tabs>
          <w:tab w:val="num" w:pos="2880"/>
        </w:tabs>
        <w:ind w:left="2880" w:hanging="360"/>
      </w:pPr>
      <w:rPr>
        <w:rFonts w:ascii="Arial" w:hAnsi="Arial"/>
      </w:rPr>
    </w:lvl>
    <w:lvl w:ilvl="4" w:tplc="717E90F8">
      <w:start w:val="1"/>
      <w:numFmt w:val="bullet"/>
      <w:lvlText w:val="•"/>
      <w:lvlJc w:val="left"/>
      <w:pPr>
        <w:tabs>
          <w:tab w:val="num" w:pos="3600"/>
        </w:tabs>
        <w:ind w:left="3600" w:hanging="360"/>
      </w:pPr>
      <w:rPr>
        <w:rFonts w:ascii="Arial" w:hAnsi="Arial"/>
      </w:rPr>
    </w:lvl>
    <w:lvl w:ilvl="5" w:tplc="DC903C2C">
      <w:start w:val="1"/>
      <w:numFmt w:val="bullet"/>
      <w:lvlText w:val="•"/>
      <w:lvlJc w:val="left"/>
      <w:pPr>
        <w:tabs>
          <w:tab w:val="num" w:pos="4320"/>
        </w:tabs>
        <w:ind w:left="4320" w:hanging="360"/>
      </w:pPr>
      <w:rPr>
        <w:rFonts w:ascii="Arial" w:hAnsi="Arial"/>
      </w:rPr>
    </w:lvl>
    <w:lvl w:ilvl="6" w:tplc="B136ED58">
      <w:start w:val="1"/>
      <w:numFmt w:val="bullet"/>
      <w:lvlText w:val="•"/>
      <w:lvlJc w:val="left"/>
      <w:pPr>
        <w:tabs>
          <w:tab w:val="num" w:pos="5040"/>
        </w:tabs>
        <w:ind w:left="5040" w:hanging="360"/>
      </w:pPr>
      <w:rPr>
        <w:rFonts w:ascii="Arial" w:hAnsi="Arial"/>
      </w:rPr>
    </w:lvl>
    <w:lvl w:ilvl="7" w:tplc="D03AECFA">
      <w:start w:val="1"/>
      <w:numFmt w:val="bullet"/>
      <w:lvlText w:val="•"/>
      <w:lvlJc w:val="left"/>
      <w:pPr>
        <w:tabs>
          <w:tab w:val="num" w:pos="5760"/>
        </w:tabs>
        <w:ind w:left="5760" w:hanging="360"/>
      </w:pPr>
      <w:rPr>
        <w:rFonts w:ascii="Arial" w:hAnsi="Arial"/>
      </w:rPr>
    </w:lvl>
    <w:lvl w:ilvl="8" w:tplc="CE763184">
      <w:start w:val="1"/>
      <w:numFmt w:val="bullet"/>
      <w:lvlText w:val="•"/>
      <w:lvlJc w:val="left"/>
      <w:pPr>
        <w:tabs>
          <w:tab w:val="num" w:pos="6480"/>
        </w:tabs>
        <w:ind w:left="6480" w:hanging="360"/>
      </w:pPr>
      <w:rPr>
        <w:rFonts w:ascii="Arial" w:hAnsi="Arial"/>
      </w:rPr>
    </w:lvl>
  </w:abstractNum>
  <w:abstractNum w:abstractNumId="4">
    <w:nsid w:val="251C5914"/>
    <w:multiLevelType w:val="hybridMultilevel"/>
    <w:tmpl w:val="601230D6"/>
    <w:lvl w:ilvl="0" w:tplc="02E8FD3C">
      <w:start w:val="1"/>
      <w:numFmt w:val="decimal"/>
      <w:lvlText w:val="%1."/>
      <w:lvlJc w:val="left"/>
      <w:pPr>
        <w:ind w:left="720" w:hanging="360"/>
      </w:pPr>
    </w:lvl>
    <w:lvl w:ilvl="1" w:tplc="854E6FA8">
      <w:start w:val="1"/>
      <w:numFmt w:val="lowerLetter"/>
      <w:lvlText w:val="%2."/>
      <w:lvlJc w:val="left"/>
      <w:pPr>
        <w:ind w:left="1440" w:hanging="360"/>
      </w:pPr>
    </w:lvl>
    <w:lvl w:ilvl="2" w:tplc="EB388BB0">
      <w:start w:val="1"/>
      <w:numFmt w:val="lowerRoman"/>
      <w:lvlText w:val="%3."/>
      <w:lvlJc w:val="right"/>
      <w:pPr>
        <w:ind w:left="2160" w:hanging="180"/>
      </w:pPr>
    </w:lvl>
    <w:lvl w:ilvl="3" w:tplc="3FFC3BD4">
      <w:start w:val="1"/>
      <w:numFmt w:val="decimal"/>
      <w:lvlText w:val="%4."/>
      <w:lvlJc w:val="left"/>
      <w:pPr>
        <w:ind w:left="2880" w:hanging="360"/>
      </w:pPr>
    </w:lvl>
    <w:lvl w:ilvl="4" w:tplc="9DEE4B18">
      <w:start w:val="1"/>
      <w:numFmt w:val="lowerLetter"/>
      <w:lvlText w:val="%5."/>
      <w:lvlJc w:val="left"/>
      <w:pPr>
        <w:ind w:left="3600" w:hanging="360"/>
      </w:pPr>
    </w:lvl>
    <w:lvl w:ilvl="5" w:tplc="2A0A468E">
      <w:start w:val="1"/>
      <w:numFmt w:val="lowerRoman"/>
      <w:lvlText w:val="%6."/>
      <w:lvlJc w:val="right"/>
      <w:pPr>
        <w:ind w:left="4320" w:hanging="180"/>
      </w:pPr>
    </w:lvl>
    <w:lvl w:ilvl="6" w:tplc="3BD4865E">
      <w:start w:val="1"/>
      <w:numFmt w:val="decimal"/>
      <w:lvlText w:val="%7."/>
      <w:lvlJc w:val="left"/>
      <w:pPr>
        <w:ind w:left="5040" w:hanging="360"/>
      </w:pPr>
    </w:lvl>
    <w:lvl w:ilvl="7" w:tplc="4476C87A">
      <w:start w:val="1"/>
      <w:numFmt w:val="lowerLetter"/>
      <w:lvlText w:val="%8."/>
      <w:lvlJc w:val="left"/>
      <w:pPr>
        <w:ind w:left="5760" w:hanging="360"/>
      </w:pPr>
    </w:lvl>
    <w:lvl w:ilvl="8" w:tplc="8B44413A">
      <w:start w:val="1"/>
      <w:numFmt w:val="lowerRoman"/>
      <w:lvlText w:val="%9."/>
      <w:lvlJc w:val="right"/>
      <w:pPr>
        <w:ind w:left="6480" w:hanging="180"/>
      </w:pPr>
    </w:lvl>
  </w:abstractNum>
  <w:abstractNum w:abstractNumId="5">
    <w:nsid w:val="2D6B21AD"/>
    <w:multiLevelType w:val="hybridMultilevel"/>
    <w:tmpl w:val="50CC2E92"/>
    <w:lvl w:ilvl="0" w:tplc="EFA2BE02">
      <w:start w:val="1"/>
      <w:numFmt w:val="bullet"/>
      <w:lvlText w:val="•"/>
      <w:lvlJc w:val="left"/>
      <w:pPr>
        <w:tabs>
          <w:tab w:val="num" w:pos="720"/>
        </w:tabs>
        <w:ind w:left="720" w:hanging="360"/>
      </w:pPr>
      <w:rPr>
        <w:rFonts w:ascii="Arial" w:hAnsi="Arial"/>
      </w:rPr>
    </w:lvl>
    <w:lvl w:ilvl="1" w:tplc="E8280C4A">
      <w:start w:val="1"/>
      <w:numFmt w:val="bullet"/>
      <w:lvlText w:val="•"/>
      <w:lvlJc w:val="left"/>
      <w:pPr>
        <w:tabs>
          <w:tab w:val="num" w:pos="1440"/>
        </w:tabs>
        <w:ind w:left="1440" w:hanging="360"/>
      </w:pPr>
      <w:rPr>
        <w:rFonts w:ascii="Arial" w:hAnsi="Arial"/>
      </w:rPr>
    </w:lvl>
    <w:lvl w:ilvl="2" w:tplc="E54E799A">
      <w:start w:val="1"/>
      <w:numFmt w:val="bullet"/>
      <w:lvlText w:val="•"/>
      <w:lvlJc w:val="left"/>
      <w:pPr>
        <w:tabs>
          <w:tab w:val="num" w:pos="2160"/>
        </w:tabs>
        <w:ind w:left="2160" w:hanging="360"/>
      </w:pPr>
      <w:rPr>
        <w:rFonts w:ascii="Arial" w:hAnsi="Arial"/>
      </w:rPr>
    </w:lvl>
    <w:lvl w:ilvl="3" w:tplc="650020E8">
      <w:start w:val="1"/>
      <w:numFmt w:val="bullet"/>
      <w:lvlText w:val="•"/>
      <w:lvlJc w:val="left"/>
      <w:pPr>
        <w:tabs>
          <w:tab w:val="num" w:pos="2880"/>
        </w:tabs>
        <w:ind w:left="2880" w:hanging="360"/>
      </w:pPr>
      <w:rPr>
        <w:rFonts w:ascii="Arial" w:hAnsi="Arial"/>
      </w:rPr>
    </w:lvl>
    <w:lvl w:ilvl="4" w:tplc="BB2865B2">
      <w:start w:val="1"/>
      <w:numFmt w:val="bullet"/>
      <w:lvlText w:val="•"/>
      <w:lvlJc w:val="left"/>
      <w:pPr>
        <w:tabs>
          <w:tab w:val="num" w:pos="3600"/>
        </w:tabs>
        <w:ind w:left="3600" w:hanging="360"/>
      </w:pPr>
      <w:rPr>
        <w:rFonts w:ascii="Arial" w:hAnsi="Arial"/>
      </w:rPr>
    </w:lvl>
    <w:lvl w:ilvl="5" w:tplc="F982A768">
      <w:start w:val="1"/>
      <w:numFmt w:val="bullet"/>
      <w:lvlText w:val="•"/>
      <w:lvlJc w:val="left"/>
      <w:pPr>
        <w:tabs>
          <w:tab w:val="num" w:pos="4320"/>
        </w:tabs>
        <w:ind w:left="4320" w:hanging="360"/>
      </w:pPr>
      <w:rPr>
        <w:rFonts w:ascii="Arial" w:hAnsi="Arial"/>
      </w:rPr>
    </w:lvl>
    <w:lvl w:ilvl="6" w:tplc="EF7CF4E4">
      <w:start w:val="1"/>
      <w:numFmt w:val="bullet"/>
      <w:lvlText w:val="•"/>
      <w:lvlJc w:val="left"/>
      <w:pPr>
        <w:tabs>
          <w:tab w:val="num" w:pos="5040"/>
        </w:tabs>
        <w:ind w:left="5040" w:hanging="360"/>
      </w:pPr>
      <w:rPr>
        <w:rFonts w:ascii="Arial" w:hAnsi="Arial"/>
      </w:rPr>
    </w:lvl>
    <w:lvl w:ilvl="7" w:tplc="75D61374">
      <w:start w:val="1"/>
      <w:numFmt w:val="bullet"/>
      <w:lvlText w:val="•"/>
      <w:lvlJc w:val="left"/>
      <w:pPr>
        <w:tabs>
          <w:tab w:val="num" w:pos="5760"/>
        </w:tabs>
        <w:ind w:left="5760" w:hanging="360"/>
      </w:pPr>
      <w:rPr>
        <w:rFonts w:ascii="Arial" w:hAnsi="Arial"/>
      </w:rPr>
    </w:lvl>
    <w:lvl w:ilvl="8" w:tplc="9A202D7A">
      <w:start w:val="1"/>
      <w:numFmt w:val="bullet"/>
      <w:lvlText w:val="•"/>
      <w:lvlJc w:val="left"/>
      <w:pPr>
        <w:tabs>
          <w:tab w:val="num" w:pos="6480"/>
        </w:tabs>
        <w:ind w:left="6480" w:hanging="360"/>
      </w:pPr>
      <w:rPr>
        <w:rFonts w:ascii="Arial" w:hAnsi="Arial"/>
      </w:rPr>
    </w:lvl>
  </w:abstractNum>
  <w:abstractNum w:abstractNumId="6">
    <w:nsid w:val="380726BC"/>
    <w:multiLevelType w:val="hybridMultilevel"/>
    <w:tmpl w:val="5414161A"/>
    <w:lvl w:ilvl="0" w:tplc="441676A6">
      <w:start w:val="1"/>
      <w:numFmt w:val="bullet"/>
      <w:lvlText w:val="•"/>
      <w:lvlJc w:val="left"/>
      <w:pPr>
        <w:tabs>
          <w:tab w:val="num" w:pos="720"/>
        </w:tabs>
        <w:ind w:left="720" w:hanging="360"/>
      </w:pPr>
      <w:rPr>
        <w:rFonts w:ascii="Arial" w:hAnsi="Arial"/>
      </w:rPr>
    </w:lvl>
    <w:lvl w:ilvl="1" w:tplc="1A16102A">
      <w:start w:val="1"/>
      <w:numFmt w:val="bullet"/>
      <w:lvlText w:val="•"/>
      <w:lvlJc w:val="left"/>
      <w:pPr>
        <w:tabs>
          <w:tab w:val="num" w:pos="1440"/>
        </w:tabs>
        <w:ind w:left="1440" w:hanging="360"/>
      </w:pPr>
      <w:rPr>
        <w:rFonts w:ascii="Arial" w:hAnsi="Arial"/>
      </w:rPr>
    </w:lvl>
    <w:lvl w:ilvl="2" w:tplc="81C2873A">
      <w:start w:val="1"/>
      <w:numFmt w:val="bullet"/>
      <w:lvlText w:val="•"/>
      <w:lvlJc w:val="left"/>
      <w:pPr>
        <w:tabs>
          <w:tab w:val="num" w:pos="2160"/>
        </w:tabs>
        <w:ind w:left="2160" w:hanging="360"/>
      </w:pPr>
      <w:rPr>
        <w:rFonts w:ascii="Arial" w:hAnsi="Arial"/>
      </w:rPr>
    </w:lvl>
    <w:lvl w:ilvl="3" w:tplc="2BB8BC8A">
      <w:start w:val="1"/>
      <w:numFmt w:val="bullet"/>
      <w:lvlText w:val="•"/>
      <w:lvlJc w:val="left"/>
      <w:pPr>
        <w:tabs>
          <w:tab w:val="num" w:pos="2880"/>
        </w:tabs>
        <w:ind w:left="2880" w:hanging="360"/>
      </w:pPr>
      <w:rPr>
        <w:rFonts w:ascii="Arial" w:hAnsi="Arial"/>
      </w:rPr>
    </w:lvl>
    <w:lvl w:ilvl="4" w:tplc="AF109CCE">
      <w:start w:val="1"/>
      <w:numFmt w:val="bullet"/>
      <w:lvlText w:val="•"/>
      <w:lvlJc w:val="left"/>
      <w:pPr>
        <w:tabs>
          <w:tab w:val="num" w:pos="3600"/>
        </w:tabs>
        <w:ind w:left="3600" w:hanging="360"/>
      </w:pPr>
      <w:rPr>
        <w:rFonts w:ascii="Arial" w:hAnsi="Arial"/>
      </w:rPr>
    </w:lvl>
    <w:lvl w:ilvl="5" w:tplc="F73C3EC8">
      <w:start w:val="1"/>
      <w:numFmt w:val="bullet"/>
      <w:lvlText w:val="•"/>
      <w:lvlJc w:val="left"/>
      <w:pPr>
        <w:tabs>
          <w:tab w:val="num" w:pos="4320"/>
        </w:tabs>
        <w:ind w:left="4320" w:hanging="360"/>
      </w:pPr>
      <w:rPr>
        <w:rFonts w:ascii="Arial" w:hAnsi="Arial"/>
      </w:rPr>
    </w:lvl>
    <w:lvl w:ilvl="6" w:tplc="C9BA6E3C">
      <w:start w:val="1"/>
      <w:numFmt w:val="bullet"/>
      <w:lvlText w:val="•"/>
      <w:lvlJc w:val="left"/>
      <w:pPr>
        <w:tabs>
          <w:tab w:val="num" w:pos="5040"/>
        </w:tabs>
        <w:ind w:left="5040" w:hanging="360"/>
      </w:pPr>
      <w:rPr>
        <w:rFonts w:ascii="Arial" w:hAnsi="Arial"/>
      </w:rPr>
    </w:lvl>
    <w:lvl w:ilvl="7" w:tplc="6FD4A7C8">
      <w:start w:val="1"/>
      <w:numFmt w:val="bullet"/>
      <w:lvlText w:val="•"/>
      <w:lvlJc w:val="left"/>
      <w:pPr>
        <w:tabs>
          <w:tab w:val="num" w:pos="5760"/>
        </w:tabs>
        <w:ind w:left="5760" w:hanging="360"/>
      </w:pPr>
      <w:rPr>
        <w:rFonts w:ascii="Arial" w:hAnsi="Arial"/>
      </w:rPr>
    </w:lvl>
    <w:lvl w:ilvl="8" w:tplc="105CE390">
      <w:start w:val="1"/>
      <w:numFmt w:val="bullet"/>
      <w:lvlText w:val="•"/>
      <w:lvlJc w:val="left"/>
      <w:pPr>
        <w:tabs>
          <w:tab w:val="num" w:pos="6480"/>
        </w:tabs>
        <w:ind w:left="6480" w:hanging="360"/>
      </w:pPr>
      <w:rPr>
        <w:rFonts w:ascii="Arial" w:hAnsi="Arial"/>
      </w:rPr>
    </w:lvl>
  </w:abstractNum>
  <w:abstractNum w:abstractNumId="7">
    <w:nsid w:val="38DF7759"/>
    <w:multiLevelType w:val="hybridMultilevel"/>
    <w:tmpl w:val="BE184542"/>
    <w:lvl w:ilvl="0" w:tplc="7B9CA7B4">
      <w:start w:val="1"/>
      <w:numFmt w:val="decimal"/>
      <w:lvlText w:val="%1."/>
      <w:lvlJc w:val="left"/>
      <w:pPr>
        <w:ind w:left="720" w:hanging="360"/>
      </w:pPr>
    </w:lvl>
    <w:lvl w:ilvl="1" w:tplc="4BA8C5DE">
      <w:start w:val="1"/>
      <w:numFmt w:val="lowerLetter"/>
      <w:lvlText w:val="%2."/>
      <w:lvlJc w:val="left"/>
      <w:pPr>
        <w:ind w:left="1440" w:hanging="360"/>
      </w:pPr>
    </w:lvl>
    <w:lvl w:ilvl="2" w:tplc="63587ECE">
      <w:start w:val="1"/>
      <w:numFmt w:val="lowerRoman"/>
      <w:lvlText w:val="%3."/>
      <w:lvlJc w:val="right"/>
      <w:pPr>
        <w:ind w:left="2160" w:hanging="180"/>
      </w:pPr>
    </w:lvl>
    <w:lvl w:ilvl="3" w:tplc="30D024C4">
      <w:start w:val="1"/>
      <w:numFmt w:val="decimal"/>
      <w:lvlText w:val="%4."/>
      <w:lvlJc w:val="left"/>
      <w:pPr>
        <w:ind w:left="2880" w:hanging="360"/>
      </w:pPr>
    </w:lvl>
    <w:lvl w:ilvl="4" w:tplc="CDF6F606">
      <w:start w:val="1"/>
      <w:numFmt w:val="lowerLetter"/>
      <w:lvlText w:val="%5."/>
      <w:lvlJc w:val="left"/>
      <w:pPr>
        <w:ind w:left="3600" w:hanging="360"/>
      </w:pPr>
    </w:lvl>
    <w:lvl w:ilvl="5" w:tplc="ECD4460E">
      <w:start w:val="1"/>
      <w:numFmt w:val="lowerRoman"/>
      <w:lvlText w:val="%6."/>
      <w:lvlJc w:val="right"/>
      <w:pPr>
        <w:ind w:left="4320" w:hanging="180"/>
      </w:pPr>
    </w:lvl>
    <w:lvl w:ilvl="6" w:tplc="1B7A5B5C">
      <w:start w:val="1"/>
      <w:numFmt w:val="decimal"/>
      <w:lvlText w:val="%7."/>
      <w:lvlJc w:val="left"/>
      <w:pPr>
        <w:ind w:left="5040" w:hanging="360"/>
      </w:pPr>
    </w:lvl>
    <w:lvl w:ilvl="7" w:tplc="6F5216C2">
      <w:start w:val="1"/>
      <w:numFmt w:val="lowerLetter"/>
      <w:lvlText w:val="%8."/>
      <w:lvlJc w:val="left"/>
      <w:pPr>
        <w:ind w:left="5760" w:hanging="360"/>
      </w:pPr>
    </w:lvl>
    <w:lvl w:ilvl="8" w:tplc="806E7C18">
      <w:start w:val="1"/>
      <w:numFmt w:val="lowerRoman"/>
      <w:lvlText w:val="%9."/>
      <w:lvlJc w:val="right"/>
      <w:pPr>
        <w:ind w:left="6480" w:hanging="180"/>
      </w:pPr>
    </w:lvl>
  </w:abstractNum>
  <w:abstractNum w:abstractNumId="8">
    <w:nsid w:val="39303072"/>
    <w:multiLevelType w:val="multilevel"/>
    <w:tmpl w:val="827EBC1C"/>
    <w:lvl w:ilvl="0">
      <w:start w:val="10"/>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nsid w:val="393C73F6"/>
    <w:multiLevelType w:val="hybridMultilevel"/>
    <w:tmpl w:val="E5243796"/>
    <w:lvl w:ilvl="0" w:tplc="FB3E0312">
      <w:start w:val="1"/>
      <w:numFmt w:val="bullet"/>
      <w:lvlText w:val=""/>
      <w:lvlJc w:val="left"/>
      <w:pPr>
        <w:ind w:left="720" w:hanging="360"/>
      </w:pPr>
      <w:rPr>
        <w:rFonts w:ascii="Symbol" w:hAnsi="Symbol"/>
      </w:rPr>
    </w:lvl>
    <w:lvl w:ilvl="1" w:tplc="498C0052">
      <w:start w:val="1"/>
      <w:numFmt w:val="bullet"/>
      <w:lvlText w:val="o"/>
      <w:lvlJc w:val="left"/>
      <w:pPr>
        <w:ind w:left="1440" w:hanging="360"/>
      </w:pPr>
      <w:rPr>
        <w:rFonts w:ascii="Courier New" w:hAnsi="Courier New" w:cs="Courier New"/>
      </w:rPr>
    </w:lvl>
    <w:lvl w:ilvl="2" w:tplc="A81EFE8A">
      <w:start w:val="1"/>
      <w:numFmt w:val="bullet"/>
      <w:lvlText w:val=""/>
      <w:lvlJc w:val="left"/>
      <w:pPr>
        <w:ind w:left="2160" w:hanging="360"/>
      </w:pPr>
      <w:rPr>
        <w:rFonts w:ascii="Wingdings" w:hAnsi="Wingdings"/>
      </w:rPr>
    </w:lvl>
    <w:lvl w:ilvl="3" w:tplc="A1388EBC">
      <w:start w:val="1"/>
      <w:numFmt w:val="bullet"/>
      <w:lvlText w:val=""/>
      <w:lvlJc w:val="left"/>
      <w:pPr>
        <w:ind w:left="2880" w:hanging="360"/>
      </w:pPr>
      <w:rPr>
        <w:rFonts w:ascii="Symbol" w:hAnsi="Symbol"/>
      </w:rPr>
    </w:lvl>
    <w:lvl w:ilvl="4" w:tplc="63784DA6">
      <w:start w:val="1"/>
      <w:numFmt w:val="bullet"/>
      <w:lvlText w:val="o"/>
      <w:lvlJc w:val="left"/>
      <w:pPr>
        <w:ind w:left="3600" w:hanging="360"/>
      </w:pPr>
      <w:rPr>
        <w:rFonts w:ascii="Courier New" w:hAnsi="Courier New" w:cs="Courier New"/>
      </w:rPr>
    </w:lvl>
    <w:lvl w:ilvl="5" w:tplc="66EA9CF2">
      <w:start w:val="1"/>
      <w:numFmt w:val="bullet"/>
      <w:lvlText w:val=""/>
      <w:lvlJc w:val="left"/>
      <w:pPr>
        <w:ind w:left="4320" w:hanging="360"/>
      </w:pPr>
      <w:rPr>
        <w:rFonts w:ascii="Wingdings" w:hAnsi="Wingdings"/>
      </w:rPr>
    </w:lvl>
    <w:lvl w:ilvl="6" w:tplc="7298CFE4">
      <w:start w:val="1"/>
      <w:numFmt w:val="bullet"/>
      <w:lvlText w:val=""/>
      <w:lvlJc w:val="left"/>
      <w:pPr>
        <w:ind w:left="5040" w:hanging="360"/>
      </w:pPr>
      <w:rPr>
        <w:rFonts w:ascii="Symbol" w:hAnsi="Symbol"/>
      </w:rPr>
    </w:lvl>
    <w:lvl w:ilvl="7" w:tplc="14C2DAA0">
      <w:start w:val="1"/>
      <w:numFmt w:val="bullet"/>
      <w:lvlText w:val="o"/>
      <w:lvlJc w:val="left"/>
      <w:pPr>
        <w:ind w:left="5760" w:hanging="360"/>
      </w:pPr>
      <w:rPr>
        <w:rFonts w:ascii="Courier New" w:hAnsi="Courier New" w:cs="Courier New"/>
      </w:rPr>
    </w:lvl>
    <w:lvl w:ilvl="8" w:tplc="DA9C4C12">
      <w:start w:val="1"/>
      <w:numFmt w:val="bullet"/>
      <w:lvlText w:val=""/>
      <w:lvlJc w:val="left"/>
      <w:pPr>
        <w:ind w:left="6480" w:hanging="360"/>
      </w:pPr>
      <w:rPr>
        <w:rFonts w:ascii="Wingdings" w:hAnsi="Wingdings"/>
      </w:rPr>
    </w:lvl>
  </w:abstractNum>
  <w:abstractNum w:abstractNumId="10">
    <w:nsid w:val="393F76CA"/>
    <w:multiLevelType w:val="hybridMultilevel"/>
    <w:tmpl w:val="080E7D04"/>
    <w:lvl w:ilvl="0" w:tplc="9EF80864">
      <w:start w:val="1"/>
      <w:numFmt w:val="decimal"/>
      <w:lvlText w:val="%1."/>
      <w:lvlJc w:val="left"/>
      <w:pPr>
        <w:tabs>
          <w:tab w:val="num" w:pos="720"/>
        </w:tabs>
        <w:ind w:left="720" w:hanging="360"/>
      </w:pPr>
      <w:rPr>
        <w:b/>
      </w:rPr>
    </w:lvl>
    <w:lvl w:ilvl="1" w:tplc="27F2B464">
      <w:start w:val="1"/>
      <w:numFmt w:val="lowerLetter"/>
      <w:lvlText w:val="%2."/>
      <w:lvlJc w:val="left"/>
      <w:pPr>
        <w:tabs>
          <w:tab w:val="num" w:pos="1440"/>
        </w:tabs>
        <w:ind w:left="1440" w:hanging="360"/>
      </w:pPr>
    </w:lvl>
    <w:lvl w:ilvl="2" w:tplc="F02ED794">
      <w:start w:val="1"/>
      <w:numFmt w:val="lowerRoman"/>
      <w:lvlText w:val="%3."/>
      <w:lvlJc w:val="right"/>
      <w:pPr>
        <w:tabs>
          <w:tab w:val="num" w:pos="2160"/>
        </w:tabs>
        <w:ind w:left="2160" w:hanging="180"/>
      </w:pPr>
    </w:lvl>
    <w:lvl w:ilvl="3" w:tplc="0BCCD742">
      <w:start w:val="1"/>
      <w:numFmt w:val="decimal"/>
      <w:lvlText w:val="%4."/>
      <w:lvlJc w:val="left"/>
      <w:pPr>
        <w:tabs>
          <w:tab w:val="num" w:pos="2880"/>
        </w:tabs>
        <w:ind w:left="2880" w:hanging="360"/>
      </w:pPr>
    </w:lvl>
    <w:lvl w:ilvl="4" w:tplc="96B4F814">
      <w:start w:val="1"/>
      <w:numFmt w:val="lowerLetter"/>
      <w:lvlText w:val="%5."/>
      <w:lvlJc w:val="left"/>
      <w:pPr>
        <w:tabs>
          <w:tab w:val="num" w:pos="3600"/>
        </w:tabs>
        <w:ind w:left="3600" w:hanging="360"/>
      </w:pPr>
    </w:lvl>
    <w:lvl w:ilvl="5" w:tplc="AEFC700E">
      <w:start w:val="1"/>
      <w:numFmt w:val="lowerRoman"/>
      <w:lvlText w:val="%6."/>
      <w:lvlJc w:val="right"/>
      <w:pPr>
        <w:tabs>
          <w:tab w:val="num" w:pos="4320"/>
        </w:tabs>
        <w:ind w:left="4320" w:hanging="180"/>
      </w:pPr>
    </w:lvl>
    <w:lvl w:ilvl="6" w:tplc="4A38BB50">
      <w:start w:val="1"/>
      <w:numFmt w:val="decimal"/>
      <w:lvlText w:val="%7."/>
      <w:lvlJc w:val="left"/>
      <w:pPr>
        <w:tabs>
          <w:tab w:val="num" w:pos="5040"/>
        </w:tabs>
        <w:ind w:left="5040" w:hanging="360"/>
      </w:pPr>
    </w:lvl>
    <w:lvl w:ilvl="7" w:tplc="8AD8FD6C">
      <w:start w:val="1"/>
      <w:numFmt w:val="lowerLetter"/>
      <w:lvlText w:val="%8."/>
      <w:lvlJc w:val="left"/>
      <w:pPr>
        <w:tabs>
          <w:tab w:val="num" w:pos="5760"/>
        </w:tabs>
        <w:ind w:left="5760" w:hanging="360"/>
      </w:pPr>
    </w:lvl>
    <w:lvl w:ilvl="8" w:tplc="D7183560">
      <w:start w:val="1"/>
      <w:numFmt w:val="lowerRoman"/>
      <w:lvlText w:val="%9."/>
      <w:lvlJc w:val="right"/>
      <w:pPr>
        <w:tabs>
          <w:tab w:val="num" w:pos="6480"/>
        </w:tabs>
        <w:ind w:left="6480" w:hanging="180"/>
      </w:pPr>
    </w:lvl>
  </w:abstractNum>
  <w:abstractNum w:abstractNumId="11">
    <w:nsid w:val="40CB7443"/>
    <w:multiLevelType w:val="hybridMultilevel"/>
    <w:tmpl w:val="DC146C82"/>
    <w:lvl w:ilvl="0" w:tplc="1E062090">
      <w:start w:val="1"/>
      <w:numFmt w:val="decimal"/>
      <w:lvlText w:val="%1."/>
      <w:lvlJc w:val="left"/>
      <w:pPr>
        <w:ind w:left="1440" w:hanging="360"/>
      </w:pPr>
    </w:lvl>
    <w:lvl w:ilvl="1" w:tplc="A80082BA">
      <w:start w:val="1"/>
      <w:numFmt w:val="decimal"/>
      <w:lvlText w:val="%2."/>
      <w:lvlJc w:val="left"/>
      <w:pPr>
        <w:tabs>
          <w:tab w:val="num" w:pos="1440"/>
        </w:tabs>
        <w:ind w:left="1440" w:hanging="360"/>
      </w:pPr>
    </w:lvl>
    <w:lvl w:ilvl="2" w:tplc="8CE260D2">
      <w:start w:val="1"/>
      <w:numFmt w:val="decimal"/>
      <w:lvlText w:val="%3."/>
      <w:lvlJc w:val="left"/>
      <w:pPr>
        <w:tabs>
          <w:tab w:val="num" w:pos="2160"/>
        </w:tabs>
        <w:ind w:left="2160" w:hanging="360"/>
      </w:pPr>
    </w:lvl>
    <w:lvl w:ilvl="3" w:tplc="AD8C4870">
      <w:start w:val="1"/>
      <w:numFmt w:val="decimal"/>
      <w:lvlText w:val="%4."/>
      <w:lvlJc w:val="left"/>
      <w:pPr>
        <w:tabs>
          <w:tab w:val="num" w:pos="2880"/>
        </w:tabs>
        <w:ind w:left="2880" w:hanging="360"/>
      </w:pPr>
    </w:lvl>
    <w:lvl w:ilvl="4" w:tplc="81EEEFA8">
      <w:start w:val="1"/>
      <w:numFmt w:val="decimal"/>
      <w:lvlText w:val="%5."/>
      <w:lvlJc w:val="left"/>
      <w:pPr>
        <w:tabs>
          <w:tab w:val="num" w:pos="3600"/>
        </w:tabs>
        <w:ind w:left="3600" w:hanging="360"/>
      </w:pPr>
    </w:lvl>
    <w:lvl w:ilvl="5" w:tplc="84BA7424">
      <w:start w:val="1"/>
      <w:numFmt w:val="decimal"/>
      <w:lvlText w:val="%6."/>
      <w:lvlJc w:val="left"/>
      <w:pPr>
        <w:tabs>
          <w:tab w:val="num" w:pos="4320"/>
        </w:tabs>
        <w:ind w:left="4320" w:hanging="360"/>
      </w:pPr>
    </w:lvl>
    <w:lvl w:ilvl="6" w:tplc="E21845E4">
      <w:start w:val="1"/>
      <w:numFmt w:val="decimal"/>
      <w:lvlText w:val="%7."/>
      <w:lvlJc w:val="left"/>
      <w:pPr>
        <w:tabs>
          <w:tab w:val="num" w:pos="5040"/>
        </w:tabs>
        <w:ind w:left="5040" w:hanging="360"/>
      </w:pPr>
    </w:lvl>
    <w:lvl w:ilvl="7" w:tplc="B896E7D4">
      <w:start w:val="1"/>
      <w:numFmt w:val="decimal"/>
      <w:lvlText w:val="%8."/>
      <w:lvlJc w:val="left"/>
      <w:pPr>
        <w:tabs>
          <w:tab w:val="num" w:pos="5760"/>
        </w:tabs>
        <w:ind w:left="5760" w:hanging="360"/>
      </w:pPr>
    </w:lvl>
    <w:lvl w:ilvl="8" w:tplc="381C0DCA">
      <w:start w:val="1"/>
      <w:numFmt w:val="decimal"/>
      <w:lvlText w:val="%9."/>
      <w:lvlJc w:val="left"/>
      <w:pPr>
        <w:tabs>
          <w:tab w:val="num" w:pos="6480"/>
        </w:tabs>
        <w:ind w:left="6480" w:hanging="360"/>
      </w:pPr>
    </w:lvl>
  </w:abstractNum>
  <w:abstractNum w:abstractNumId="12">
    <w:nsid w:val="477353AC"/>
    <w:multiLevelType w:val="hybridMultilevel"/>
    <w:tmpl w:val="7D56B088"/>
    <w:lvl w:ilvl="0" w:tplc="D2BC2FAC">
      <w:start w:val="1"/>
      <w:numFmt w:val="bullet"/>
      <w:lvlText w:val=""/>
      <w:lvlJc w:val="left"/>
      <w:pPr>
        <w:ind w:left="1429" w:hanging="360"/>
      </w:pPr>
      <w:rPr>
        <w:rFonts w:ascii="Symbol" w:hAnsi="Symbol"/>
      </w:rPr>
    </w:lvl>
    <w:lvl w:ilvl="1" w:tplc="60340944">
      <w:start w:val="1"/>
      <w:numFmt w:val="bullet"/>
      <w:lvlText w:val="o"/>
      <w:lvlJc w:val="left"/>
      <w:pPr>
        <w:ind w:left="2149" w:hanging="360"/>
      </w:pPr>
      <w:rPr>
        <w:rFonts w:ascii="Courier New" w:hAnsi="Courier New" w:cs="Courier New"/>
      </w:rPr>
    </w:lvl>
    <w:lvl w:ilvl="2" w:tplc="F1B20246">
      <w:start w:val="1"/>
      <w:numFmt w:val="bullet"/>
      <w:lvlText w:val=""/>
      <w:lvlJc w:val="left"/>
      <w:pPr>
        <w:ind w:left="2869" w:hanging="360"/>
      </w:pPr>
      <w:rPr>
        <w:rFonts w:ascii="Wingdings" w:hAnsi="Wingdings"/>
      </w:rPr>
    </w:lvl>
    <w:lvl w:ilvl="3" w:tplc="725CB946">
      <w:start w:val="1"/>
      <w:numFmt w:val="bullet"/>
      <w:lvlText w:val=""/>
      <w:lvlJc w:val="left"/>
      <w:pPr>
        <w:ind w:left="3589" w:hanging="360"/>
      </w:pPr>
      <w:rPr>
        <w:rFonts w:ascii="Symbol" w:hAnsi="Symbol"/>
      </w:rPr>
    </w:lvl>
    <w:lvl w:ilvl="4" w:tplc="410A6C28">
      <w:start w:val="1"/>
      <w:numFmt w:val="bullet"/>
      <w:lvlText w:val="o"/>
      <w:lvlJc w:val="left"/>
      <w:pPr>
        <w:ind w:left="4309" w:hanging="360"/>
      </w:pPr>
      <w:rPr>
        <w:rFonts w:ascii="Courier New" w:hAnsi="Courier New" w:cs="Courier New"/>
      </w:rPr>
    </w:lvl>
    <w:lvl w:ilvl="5" w:tplc="B2FC154C">
      <w:start w:val="1"/>
      <w:numFmt w:val="bullet"/>
      <w:lvlText w:val=""/>
      <w:lvlJc w:val="left"/>
      <w:pPr>
        <w:ind w:left="5029" w:hanging="360"/>
      </w:pPr>
      <w:rPr>
        <w:rFonts w:ascii="Wingdings" w:hAnsi="Wingdings"/>
      </w:rPr>
    </w:lvl>
    <w:lvl w:ilvl="6" w:tplc="65225432">
      <w:start w:val="1"/>
      <w:numFmt w:val="bullet"/>
      <w:lvlText w:val=""/>
      <w:lvlJc w:val="left"/>
      <w:pPr>
        <w:ind w:left="5749" w:hanging="360"/>
      </w:pPr>
      <w:rPr>
        <w:rFonts w:ascii="Symbol" w:hAnsi="Symbol"/>
      </w:rPr>
    </w:lvl>
    <w:lvl w:ilvl="7" w:tplc="6C322F70">
      <w:start w:val="1"/>
      <w:numFmt w:val="bullet"/>
      <w:lvlText w:val="o"/>
      <w:lvlJc w:val="left"/>
      <w:pPr>
        <w:ind w:left="6469" w:hanging="360"/>
      </w:pPr>
      <w:rPr>
        <w:rFonts w:ascii="Courier New" w:hAnsi="Courier New" w:cs="Courier New"/>
      </w:rPr>
    </w:lvl>
    <w:lvl w:ilvl="8" w:tplc="2EA011A6">
      <w:start w:val="1"/>
      <w:numFmt w:val="bullet"/>
      <w:lvlText w:val=""/>
      <w:lvlJc w:val="left"/>
      <w:pPr>
        <w:ind w:left="7189" w:hanging="360"/>
      </w:pPr>
      <w:rPr>
        <w:rFonts w:ascii="Wingdings" w:hAnsi="Wingdings"/>
      </w:rPr>
    </w:lvl>
  </w:abstractNum>
  <w:abstractNum w:abstractNumId="13">
    <w:nsid w:val="4C2F5AFF"/>
    <w:multiLevelType w:val="hybridMultilevel"/>
    <w:tmpl w:val="57E8C668"/>
    <w:lvl w:ilvl="0" w:tplc="F93054D6">
      <w:start w:val="1"/>
      <w:numFmt w:val="bullet"/>
      <w:lvlText w:val="•"/>
      <w:lvlJc w:val="left"/>
      <w:pPr>
        <w:tabs>
          <w:tab w:val="num" w:pos="720"/>
        </w:tabs>
        <w:ind w:left="720" w:hanging="360"/>
      </w:pPr>
      <w:rPr>
        <w:rFonts w:ascii="Arial" w:hAnsi="Arial"/>
      </w:rPr>
    </w:lvl>
    <w:lvl w:ilvl="1" w:tplc="08945526">
      <w:start w:val="1"/>
      <w:numFmt w:val="bullet"/>
      <w:lvlText w:val="•"/>
      <w:lvlJc w:val="left"/>
      <w:pPr>
        <w:tabs>
          <w:tab w:val="num" w:pos="1440"/>
        </w:tabs>
        <w:ind w:left="1440" w:hanging="360"/>
      </w:pPr>
      <w:rPr>
        <w:rFonts w:ascii="Arial" w:hAnsi="Arial"/>
      </w:rPr>
    </w:lvl>
    <w:lvl w:ilvl="2" w:tplc="03B47ADE">
      <w:start w:val="1"/>
      <w:numFmt w:val="bullet"/>
      <w:lvlText w:val="•"/>
      <w:lvlJc w:val="left"/>
      <w:pPr>
        <w:tabs>
          <w:tab w:val="num" w:pos="2160"/>
        </w:tabs>
        <w:ind w:left="2160" w:hanging="360"/>
      </w:pPr>
      <w:rPr>
        <w:rFonts w:ascii="Arial" w:hAnsi="Arial"/>
      </w:rPr>
    </w:lvl>
    <w:lvl w:ilvl="3" w:tplc="FA4E0FEE">
      <w:start w:val="1"/>
      <w:numFmt w:val="bullet"/>
      <w:lvlText w:val="•"/>
      <w:lvlJc w:val="left"/>
      <w:pPr>
        <w:tabs>
          <w:tab w:val="num" w:pos="2880"/>
        </w:tabs>
        <w:ind w:left="2880" w:hanging="360"/>
      </w:pPr>
      <w:rPr>
        <w:rFonts w:ascii="Arial" w:hAnsi="Arial"/>
      </w:rPr>
    </w:lvl>
    <w:lvl w:ilvl="4" w:tplc="635AE9F4">
      <w:start w:val="1"/>
      <w:numFmt w:val="bullet"/>
      <w:lvlText w:val="•"/>
      <w:lvlJc w:val="left"/>
      <w:pPr>
        <w:tabs>
          <w:tab w:val="num" w:pos="3600"/>
        </w:tabs>
        <w:ind w:left="3600" w:hanging="360"/>
      </w:pPr>
      <w:rPr>
        <w:rFonts w:ascii="Arial" w:hAnsi="Arial"/>
      </w:rPr>
    </w:lvl>
    <w:lvl w:ilvl="5" w:tplc="D9AC3C52">
      <w:start w:val="1"/>
      <w:numFmt w:val="bullet"/>
      <w:lvlText w:val="•"/>
      <w:lvlJc w:val="left"/>
      <w:pPr>
        <w:tabs>
          <w:tab w:val="num" w:pos="4320"/>
        </w:tabs>
        <w:ind w:left="4320" w:hanging="360"/>
      </w:pPr>
      <w:rPr>
        <w:rFonts w:ascii="Arial" w:hAnsi="Arial"/>
      </w:rPr>
    </w:lvl>
    <w:lvl w:ilvl="6" w:tplc="9738CB68">
      <w:start w:val="1"/>
      <w:numFmt w:val="bullet"/>
      <w:lvlText w:val="•"/>
      <w:lvlJc w:val="left"/>
      <w:pPr>
        <w:tabs>
          <w:tab w:val="num" w:pos="5040"/>
        </w:tabs>
        <w:ind w:left="5040" w:hanging="360"/>
      </w:pPr>
      <w:rPr>
        <w:rFonts w:ascii="Arial" w:hAnsi="Arial"/>
      </w:rPr>
    </w:lvl>
    <w:lvl w:ilvl="7" w:tplc="CE90E0C2">
      <w:start w:val="1"/>
      <w:numFmt w:val="bullet"/>
      <w:lvlText w:val="•"/>
      <w:lvlJc w:val="left"/>
      <w:pPr>
        <w:tabs>
          <w:tab w:val="num" w:pos="5760"/>
        </w:tabs>
        <w:ind w:left="5760" w:hanging="360"/>
      </w:pPr>
      <w:rPr>
        <w:rFonts w:ascii="Arial" w:hAnsi="Arial"/>
      </w:rPr>
    </w:lvl>
    <w:lvl w:ilvl="8" w:tplc="37E0F976">
      <w:start w:val="1"/>
      <w:numFmt w:val="bullet"/>
      <w:lvlText w:val="•"/>
      <w:lvlJc w:val="left"/>
      <w:pPr>
        <w:tabs>
          <w:tab w:val="num" w:pos="6480"/>
        </w:tabs>
        <w:ind w:left="6480" w:hanging="360"/>
      </w:pPr>
      <w:rPr>
        <w:rFonts w:ascii="Arial" w:hAnsi="Arial"/>
      </w:rPr>
    </w:lvl>
  </w:abstractNum>
  <w:abstractNum w:abstractNumId="14">
    <w:nsid w:val="4C994677"/>
    <w:multiLevelType w:val="hybridMultilevel"/>
    <w:tmpl w:val="0CC0A1C4"/>
    <w:lvl w:ilvl="0" w:tplc="5BE274FA">
      <w:start w:val="1"/>
      <w:numFmt w:val="decimal"/>
      <w:lvlText w:val="%1)"/>
      <w:lvlJc w:val="left"/>
      <w:pPr>
        <w:ind w:left="720" w:hanging="360"/>
      </w:pPr>
    </w:lvl>
    <w:lvl w:ilvl="1" w:tplc="087E4298">
      <w:start w:val="1"/>
      <w:numFmt w:val="lowerLetter"/>
      <w:lvlText w:val="%2."/>
      <w:lvlJc w:val="left"/>
      <w:pPr>
        <w:ind w:left="1440" w:hanging="360"/>
      </w:pPr>
    </w:lvl>
    <w:lvl w:ilvl="2" w:tplc="55DAFAC6">
      <w:start w:val="1"/>
      <w:numFmt w:val="lowerRoman"/>
      <w:lvlText w:val="%3."/>
      <w:lvlJc w:val="right"/>
      <w:pPr>
        <w:ind w:left="2160" w:hanging="180"/>
      </w:pPr>
    </w:lvl>
    <w:lvl w:ilvl="3" w:tplc="3474A2E2">
      <w:start w:val="1"/>
      <w:numFmt w:val="decimal"/>
      <w:lvlText w:val="%4."/>
      <w:lvlJc w:val="left"/>
      <w:pPr>
        <w:ind w:left="2880" w:hanging="360"/>
      </w:pPr>
    </w:lvl>
    <w:lvl w:ilvl="4" w:tplc="5E10011A">
      <w:start w:val="1"/>
      <w:numFmt w:val="lowerLetter"/>
      <w:lvlText w:val="%5."/>
      <w:lvlJc w:val="left"/>
      <w:pPr>
        <w:ind w:left="3600" w:hanging="360"/>
      </w:pPr>
    </w:lvl>
    <w:lvl w:ilvl="5" w:tplc="A016F842">
      <w:start w:val="1"/>
      <w:numFmt w:val="lowerRoman"/>
      <w:lvlText w:val="%6."/>
      <w:lvlJc w:val="right"/>
      <w:pPr>
        <w:ind w:left="4320" w:hanging="180"/>
      </w:pPr>
    </w:lvl>
    <w:lvl w:ilvl="6" w:tplc="94D2E064">
      <w:start w:val="1"/>
      <w:numFmt w:val="decimal"/>
      <w:lvlText w:val="%7."/>
      <w:lvlJc w:val="left"/>
      <w:pPr>
        <w:ind w:left="5040" w:hanging="360"/>
      </w:pPr>
    </w:lvl>
    <w:lvl w:ilvl="7" w:tplc="1B46AA74">
      <w:start w:val="1"/>
      <w:numFmt w:val="lowerLetter"/>
      <w:lvlText w:val="%8."/>
      <w:lvlJc w:val="left"/>
      <w:pPr>
        <w:ind w:left="5760" w:hanging="360"/>
      </w:pPr>
    </w:lvl>
    <w:lvl w:ilvl="8" w:tplc="981A9774">
      <w:start w:val="1"/>
      <w:numFmt w:val="lowerRoman"/>
      <w:lvlText w:val="%9."/>
      <w:lvlJc w:val="right"/>
      <w:pPr>
        <w:ind w:left="6480" w:hanging="180"/>
      </w:pPr>
    </w:lvl>
  </w:abstractNum>
  <w:abstractNum w:abstractNumId="15">
    <w:nsid w:val="4CB50480"/>
    <w:multiLevelType w:val="hybridMultilevel"/>
    <w:tmpl w:val="8B2C77E6"/>
    <w:lvl w:ilvl="0" w:tplc="2DE28824">
      <w:start w:val="1"/>
      <w:numFmt w:val="decimal"/>
      <w:lvlText w:val="%1."/>
      <w:lvlJc w:val="left"/>
      <w:pPr>
        <w:ind w:left="720" w:hanging="360"/>
      </w:pPr>
    </w:lvl>
    <w:lvl w:ilvl="1" w:tplc="69C632FE">
      <w:start w:val="1"/>
      <w:numFmt w:val="lowerLetter"/>
      <w:lvlText w:val="%2."/>
      <w:lvlJc w:val="left"/>
      <w:pPr>
        <w:ind w:left="1440" w:hanging="360"/>
      </w:pPr>
    </w:lvl>
    <w:lvl w:ilvl="2" w:tplc="BB6EEDAE">
      <w:start w:val="1"/>
      <w:numFmt w:val="lowerRoman"/>
      <w:lvlText w:val="%3."/>
      <w:lvlJc w:val="right"/>
      <w:pPr>
        <w:ind w:left="2160" w:hanging="180"/>
      </w:pPr>
    </w:lvl>
    <w:lvl w:ilvl="3" w:tplc="B8CA9344">
      <w:start w:val="1"/>
      <w:numFmt w:val="decimal"/>
      <w:lvlText w:val="%4."/>
      <w:lvlJc w:val="left"/>
      <w:pPr>
        <w:ind w:left="2880" w:hanging="360"/>
      </w:pPr>
    </w:lvl>
    <w:lvl w:ilvl="4" w:tplc="0838BDBE">
      <w:start w:val="1"/>
      <w:numFmt w:val="lowerLetter"/>
      <w:lvlText w:val="%5."/>
      <w:lvlJc w:val="left"/>
      <w:pPr>
        <w:ind w:left="3600" w:hanging="360"/>
      </w:pPr>
    </w:lvl>
    <w:lvl w:ilvl="5" w:tplc="AF5626D2">
      <w:start w:val="1"/>
      <w:numFmt w:val="lowerRoman"/>
      <w:lvlText w:val="%6."/>
      <w:lvlJc w:val="right"/>
      <w:pPr>
        <w:ind w:left="4320" w:hanging="180"/>
      </w:pPr>
    </w:lvl>
    <w:lvl w:ilvl="6" w:tplc="9EACCEFC">
      <w:start w:val="1"/>
      <w:numFmt w:val="decimal"/>
      <w:lvlText w:val="%7."/>
      <w:lvlJc w:val="left"/>
      <w:pPr>
        <w:ind w:left="5040" w:hanging="360"/>
      </w:pPr>
    </w:lvl>
    <w:lvl w:ilvl="7" w:tplc="267CAA5C">
      <w:start w:val="1"/>
      <w:numFmt w:val="lowerLetter"/>
      <w:lvlText w:val="%8."/>
      <w:lvlJc w:val="left"/>
      <w:pPr>
        <w:ind w:left="5760" w:hanging="360"/>
      </w:pPr>
    </w:lvl>
    <w:lvl w:ilvl="8" w:tplc="1AB8739C">
      <w:start w:val="1"/>
      <w:numFmt w:val="lowerRoman"/>
      <w:lvlText w:val="%9."/>
      <w:lvlJc w:val="right"/>
      <w:pPr>
        <w:ind w:left="6480" w:hanging="180"/>
      </w:pPr>
    </w:lvl>
  </w:abstractNum>
  <w:abstractNum w:abstractNumId="16">
    <w:nsid w:val="57830465"/>
    <w:multiLevelType w:val="multilevel"/>
    <w:tmpl w:val="3640B680"/>
    <w:lvl w:ilvl="0">
      <w:start w:val="1"/>
      <w:numFmt w:val="decimal"/>
      <w:lvlText w:val="%1."/>
      <w:lvlJc w:val="left"/>
      <w:pPr>
        <w:ind w:left="786" w:hanging="360"/>
      </w:pPr>
    </w:lvl>
    <w:lvl w:ilvl="1">
      <w:start w:val="1"/>
      <w:numFmt w:val="decimal"/>
      <w:lvlText w:val="%2."/>
      <w:lvlJc w:val="left"/>
      <w:pPr>
        <w:ind w:left="1070" w:hanging="360"/>
      </w:pPr>
    </w:lvl>
    <w:lvl w:ilvl="2">
      <w:start w:val="1"/>
      <w:numFmt w:val="decimal"/>
      <w:lvlText w:val="%1.%2.%3."/>
      <w:lvlJc w:val="left"/>
      <w:pPr>
        <w:ind w:left="1712" w:hanging="720"/>
      </w:pPr>
    </w:lvl>
    <w:lvl w:ilvl="3">
      <w:start w:val="1"/>
      <w:numFmt w:val="decimal"/>
      <w:lvlText w:val="%1.%2.%3.%4."/>
      <w:lvlJc w:val="left"/>
      <w:pPr>
        <w:ind w:left="1995" w:hanging="720"/>
      </w:pPr>
    </w:lvl>
    <w:lvl w:ilvl="4">
      <w:start w:val="1"/>
      <w:numFmt w:val="decimal"/>
      <w:lvlText w:val="%1.%2.%3.%4.%5."/>
      <w:lvlJc w:val="left"/>
      <w:pPr>
        <w:ind w:left="2638" w:hanging="1080"/>
      </w:pPr>
    </w:lvl>
    <w:lvl w:ilvl="5">
      <w:start w:val="1"/>
      <w:numFmt w:val="decimal"/>
      <w:lvlText w:val="%1.%2.%3.%4.%5.%6."/>
      <w:lvlJc w:val="left"/>
      <w:pPr>
        <w:ind w:left="2921" w:hanging="1080"/>
      </w:pPr>
    </w:lvl>
    <w:lvl w:ilvl="6">
      <w:start w:val="1"/>
      <w:numFmt w:val="decimal"/>
      <w:lvlText w:val="%1.%2.%3.%4.%5.%6.%7."/>
      <w:lvlJc w:val="left"/>
      <w:pPr>
        <w:ind w:left="3564" w:hanging="1440"/>
      </w:pPr>
    </w:lvl>
    <w:lvl w:ilvl="7">
      <w:start w:val="1"/>
      <w:numFmt w:val="decimal"/>
      <w:lvlText w:val="%1.%2.%3.%4.%5.%6.%7.%8."/>
      <w:lvlJc w:val="left"/>
      <w:pPr>
        <w:ind w:left="3847" w:hanging="1440"/>
      </w:pPr>
    </w:lvl>
    <w:lvl w:ilvl="8">
      <w:start w:val="1"/>
      <w:numFmt w:val="decimal"/>
      <w:lvlText w:val="%1.%2.%3.%4.%5.%6.%7.%8.%9."/>
      <w:lvlJc w:val="left"/>
      <w:pPr>
        <w:ind w:left="4490" w:hanging="1800"/>
      </w:pPr>
    </w:lvl>
  </w:abstractNum>
  <w:abstractNum w:abstractNumId="17">
    <w:nsid w:val="579650CB"/>
    <w:multiLevelType w:val="hybridMultilevel"/>
    <w:tmpl w:val="5FC2251A"/>
    <w:lvl w:ilvl="0" w:tplc="E18A2910">
      <w:start w:val="1"/>
      <w:numFmt w:val="decimal"/>
      <w:lvlText w:val="%1)"/>
      <w:lvlJc w:val="left"/>
      <w:pPr>
        <w:ind w:left="720" w:hanging="360"/>
      </w:pPr>
    </w:lvl>
    <w:lvl w:ilvl="1" w:tplc="9A2C0464">
      <w:start w:val="1"/>
      <w:numFmt w:val="lowerLetter"/>
      <w:lvlText w:val="%2."/>
      <w:lvlJc w:val="left"/>
      <w:pPr>
        <w:ind w:left="1440" w:hanging="360"/>
      </w:pPr>
    </w:lvl>
    <w:lvl w:ilvl="2" w:tplc="C7ACC352">
      <w:start w:val="1"/>
      <w:numFmt w:val="lowerRoman"/>
      <w:lvlText w:val="%3."/>
      <w:lvlJc w:val="right"/>
      <w:pPr>
        <w:ind w:left="2160" w:hanging="180"/>
      </w:pPr>
    </w:lvl>
    <w:lvl w:ilvl="3" w:tplc="A13E77B2">
      <w:start w:val="1"/>
      <w:numFmt w:val="decimal"/>
      <w:lvlText w:val="%4."/>
      <w:lvlJc w:val="left"/>
      <w:pPr>
        <w:ind w:left="2880" w:hanging="360"/>
      </w:pPr>
    </w:lvl>
    <w:lvl w:ilvl="4" w:tplc="7964575E">
      <w:start w:val="1"/>
      <w:numFmt w:val="lowerLetter"/>
      <w:lvlText w:val="%5."/>
      <w:lvlJc w:val="left"/>
      <w:pPr>
        <w:ind w:left="3600" w:hanging="360"/>
      </w:pPr>
    </w:lvl>
    <w:lvl w:ilvl="5" w:tplc="08BA2FBA">
      <w:start w:val="1"/>
      <w:numFmt w:val="lowerRoman"/>
      <w:lvlText w:val="%6."/>
      <w:lvlJc w:val="right"/>
      <w:pPr>
        <w:ind w:left="4320" w:hanging="180"/>
      </w:pPr>
    </w:lvl>
    <w:lvl w:ilvl="6" w:tplc="600C3BD8">
      <w:start w:val="1"/>
      <w:numFmt w:val="decimal"/>
      <w:lvlText w:val="%7."/>
      <w:lvlJc w:val="left"/>
      <w:pPr>
        <w:ind w:left="5040" w:hanging="360"/>
      </w:pPr>
    </w:lvl>
    <w:lvl w:ilvl="7" w:tplc="3350DAE0">
      <w:start w:val="1"/>
      <w:numFmt w:val="lowerLetter"/>
      <w:lvlText w:val="%8."/>
      <w:lvlJc w:val="left"/>
      <w:pPr>
        <w:ind w:left="5760" w:hanging="360"/>
      </w:pPr>
    </w:lvl>
    <w:lvl w:ilvl="8" w:tplc="41F01644">
      <w:start w:val="1"/>
      <w:numFmt w:val="lowerRoman"/>
      <w:lvlText w:val="%9."/>
      <w:lvlJc w:val="right"/>
      <w:pPr>
        <w:ind w:left="6480" w:hanging="180"/>
      </w:pPr>
    </w:lvl>
  </w:abstractNum>
  <w:abstractNum w:abstractNumId="18">
    <w:nsid w:val="65B9296E"/>
    <w:multiLevelType w:val="hybridMultilevel"/>
    <w:tmpl w:val="349EF9FA"/>
    <w:lvl w:ilvl="0" w:tplc="B442F43A">
      <w:start w:val="1"/>
      <w:numFmt w:val="bullet"/>
      <w:lvlText w:val=""/>
      <w:lvlJc w:val="left"/>
      <w:pPr>
        <w:ind w:left="720" w:hanging="360"/>
      </w:pPr>
      <w:rPr>
        <w:rFonts w:ascii="Wingdings" w:hAnsi="Wingdings"/>
      </w:rPr>
    </w:lvl>
    <w:lvl w:ilvl="1" w:tplc="F1BC687C">
      <w:start w:val="1"/>
      <w:numFmt w:val="bullet"/>
      <w:lvlText w:val="o"/>
      <w:lvlJc w:val="left"/>
      <w:pPr>
        <w:ind w:left="1440" w:hanging="360"/>
      </w:pPr>
      <w:rPr>
        <w:rFonts w:ascii="Courier New" w:hAnsi="Courier New" w:cs="Courier New"/>
      </w:rPr>
    </w:lvl>
    <w:lvl w:ilvl="2" w:tplc="EB361A7A">
      <w:start w:val="1"/>
      <w:numFmt w:val="bullet"/>
      <w:lvlText w:val=""/>
      <w:lvlJc w:val="left"/>
      <w:pPr>
        <w:ind w:left="2160" w:hanging="360"/>
      </w:pPr>
      <w:rPr>
        <w:rFonts w:ascii="Wingdings" w:hAnsi="Wingdings"/>
      </w:rPr>
    </w:lvl>
    <w:lvl w:ilvl="3" w:tplc="01A6B40C">
      <w:start w:val="1"/>
      <w:numFmt w:val="bullet"/>
      <w:lvlText w:val=""/>
      <w:lvlJc w:val="left"/>
      <w:pPr>
        <w:ind w:left="2880" w:hanging="360"/>
      </w:pPr>
      <w:rPr>
        <w:rFonts w:ascii="Symbol" w:hAnsi="Symbol"/>
      </w:rPr>
    </w:lvl>
    <w:lvl w:ilvl="4" w:tplc="CD2EE3BC">
      <w:start w:val="1"/>
      <w:numFmt w:val="bullet"/>
      <w:lvlText w:val="o"/>
      <w:lvlJc w:val="left"/>
      <w:pPr>
        <w:ind w:left="3600" w:hanging="360"/>
      </w:pPr>
      <w:rPr>
        <w:rFonts w:ascii="Courier New" w:hAnsi="Courier New" w:cs="Courier New"/>
      </w:rPr>
    </w:lvl>
    <w:lvl w:ilvl="5" w:tplc="373EBA80">
      <w:start w:val="1"/>
      <w:numFmt w:val="bullet"/>
      <w:lvlText w:val=""/>
      <w:lvlJc w:val="left"/>
      <w:pPr>
        <w:ind w:left="4320" w:hanging="360"/>
      </w:pPr>
      <w:rPr>
        <w:rFonts w:ascii="Wingdings" w:hAnsi="Wingdings"/>
      </w:rPr>
    </w:lvl>
    <w:lvl w:ilvl="6" w:tplc="635A11D4">
      <w:start w:val="1"/>
      <w:numFmt w:val="bullet"/>
      <w:lvlText w:val=""/>
      <w:lvlJc w:val="left"/>
      <w:pPr>
        <w:ind w:left="5040" w:hanging="360"/>
      </w:pPr>
      <w:rPr>
        <w:rFonts w:ascii="Symbol" w:hAnsi="Symbol"/>
      </w:rPr>
    </w:lvl>
    <w:lvl w:ilvl="7" w:tplc="781C5D14">
      <w:start w:val="1"/>
      <w:numFmt w:val="bullet"/>
      <w:lvlText w:val="o"/>
      <w:lvlJc w:val="left"/>
      <w:pPr>
        <w:ind w:left="5760" w:hanging="360"/>
      </w:pPr>
      <w:rPr>
        <w:rFonts w:ascii="Courier New" w:hAnsi="Courier New" w:cs="Courier New"/>
      </w:rPr>
    </w:lvl>
    <w:lvl w:ilvl="8" w:tplc="1FAC53F0">
      <w:start w:val="1"/>
      <w:numFmt w:val="bullet"/>
      <w:lvlText w:val=""/>
      <w:lvlJc w:val="left"/>
      <w:pPr>
        <w:ind w:left="6480" w:hanging="360"/>
      </w:pPr>
      <w:rPr>
        <w:rFonts w:ascii="Wingdings" w:hAnsi="Wingdings"/>
      </w:rPr>
    </w:lvl>
  </w:abstractNum>
  <w:abstractNum w:abstractNumId="19">
    <w:nsid w:val="6E870175"/>
    <w:multiLevelType w:val="hybridMultilevel"/>
    <w:tmpl w:val="05F62266"/>
    <w:lvl w:ilvl="0" w:tplc="F60A93B4">
      <w:start w:val="1"/>
      <w:numFmt w:val="bullet"/>
      <w:lvlText w:val="-"/>
      <w:lvlJc w:val="left"/>
      <w:pPr>
        <w:ind w:left="720" w:hanging="360"/>
      </w:pPr>
      <w:rPr>
        <w:strike w:val="0"/>
        <w:u w:val="none"/>
      </w:rPr>
    </w:lvl>
    <w:lvl w:ilvl="1" w:tplc="CC58EE50">
      <w:start w:val="1"/>
      <w:numFmt w:val="bullet"/>
      <w:lvlText w:val="-"/>
      <w:lvlJc w:val="left"/>
      <w:pPr>
        <w:ind w:left="1440" w:hanging="360"/>
      </w:pPr>
      <w:rPr>
        <w:strike w:val="0"/>
        <w:u w:val="none"/>
      </w:rPr>
    </w:lvl>
    <w:lvl w:ilvl="2" w:tplc="13F62DE4">
      <w:start w:val="1"/>
      <w:numFmt w:val="bullet"/>
      <w:lvlText w:val="-"/>
      <w:lvlJc w:val="left"/>
      <w:pPr>
        <w:ind w:left="2160" w:hanging="360"/>
      </w:pPr>
      <w:rPr>
        <w:strike w:val="0"/>
        <w:u w:val="none"/>
      </w:rPr>
    </w:lvl>
    <w:lvl w:ilvl="3" w:tplc="D4CE795E">
      <w:start w:val="1"/>
      <w:numFmt w:val="bullet"/>
      <w:lvlText w:val="-"/>
      <w:lvlJc w:val="left"/>
      <w:pPr>
        <w:ind w:left="2880" w:hanging="360"/>
      </w:pPr>
      <w:rPr>
        <w:strike w:val="0"/>
        <w:u w:val="none"/>
      </w:rPr>
    </w:lvl>
    <w:lvl w:ilvl="4" w:tplc="AC3E35D6">
      <w:start w:val="1"/>
      <w:numFmt w:val="bullet"/>
      <w:lvlText w:val="-"/>
      <w:lvlJc w:val="left"/>
      <w:pPr>
        <w:ind w:left="3600" w:hanging="360"/>
      </w:pPr>
      <w:rPr>
        <w:strike w:val="0"/>
        <w:u w:val="none"/>
      </w:rPr>
    </w:lvl>
    <w:lvl w:ilvl="5" w:tplc="D154414A">
      <w:start w:val="1"/>
      <w:numFmt w:val="bullet"/>
      <w:lvlText w:val="-"/>
      <w:lvlJc w:val="left"/>
      <w:pPr>
        <w:ind w:left="4320" w:hanging="360"/>
      </w:pPr>
      <w:rPr>
        <w:strike w:val="0"/>
        <w:u w:val="none"/>
      </w:rPr>
    </w:lvl>
    <w:lvl w:ilvl="6" w:tplc="1BF28A8C">
      <w:start w:val="1"/>
      <w:numFmt w:val="bullet"/>
      <w:lvlText w:val="-"/>
      <w:lvlJc w:val="left"/>
      <w:pPr>
        <w:ind w:left="5040" w:hanging="360"/>
      </w:pPr>
      <w:rPr>
        <w:strike w:val="0"/>
        <w:u w:val="none"/>
      </w:rPr>
    </w:lvl>
    <w:lvl w:ilvl="7" w:tplc="A17C90D8">
      <w:start w:val="1"/>
      <w:numFmt w:val="bullet"/>
      <w:lvlText w:val="-"/>
      <w:lvlJc w:val="left"/>
      <w:pPr>
        <w:ind w:left="5760" w:hanging="360"/>
      </w:pPr>
      <w:rPr>
        <w:strike w:val="0"/>
        <w:u w:val="none"/>
      </w:rPr>
    </w:lvl>
    <w:lvl w:ilvl="8" w:tplc="4DF28E52">
      <w:start w:val="1"/>
      <w:numFmt w:val="bullet"/>
      <w:lvlText w:val="-"/>
      <w:lvlJc w:val="left"/>
      <w:pPr>
        <w:ind w:left="6480" w:hanging="360"/>
      </w:pPr>
      <w:rPr>
        <w:strike w:val="0"/>
        <w:u w:val="none"/>
      </w:rPr>
    </w:lvl>
  </w:abstractNum>
  <w:abstractNum w:abstractNumId="20">
    <w:nsid w:val="716F1059"/>
    <w:multiLevelType w:val="hybridMultilevel"/>
    <w:tmpl w:val="966656B6"/>
    <w:lvl w:ilvl="0" w:tplc="DA96631E">
      <w:start w:val="1"/>
      <w:numFmt w:val="bullet"/>
      <w:lvlText w:val="•"/>
      <w:lvlJc w:val="left"/>
      <w:pPr>
        <w:tabs>
          <w:tab w:val="num" w:pos="720"/>
        </w:tabs>
        <w:ind w:left="720" w:hanging="360"/>
      </w:pPr>
      <w:rPr>
        <w:rFonts w:ascii="Arial" w:hAnsi="Arial"/>
      </w:rPr>
    </w:lvl>
    <w:lvl w:ilvl="1" w:tplc="F2CE6268">
      <w:start w:val="1"/>
      <w:numFmt w:val="bullet"/>
      <w:lvlText w:val="•"/>
      <w:lvlJc w:val="left"/>
      <w:pPr>
        <w:tabs>
          <w:tab w:val="num" w:pos="1440"/>
        </w:tabs>
        <w:ind w:left="1440" w:hanging="360"/>
      </w:pPr>
      <w:rPr>
        <w:rFonts w:ascii="Arial" w:hAnsi="Arial"/>
      </w:rPr>
    </w:lvl>
    <w:lvl w:ilvl="2" w:tplc="C060BF08">
      <w:start w:val="1"/>
      <w:numFmt w:val="bullet"/>
      <w:lvlText w:val="•"/>
      <w:lvlJc w:val="left"/>
      <w:pPr>
        <w:tabs>
          <w:tab w:val="num" w:pos="2160"/>
        </w:tabs>
        <w:ind w:left="2160" w:hanging="360"/>
      </w:pPr>
      <w:rPr>
        <w:rFonts w:ascii="Arial" w:hAnsi="Arial"/>
      </w:rPr>
    </w:lvl>
    <w:lvl w:ilvl="3" w:tplc="216A46B0">
      <w:start w:val="1"/>
      <w:numFmt w:val="bullet"/>
      <w:lvlText w:val="•"/>
      <w:lvlJc w:val="left"/>
      <w:pPr>
        <w:tabs>
          <w:tab w:val="num" w:pos="2880"/>
        </w:tabs>
        <w:ind w:left="2880" w:hanging="360"/>
      </w:pPr>
      <w:rPr>
        <w:rFonts w:ascii="Arial" w:hAnsi="Arial"/>
      </w:rPr>
    </w:lvl>
    <w:lvl w:ilvl="4" w:tplc="380CB004">
      <w:start w:val="1"/>
      <w:numFmt w:val="bullet"/>
      <w:lvlText w:val="•"/>
      <w:lvlJc w:val="left"/>
      <w:pPr>
        <w:tabs>
          <w:tab w:val="num" w:pos="3600"/>
        </w:tabs>
        <w:ind w:left="3600" w:hanging="360"/>
      </w:pPr>
      <w:rPr>
        <w:rFonts w:ascii="Arial" w:hAnsi="Arial"/>
      </w:rPr>
    </w:lvl>
    <w:lvl w:ilvl="5" w:tplc="1E7CC29C">
      <w:start w:val="1"/>
      <w:numFmt w:val="bullet"/>
      <w:lvlText w:val="•"/>
      <w:lvlJc w:val="left"/>
      <w:pPr>
        <w:tabs>
          <w:tab w:val="num" w:pos="4320"/>
        </w:tabs>
        <w:ind w:left="4320" w:hanging="360"/>
      </w:pPr>
      <w:rPr>
        <w:rFonts w:ascii="Arial" w:hAnsi="Arial"/>
      </w:rPr>
    </w:lvl>
    <w:lvl w:ilvl="6" w:tplc="55E25B82">
      <w:start w:val="1"/>
      <w:numFmt w:val="bullet"/>
      <w:lvlText w:val="•"/>
      <w:lvlJc w:val="left"/>
      <w:pPr>
        <w:tabs>
          <w:tab w:val="num" w:pos="5040"/>
        </w:tabs>
        <w:ind w:left="5040" w:hanging="360"/>
      </w:pPr>
      <w:rPr>
        <w:rFonts w:ascii="Arial" w:hAnsi="Arial"/>
      </w:rPr>
    </w:lvl>
    <w:lvl w:ilvl="7" w:tplc="191463E4">
      <w:start w:val="1"/>
      <w:numFmt w:val="bullet"/>
      <w:lvlText w:val="•"/>
      <w:lvlJc w:val="left"/>
      <w:pPr>
        <w:tabs>
          <w:tab w:val="num" w:pos="5760"/>
        </w:tabs>
        <w:ind w:left="5760" w:hanging="360"/>
      </w:pPr>
      <w:rPr>
        <w:rFonts w:ascii="Arial" w:hAnsi="Arial"/>
      </w:rPr>
    </w:lvl>
    <w:lvl w:ilvl="8" w:tplc="7CE4D2EE">
      <w:start w:val="1"/>
      <w:numFmt w:val="bullet"/>
      <w:lvlText w:val="•"/>
      <w:lvlJc w:val="left"/>
      <w:pPr>
        <w:tabs>
          <w:tab w:val="num" w:pos="6480"/>
        </w:tabs>
        <w:ind w:left="6480" w:hanging="360"/>
      </w:pPr>
      <w:rPr>
        <w:rFonts w:ascii="Arial" w:hAnsi="Arial"/>
      </w:rPr>
    </w:lvl>
  </w:abstractNum>
  <w:abstractNum w:abstractNumId="21">
    <w:nsid w:val="76A2660A"/>
    <w:multiLevelType w:val="multilevel"/>
    <w:tmpl w:val="D23E452A"/>
    <w:lvl w:ilvl="0">
      <w:start w:val="1"/>
      <w:numFmt w:val="decimal"/>
      <w:lvlText w:val="%1."/>
      <w:lvlJc w:val="left"/>
      <w:pPr>
        <w:ind w:left="2629" w:hanging="360"/>
      </w:pPr>
    </w:lvl>
    <w:lvl w:ilvl="1">
      <w:start w:val="1"/>
      <w:numFmt w:val="decimal"/>
      <w:lvlText w:val="%2."/>
      <w:lvlJc w:val="left"/>
      <w:pPr>
        <w:ind w:left="735" w:hanging="375"/>
      </w:pPr>
      <w:rPr>
        <w:rFonts w:ascii="Times New Roman" w:eastAsia="Times New Roman" w:hAnsi="Times New Roman" w:cs="Times New Roman"/>
        <w:i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7"/>
  </w:num>
  <w:num w:numId="5">
    <w:abstractNumId w:val="15"/>
  </w:num>
  <w:num w:numId="6">
    <w:abstractNumId w:val="16"/>
  </w:num>
  <w:num w:numId="7">
    <w:abstractNumId w:val="2"/>
  </w:num>
  <w:num w:numId="8">
    <w:abstractNumId w:val="12"/>
  </w:num>
  <w:num w:numId="9">
    <w:abstractNumId w:val="19"/>
  </w:num>
  <w:num w:numId="10">
    <w:abstractNumId w:val="12"/>
  </w:num>
  <w:num w:numId="11">
    <w:abstractNumId w:val="18"/>
  </w:num>
  <w:num w:numId="12">
    <w:abstractNumId w:val="9"/>
  </w:num>
  <w:num w:numId="13">
    <w:abstractNumId w:val="1"/>
  </w:num>
  <w:num w:numId="14">
    <w:abstractNumId w:val="10"/>
  </w:num>
  <w:num w:numId="15">
    <w:abstractNumId w:val="17"/>
  </w:num>
  <w:num w:numId="16">
    <w:abstractNumId w:val="18"/>
  </w:num>
  <w:num w:numId="17">
    <w:abstractNumId w:val="8"/>
  </w:num>
  <w:num w:numId="18">
    <w:abstractNumId w:val="0"/>
  </w:num>
  <w:num w:numId="19">
    <w:abstractNumId w:val="14"/>
  </w:num>
  <w:num w:numId="20">
    <w:abstractNumId w:val="20"/>
  </w:num>
  <w:num w:numId="21">
    <w:abstractNumId w:val="3"/>
  </w:num>
  <w:num w:numId="22">
    <w:abstractNumId w:val="13"/>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324"/>
    <w:rsid w:val="00124A10"/>
    <w:rsid w:val="00BA49AD"/>
    <w:rsid w:val="00C047D3"/>
    <w:rsid w:val="00CF0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FEB693DA-3091-48B1-949F-E7860FF5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uiPriority w:val="9"/>
    <w:qFormat/>
    <w:pPr>
      <w:keepNext/>
      <w:jc w:val="center"/>
      <w:outlineLvl w:val="0"/>
    </w:pPr>
    <w:rPr>
      <w:sz w:val="28"/>
      <w:lang w:val="en-US" w:eastAsia="en-US"/>
    </w:rPr>
  </w:style>
  <w:style w:type="paragraph" w:styleId="2">
    <w:name w:val="heading 2"/>
    <w:basedOn w:val="a"/>
    <w:next w:val="a"/>
    <w:link w:val="20"/>
    <w:uiPriority w:val="9"/>
    <w:qFormat/>
    <w:pPr>
      <w:keepNext/>
      <w:jc w:val="center"/>
      <w:outlineLvl w:val="1"/>
    </w:pPr>
    <w:rPr>
      <w:b/>
      <w:bCs/>
      <w:sz w:val="28"/>
      <w:lang w:val="en-US" w:eastAsia="en-US"/>
    </w:rPr>
  </w:style>
  <w:style w:type="paragraph" w:styleId="3">
    <w:name w:val="heading 3"/>
    <w:basedOn w:val="a"/>
    <w:next w:val="a"/>
    <w:link w:val="30"/>
    <w:uiPriority w:val="9"/>
    <w:qFormat/>
    <w:pPr>
      <w:keepNext/>
      <w:spacing w:before="240" w:after="60"/>
      <w:outlineLvl w:val="2"/>
    </w:pPr>
    <w:rPr>
      <w:rFonts w:ascii="Arial" w:hAnsi="Arial"/>
      <w:b/>
      <w:bCs/>
      <w:sz w:val="26"/>
      <w:szCs w:val="26"/>
      <w:lang w:val="en-US" w:eastAsia="en-US"/>
    </w:rPr>
  </w:style>
  <w:style w:type="paragraph" w:styleId="4">
    <w:name w:val="heading 4"/>
    <w:basedOn w:val="a"/>
    <w:next w:val="a"/>
    <w:link w:val="40"/>
    <w:uiPriority w:val="99"/>
    <w:qFormat/>
    <w:pPr>
      <w:keepNext/>
      <w:spacing w:before="240" w:after="60" w:line="276" w:lineRule="auto"/>
      <w:outlineLvl w:val="3"/>
    </w:pPr>
    <w:rPr>
      <w:rFonts w:eastAsia="Calibri"/>
      <w:b/>
      <w:sz w:val="28"/>
      <w:szCs w:val="20"/>
      <w:lang w:val="en-US" w:eastAsia="en-US"/>
    </w:rPr>
  </w:style>
  <w:style w:type="paragraph" w:styleId="5">
    <w:name w:val="heading 5"/>
    <w:basedOn w:val="a"/>
    <w:next w:val="a"/>
    <w:link w:val="50"/>
    <w:uiPriority w:val="99"/>
    <w:qFormat/>
    <w:pPr>
      <w:spacing w:before="240" w:after="60"/>
      <w:outlineLvl w:val="4"/>
    </w:pPr>
    <w:rPr>
      <w:rFonts w:ascii="Calibri" w:hAnsi="Calibri"/>
      <w:b/>
      <w:bCs/>
      <w:i/>
      <w:iCs/>
      <w:sz w:val="26"/>
      <w:szCs w:val="26"/>
      <w:lang w:val="en-US" w:eastAsia="en-U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9"/>
    <w:qFormat/>
    <w:pPr>
      <w:keepNext/>
      <w:keepLines/>
      <w:spacing w:before="200"/>
      <w:jc w:val="both"/>
      <w:outlineLvl w:val="8"/>
    </w:pPr>
    <w:rPr>
      <w:rFonts w:ascii="Cambria" w:eastAsia="Calibri" w:hAnsi="Cambria"/>
      <w:b/>
      <w:i/>
      <w:iCs/>
      <w:color w:val="404040"/>
      <w:sz w:val="20"/>
      <w:szCs w:val="20"/>
      <w:lang w:val="en-GB" w:eastAsia="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3">
    <w:name w:val="Title"/>
    <w:basedOn w:val="a"/>
    <w:link w:val="a4"/>
    <w:qFormat/>
    <w:pPr>
      <w:jc w:val="center"/>
    </w:pPr>
    <w:rPr>
      <w:b/>
      <w:bCs/>
      <w:sz w:val="28"/>
      <w:lang w:val="en-US" w:eastAsia="en-US"/>
    </w:rPr>
  </w:style>
  <w:style w:type="character" w:customStyle="1" w:styleId="TitleChar">
    <w:name w:val="Title Char"/>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pPr>
      <w:tabs>
        <w:tab w:val="center" w:pos="4677"/>
        <w:tab w:val="right" w:pos="9355"/>
      </w:tabs>
    </w:pPr>
    <w:rPr>
      <w:sz w:val="20"/>
      <w:szCs w:val="20"/>
    </w:rPr>
  </w:style>
  <w:style w:type="character" w:customStyle="1" w:styleId="HeaderChar">
    <w:name w:val="Header Char"/>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uiPriority w:val="99"/>
  </w:style>
  <w:style w:type="paragraph" w:styleId="ad">
    <w:name w:val="caption"/>
    <w:basedOn w:val="a"/>
    <w:next w:val="a"/>
    <w:uiPriority w:val="35"/>
    <w:qFormat/>
    <w:pPr>
      <w:spacing w:after="200"/>
    </w:pPr>
    <w:rPr>
      <w:b/>
      <w:bCs/>
      <w:color w:val="4F81BD"/>
      <w:sz w:val="18"/>
      <w:szCs w:val="18"/>
    </w:rPr>
  </w:style>
  <w:style w:type="character" w:customStyle="1" w:styleId="ac">
    <w:name w:val="Нижний колонтитул Знак"/>
    <w:link w:val="ab"/>
    <w:uiPriority w:val="99"/>
  </w:style>
  <w:style w:type="table" w:styleId="ae">
    <w:name w:val="Table Grid"/>
    <w:basedOn w:val="a1"/>
    <w:uiPriority w:val="59"/>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rPr>
      <w:color w:val="0000FF"/>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rPr>
      <w:sz w:val="20"/>
      <w:szCs w:val="20"/>
    </w:rPr>
  </w:style>
  <w:style w:type="character" w:customStyle="1" w:styleId="EndnoteTextChar">
    <w:name w:val="Endnote Text Char"/>
    <w:uiPriority w:val="99"/>
    <w:rPr>
      <w:sz w:val="20"/>
    </w:rPr>
  </w:style>
  <w:style w:type="character" w:styleId="af5">
    <w:name w:val="endnote reference"/>
    <w:rPr>
      <w:vertAlign w:val="superscript"/>
    </w:rPr>
  </w:style>
  <w:style w:type="paragraph" w:styleId="12">
    <w:name w:val="toc 1"/>
    <w:basedOn w:val="a"/>
    <w:next w:val="a"/>
    <w:uiPriority w:val="39"/>
    <w:pPr>
      <w:tabs>
        <w:tab w:val="right" w:leader="dot" w:pos="9344"/>
      </w:tabs>
      <w:spacing w:line="360" w:lineRule="auto"/>
    </w:pPr>
    <w:rPr>
      <w:sz w:val="28"/>
      <w:szCs w:val="20"/>
    </w:rPr>
  </w:style>
  <w:style w:type="paragraph" w:styleId="23">
    <w:name w:val="toc 2"/>
    <w:basedOn w:val="a"/>
    <w:next w:val="a"/>
    <w:uiPriority w:val="39"/>
    <w:pPr>
      <w:ind w:left="280"/>
    </w:pPr>
    <w:rPr>
      <w:sz w:val="28"/>
      <w:szCs w:val="20"/>
    </w:rPr>
  </w:style>
  <w:style w:type="paragraph" w:styleId="32">
    <w:name w:val="toc 3"/>
    <w:basedOn w:val="a"/>
    <w:next w:val="a"/>
    <w:uiPriority w:val="39"/>
    <w:pPr>
      <w:ind w:left="400"/>
    </w:pPr>
    <w:rPr>
      <w:sz w:val="20"/>
      <w:szCs w:val="20"/>
    </w:rPr>
  </w:style>
  <w:style w:type="paragraph" w:styleId="42">
    <w:name w:val="toc 4"/>
    <w:basedOn w:val="a"/>
    <w:next w:val="a"/>
    <w:uiPriority w:val="39"/>
    <w:unhideWhenUsed/>
    <w:pPr>
      <w:spacing w:after="100" w:line="276" w:lineRule="auto"/>
      <w:ind w:left="660"/>
    </w:pPr>
    <w:rPr>
      <w:rFonts w:ascii="Calibri" w:hAnsi="Calibri"/>
      <w:sz w:val="22"/>
      <w:szCs w:val="22"/>
    </w:rPr>
  </w:style>
  <w:style w:type="paragraph" w:styleId="52">
    <w:name w:val="toc 5"/>
    <w:basedOn w:val="a"/>
    <w:next w:val="a"/>
    <w:uiPriority w:val="39"/>
    <w:unhideWhenUsed/>
    <w:pPr>
      <w:spacing w:after="100" w:line="276" w:lineRule="auto"/>
      <w:ind w:left="880"/>
    </w:pPr>
    <w:rPr>
      <w:rFonts w:ascii="Calibri" w:hAnsi="Calibri"/>
      <w:sz w:val="22"/>
      <w:szCs w:val="22"/>
    </w:rPr>
  </w:style>
  <w:style w:type="paragraph" w:styleId="61">
    <w:name w:val="toc 6"/>
    <w:basedOn w:val="a"/>
    <w:next w:val="a"/>
    <w:uiPriority w:val="39"/>
    <w:unhideWhenUsed/>
    <w:pPr>
      <w:spacing w:after="100" w:line="276" w:lineRule="auto"/>
      <w:ind w:left="1100"/>
    </w:pPr>
    <w:rPr>
      <w:rFonts w:ascii="Calibri" w:hAnsi="Calibri"/>
      <w:sz w:val="22"/>
      <w:szCs w:val="22"/>
    </w:rPr>
  </w:style>
  <w:style w:type="paragraph" w:styleId="71">
    <w:name w:val="toc 7"/>
    <w:basedOn w:val="a"/>
    <w:next w:val="a"/>
    <w:uiPriority w:val="39"/>
    <w:unhideWhenUsed/>
    <w:pPr>
      <w:spacing w:after="100" w:line="276" w:lineRule="auto"/>
      <w:ind w:left="1320"/>
    </w:pPr>
    <w:rPr>
      <w:rFonts w:ascii="Calibri" w:hAnsi="Calibri"/>
      <w:sz w:val="22"/>
      <w:szCs w:val="22"/>
    </w:rPr>
  </w:style>
  <w:style w:type="paragraph" w:styleId="81">
    <w:name w:val="toc 8"/>
    <w:basedOn w:val="a"/>
    <w:next w:val="a"/>
    <w:uiPriority w:val="39"/>
    <w:unhideWhenUsed/>
    <w:pPr>
      <w:spacing w:after="100" w:line="276" w:lineRule="auto"/>
      <w:ind w:left="1540"/>
    </w:pPr>
    <w:rPr>
      <w:rFonts w:ascii="Calibri" w:hAnsi="Calibri"/>
      <w:sz w:val="22"/>
      <w:szCs w:val="22"/>
    </w:rPr>
  </w:style>
  <w:style w:type="paragraph" w:styleId="91">
    <w:name w:val="toc 9"/>
    <w:basedOn w:val="a"/>
    <w:next w:val="a"/>
    <w:uiPriority w:val="39"/>
    <w:unhideWhenUsed/>
    <w:pPr>
      <w:spacing w:after="100" w:line="276" w:lineRule="auto"/>
      <w:ind w:left="1760"/>
    </w:pPr>
    <w:rPr>
      <w:rFonts w:ascii="Calibri" w:hAnsi="Calibri"/>
      <w:sz w:val="22"/>
      <w:szCs w:val="22"/>
    </w:rPr>
  </w:style>
  <w:style w:type="paragraph" w:styleId="af6">
    <w:name w:val="TOC Heading"/>
    <w:basedOn w:val="1"/>
    <w:next w:val="a"/>
    <w:uiPriority w:val="39"/>
    <w:semiHidden/>
    <w:unhideWhenUsed/>
    <w:qFormat/>
    <w:pPr>
      <w:keepLines/>
      <w:spacing w:before="480" w:line="276" w:lineRule="auto"/>
      <w:jc w:val="left"/>
      <w:outlineLvl w:val="9"/>
    </w:pPr>
    <w:rPr>
      <w:rFonts w:ascii="Cambria" w:hAnsi="Cambria"/>
      <w:b/>
      <w:bCs/>
      <w:color w:val="365F91"/>
      <w:szCs w:val="28"/>
    </w:rPr>
  </w:style>
  <w:style w:type="paragraph" w:styleId="af7">
    <w:name w:val="table of figures"/>
    <w:basedOn w:val="a"/>
    <w:next w:val="a"/>
    <w:uiPriority w:val="99"/>
    <w:unhideWhenUsed/>
  </w:style>
  <w:style w:type="paragraph" w:styleId="af8">
    <w:name w:val="Balloon Text"/>
    <w:basedOn w:val="a"/>
    <w:link w:val="af9"/>
    <w:uiPriority w:val="99"/>
    <w:rPr>
      <w:rFonts w:ascii="Tahoma" w:hAnsi="Tahoma"/>
      <w:sz w:val="16"/>
      <w:szCs w:val="16"/>
      <w:lang w:val="en-US" w:eastAsia="en-US"/>
    </w:rPr>
  </w:style>
  <w:style w:type="paragraph" w:customStyle="1" w:styleId="ConsNonformat">
    <w:name w:val="ConsNonformat"/>
    <w:uiPriority w:val="99"/>
    <w:pPr>
      <w:widowControl w:val="0"/>
    </w:pPr>
    <w:rPr>
      <w:rFonts w:ascii="Courier New" w:hAnsi="Courier New" w:cs="Courier New"/>
      <w:lang w:eastAsia="ru-RU"/>
    </w:rPr>
  </w:style>
  <w:style w:type="paragraph" w:customStyle="1" w:styleId="ConsNormal">
    <w:name w:val="ConsNormal"/>
    <w:pPr>
      <w:widowControl w:val="0"/>
      <w:ind w:firstLine="720"/>
    </w:pPr>
    <w:rPr>
      <w:rFonts w:ascii="Arial" w:hAnsi="Arial" w:cs="Arial"/>
      <w:lang w:eastAsia="ru-RU"/>
    </w:rPr>
  </w:style>
  <w:style w:type="paragraph" w:customStyle="1" w:styleId="1234511213141OaaeeiueOaaeeiue1Oaaeeiue2Oaaeeiue3Oaaeeiue4Oaaeeiue5Oaaeeiue11Oaaeeiue21Oaaeeiue31Oaaeeiue41">
    <w:name w:val="Основной текст;Табличный;Табличный1;Табличный2;Табличный3;Табличный4;Табличный5;Табличный11;Табличный21;Табличный31;Табличный41;Oaaee?iue;Oaaee?iue1;Oaaee?iue2;Oaaee?iue3;Oaaee?iue4;Oaaee?iue5;Oaaee?iue11;Oaaee?iue21;Oaaee?iue31;Oaaee?iue41"/>
    <w:basedOn w:val="a"/>
    <w:link w:val="1234511213141OaaeeiueOaaeeiue1Oaaeeiue2Oaaeeiue3"/>
    <w:uiPriority w:val="99"/>
    <w:pPr>
      <w:jc w:val="both"/>
    </w:pPr>
    <w:rPr>
      <w:bCs/>
      <w:szCs w:val="20"/>
      <w:lang w:val="en-US" w:eastAsia="en-US"/>
    </w:rPr>
  </w:style>
  <w:style w:type="paragraph" w:customStyle="1" w:styleId="afa">
    <w:name w:val="Прижатый влево"/>
    <w:basedOn w:val="a"/>
    <w:next w:val="a"/>
    <w:rPr>
      <w:rFonts w:ascii="Arial" w:hAnsi="Arial" w:cs="Arial"/>
    </w:rPr>
  </w:style>
  <w:style w:type="paragraph" w:customStyle="1" w:styleId="BulletListFooterTextnumbered112-1">
    <w:name w:val="Абзац списка;Bullet List;FooterText;numbered;Подпись рисунка;Маркированный список_уровень1;Абзац списка основной;Список_маркированный;Мой красивый 1;Список2;Абзац вправо-1"/>
    <w:basedOn w:val="a"/>
    <w:uiPriority w:val="34"/>
    <w:qFormat/>
    <w:pPr>
      <w:spacing w:after="200" w:line="276" w:lineRule="auto"/>
      <w:ind w:left="720"/>
    </w:pPr>
    <w:rPr>
      <w:rFonts w:ascii="Calibri" w:eastAsia="Calibri" w:hAnsi="Calibri" w:cs="Calibri"/>
      <w:sz w:val="22"/>
      <w:szCs w:val="22"/>
      <w:lang w:eastAsia="en-US"/>
    </w:rPr>
  </w:style>
  <w:style w:type="character" w:customStyle="1" w:styleId="afb">
    <w:name w:val="Основной текст_"/>
    <w:link w:val="13"/>
    <w:rPr>
      <w:sz w:val="25"/>
      <w:szCs w:val="25"/>
      <w:shd w:val="clear" w:color="auto" w:fill="FFFFFF"/>
    </w:rPr>
  </w:style>
  <w:style w:type="paragraph" w:customStyle="1" w:styleId="13">
    <w:name w:val="Основной текст1"/>
    <w:basedOn w:val="a"/>
    <w:link w:val="afb"/>
    <w:pPr>
      <w:shd w:val="clear" w:color="auto" w:fill="FFFFFF"/>
      <w:spacing w:before="360" w:after="240" w:line="298" w:lineRule="exact"/>
      <w:jc w:val="both"/>
    </w:pPr>
    <w:rPr>
      <w:sz w:val="25"/>
      <w:szCs w:val="25"/>
      <w:lang w:val="en-US" w:eastAsia="en-US"/>
    </w:rPr>
  </w:style>
  <w:style w:type="paragraph" w:customStyle="1" w:styleId="afc">
    <w:name w:val="Абзац"/>
    <w:pPr>
      <w:spacing w:line="360" w:lineRule="auto"/>
      <w:ind w:firstLine="709"/>
    </w:pPr>
    <w:rPr>
      <w:sz w:val="28"/>
      <w:szCs w:val="24"/>
      <w:lang w:eastAsia="ru-RU"/>
    </w:rPr>
  </w:style>
  <w:style w:type="character" w:customStyle="1" w:styleId="afd">
    <w:name w:val="Гипертекстовая ссылка"/>
    <w:uiPriority w:val="99"/>
    <w:rPr>
      <w:color w:val="106BBE"/>
    </w:rPr>
  </w:style>
  <w:style w:type="paragraph" w:styleId="33">
    <w:name w:val="Body Text 3"/>
    <w:basedOn w:val="a"/>
    <w:link w:val="34"/>
    <w:pPr>
      <w:spacing w:after="120"/>
    </w:pPr>
    <w:rPr>
      <w:sz w:val="16"/>
      <w:szCs w:val="16"/>
      <w:lang w:val="en-US" w:eastAsia="en-US"/>
    </w:rPr>
  </w:style>
  <w:style w:type="character" w:customStyle="1" w:styleId="34">
    <w:name w:val="Основной текст 3 Знак"/>
    <w:link w:val="33"/>
    <w:rPr>
      <w:sz w:val="16"/>
      <w:szCs w:val="16"/>
    </w:rPr>
  </w:style>
  <w:style w:type="character" w:customStyle="1" w:styleId="a4">
    <w:name w:val="Название Знак"/>
    <w:link w:val="a3"/>
    <w:rPr>
      <w:b/>
      <w:bCs/>
      <w:sz w:val="28"/>
      <w:szCs w:val="24"/>
    </w:rPr>
  </w:style>
  <w:style w:type="paragraph" w:styleId="afe">
    <w:name w:val="Normal (Web)"/>
    <w:basedOn w:val="a"/>
    <w:uiPriority w:val="99"/>
    <w:pPr>
      <w:spacing w:before="100" w:beforeAutospacing="1" w:after="100" w:afterAutospacing="1"/>
    </w:pPr>
  </w:style>
  <w:style w:type="character" w:customStyle="1" w:styleId="40">
    <w:name w:val="Заголовок 4 Знак"/>
    <w:link w:val="4"/>
    <w:uiPriority w:val="99"/>
    <w:rPr>
      <w:rFonts w:eastAsia="Calibri"/>
      <w:b/>
      <w:sz w:val="28"/>
      <w:lang w:val="en-US" w:eastAsia="en-US"/>
    </w:rPr>
  </w:style>
  <w:style w:type="character" w:customStyle="1" w:styleId="50">
    <w:name w:val="Заголовок 5 Знак"/>
    <w:link w:val="5"/>
    <w:uiPriority w:val="99"/>
    <w:rPr>
      <w:rFonts w:ascii="Calibri" w:hAnsi="Calibri"/>
      <w:b/>
      <w:bCs/>
      <w:i/>
      <w:iCs/>
      <w:sz w:val="26"/>
      <w:szCs w:val="26"/>
      <w:lang w:val="en-US" w:eastAsia="en-US"/>
    </w:rPr>
  </w:style>
  <w:style w:type="character" w:customStyle="1" w:styleId="90">
    <w:name w:val="Заголовок 9 Знак"/>
    <w:link w:val="9"/>
    <w:uiPriority w:val="99"/>
    <w:rPr>
      <w:rFonts w:ascii="Cambria" w:eastAsia="Calibri" w:hAnsi="Cambria"/>
      <w:b/>
      <w:i/>
      <w:iCs/>
      <w:color w:val="404040"/>
      <w:lang w:val="en-GB" w:eastAsia="cs-CZ"/>
    </w:rPr>
  </w:style>
  <w:style w:type="paragraph" w:customStyle="1" w:styleId="ConsPlusNormal">
    <w:name w:val="ConsPlusNormal"/>
    <w:link w:val="ConsPlusNormal0"/>
    <w:uiPriority w:val="99"/>
    <w:pPr>
      <w:widowControl w:val="0"/>
      <w:ind w:firstLine="720"/>
    </w:pPr>
    <w:rPr>
      <w:rFonts w:ascii="Arial" w:hAnsi="Arial" w:cs="Arial"/>
      <w:lang w:eastAsia="ru-RU"/>
    </w:rPr>
  </w:style>
  <w:style w:type="paragraph" w:customStyle="1" w:styleId="ConsPlusNonformat">
    <w:name w:val="ConsPlusNonformat"/>
    <w:pPr>
      <w:widowControl w:val="0"/>
    </w:pPr>
    <w:rPr>
      <w:rFonts w:ascii="Courier New" w:hAnsi="Courier New" w:cs="Courier New"/>
      <w:lang w:eastAsia="ru-RU"/>
    </w:rPr>
  </w:style>
  <w:style w:type="paragraph" w:customStyle="1" w:styleId="ConsPlusTitle">
    <w:name w:val="ConsPlusTitle"/>
    <w:pPr>
      <w:widowControl w:val="0"/>
    </w:pPr>
    <w:rPr>
      <w:rFonts w:ascii="Arial" w:hAnsi="Arial" w:cs="Arial"/>
      <w:b/>
      <w:bCs/>
      <w:lang w:eastAsia="ru-RU"/>
    </w:rPr>
  </w:style>
  <w:style w:type="paragraph" w:styleId="aff">
    <w:name w:val="Document Map"/>
    <w:basedOn w:val="a"/>
    <w:link w:val="aff0"/>
    <w:pPr>
      <w:shd w:val="clear" w:color="auto" w:fill="000080"/>
    </w:pPr>
    <w:rPr>
      <w:rFonts w:ascii="Tahoma" w:hAnsi="Tahoma"/>
      <w:sz w:val="20"/>
      <w:szCs w:val="20"/>
      <w:lang w:val="en-US" w:eastAsia="en-US"/>
    </w:rPr>
  </w:style>
  <w:style w:type="character" w:customStyle="1" w:styleId="aff0">
    <w:name w:val="Схема документа Знак"/>
    <w:link w:val="aff"/>
    <w:rPr>
      <w:rFonts w:ascii="Tahoma" w:hAnsi="Tahoma" w:cs="Tahoma"/>
      <w:shd w:val="clear" w:color="auto" w:fill="000080"/>
    </w:rPr>
  </w:style>
  <w:style w:type="character" w:customStyle="1" w:styleId="aa">
    <w:name w:val="Верхний колонтитул Знак"/>
    <w:basedOn w:val="a0"/>
    <w:link w:val="a9"/>
    <w:uiPriority w:val="99"/>
  </w:style>
  <w:style w:type="paragraph" w:customStyle="1" w:styleId="53">
    <w:name w:val="Нижний колонтитул;Знак5"/>
    <w:basedOn w:val="a"/>
    <w:link w:val="54"/>
    <w:uiPriority w:val="99"/>
    <w:pPr>
      <w:tabs>
        <w:tab w:val="center" w:pos="4677"/>
        <w:tab w:val="right" w:pos="9355"/>
      </w:tabs>
    </w:pPr>
    <w:rPr>
      <w:sz w:val="20"/>
      <w:szCs w:val="20"/>
    </w:rPr>
  </w:style>
  <w:style w:type="character" w:customStyle="1" w:styleId="54">
    <w:name w:val="Нижний колонтитул Знак;Знак5 Знак"/>
    <w:basedOn w:val="a0"/>
    <w:link w:val="53"/>
    <w:uiPriority w:val="99"/>
  </w:style>
  <w:style w:type="paragraph" w:customStyle="1" w:styleId="aff1">
    <w:name w:val="Знак Знак"/>
    <w:basedOn w:val="a"/>
    <w:pPr>
      <w:spacing w:after="160" w:line="240" w:lineRule="exact"/>
    </w:pPr>
    <w:rPr>
      <w:rFonts w:ascii="Verdana" w:hAnsi="Verdana"/>
      <w:sz w:val="20"/>
      <w:szCs w:val="20"/>
      <w:lang w:val="en-US" w:eastAsia="en-US"/>
    </w:rPr>
  </w:style>
  <w:style w:type="paragraph" w:customStyle="1" w:styleId="ConsTitle">
    <w:name w:val="ConsTitle"/>
    <w:pPr>
      <w:widowControl w:val="0"/>
      <w:ind w:right="19772"/>
    </w:pPr>
    <w:rPr>
      <w:rFonts w:ascii="Arial" w:hAnsi="Arial"/>
      <w:b/>
      <w:sz w:val="16"/>
      <w:lang w:eastAsia="ru-RU"/>
    </w:rPr>
  </w:style>
  <w:style w:type="character" w:customStyle="1" w:styleId="aff2">
    <w:name w:val="Цветовое выделение"/>
    <w:uiPriority w:val="99"/>
    <w:rPr>
      <w:b/>
      <w:bCs/>
      <w:color w:val="26282F"/>
    </w:rPr>
  </w:style>
  <w:style w:type="character" w:customStyle="1" w:styleId="ConsPlusNormal0">
    <w:name w:val="ConsPlusNormal Знак"/>
    <w:link w:val="ConsPlusNormal"/>
    <w:uiPriority w:val="99"/>
    <w:rPr>
      <w:rFonts w:ascii="Arial" w:hAnsi="Arial" w:cs="Arial"/>
      <w:lang w:val="ru-RU" w:eastAsia="ru-RU" w:bidi="ar-SA"/>
    </w:rPr>
  </w:style>
  <w:style w:type="character" w:customStyle="1" w:styleId="aff3">
    <w:name w:val="Обычный по центру Знак"/>
    <w:link w:val="aff4"/>
    <w:rPr>
      <w:sz w:val="24"/>
    </w:rPr>
  </w:style>
  <w:style w:type="paragraph" w:customStyle="1" w:styleId="aff4">
    <w:name w:val="Обычный по центру"/>
    <w:basedOn w:val="a"/>
    <w:link w:val="aff3"/>
    <w:pPr>
      <w:jc w:val="center"/>
    </w:pPr>
    <w:rPr>
      <w:szCs w:val="20"/>
      <w:lang w:val="en-US" w:eastAsia="en-US"/>
    </w:rPr>
  </w:style>
  <w:style w:type="character" w:customStyle="1" w:styleId="10">
    <w:name w:val="Заголовок 1 Знак"/>
    <w:link w:val="1"/>
    <w:uiPriority w:val="9"/>
    <w:rPr>
      <w:sz w:val="28"/>
      <w:szCs w:val="24"/>
    </w:rPr>
  </w:style>
  <w:style w:type="character" w:customStyle="1" w:styleId="20">
    <w:name w:val="Заголовок 2 Знак"/>
    <w:link w:val="2"/>
    <w:uiPriority w:val="9"/>
    <w:rPr>
      <w:b/>
      <w:bCs/>
      <w:sz w:val="28"/>
      <w:szCs w:val="24"/>
    </w:rPr>
  </w:style>
  <w:style w:type="character" w:customStyle="1" w:styleId="30">
    <w:name w:val="Заголовок 3 Знак"/>
    <w:link w:val="3"/>
    <w:uiPriority w:val="9"/>
    <w:rPr>
      <w:rFonts w:ascii="Arial" w:hAnsi="Arial" w:cs="Arial"/>
      <w:b/>
      <w:bCs/>
      <w:sz w:val="26"/>
      <w:szCs w:val="26"/>
    </w:rPr>
  </w:style>
  <w:style w:type="numbering" w:customStyle="1" w:styleId="14">
    <w:name w:val="Нет списка1"/>
    <w:next w:val="a2"/>
    <w:uiPriority w:val="99"/>
    <w:semiHidden/>
    <w:unhideWhenUsed/>
  </w:style>
  <w:style w:type="paragraph" w:styleId="aff5">
    <w:name w:val="Body Text Indent"/>
    <w:basedOn w:val="a"/>
    <w:link w:val="aff6"/>
    <w:pPr>
      <w:ind w:firstLine="720"/>
      <w:jc w:val="both"/>
    </w:pPr>
    <w:rPr>
      <w:rFonts w:ascii="TimesET" w:hAnsi="TimesET"/>
      <w:sz w:val="20"/>
      <w:szCs w:val="20"/>
      <w:lang w:val="en-US" w:eastAsia="en-US"/>
    </w:rPr>
  </w:style>
  <w:style w:type="character" w:customStyle="1" w:styleId="aff6">
    <w:name w:val="Основной текст с отступом Знак"/>
    <w:link w:val="aff5"/>
    <w:rPr>
      <w:rFonts w:ascii="TimesET" w:hAnsi="TimesET"/>
      <w:lang w:val="en-US" w:eastAsia="en-US"/>
    </w:rPr>
  </w:style>
  <w:style w:type="paragraph" w:styleId="24">
    <w:name w:val="Body Text 2"/>
    <w:basedOn w:val="a"/>
    <w:link w:val="25"/>
    <w:uiPriority w:val="99"/>
    <w:pPr>
      <w:spacing w:line="360" w:lineRule="auto"/>
    </w:pPr>
    <w:rPr>
      <w:rFonts w:ascii="TimesET" w:hAnsi="TimesET"/>
      <w:sz w:val="20"/>
      <w:szCs w:val="20"/>
      <w:lang w:val="en-US" w:eastAsia="en-US"/>
    </w:rPr>
  </w:style>
  <w:style w:type="character" w:customStyle="1" w:styleId="25">
    <w:name w:val="Основной текст 2 Знак"/>
    <w:link w:val="24"/>
    <w:uiPriority w:val="99"/>
    <w:rPr>
      <w:rFonts w:ascii="TimesET" w:hAnsi="TimesET"/>
      <w:lang w:val="en-US" w:eastAsia="en-US"/>
    </w:rPr>
  </w:style>
  <w:style w:type="paragraph" w:customStyle="1" w:styleId="220">
    <w:name w:val="Основной текст с отступом 2;Знак2 Знак"/>
    <w:basedOn w:val="a"/>
    <w:link w:val="2212"/>
    <w:pPr>
      <w:spacing w:line="360" w:lineRule="auto"/>
      <w:ind w:firstLine="720"/>
    </w:pPr>
    <w:rPr>
      <w:rFonts w:ascii="TimesET" w:hAnsi="TimesET"/>
      <w:sz w:val="20"/>
      <w:szCs w:val="20"/>
      <w:lang w:val="en-US" w:eastAsia="en-US"/>
    </w:rPr>
  </w:style>
  <w:style w:type="character" w:customStyle="1" w:styleId="2212">
    <w:name w:val="Основной текст с отступом 2 Знак;Знак2 Знак Знак1;Знак2 Знак Знак"/>
    <w:link w:val="220"/>
    <w:rPr>
      <w:rFonts w:ascii="TimesET" w:hAnsi="TimesET"/>
      <w:lang w:val="en-US" w:eastAsia="en-US"/>
    </w:rPr>
  </w:style>
  <w:style w:type="character" w:customStyle="1" w:styleId="1234511213141OaaeeiueOaaeeiue1Oaaeeiue2Oaaeeiue3">
    <w:name w:val="Основной текст Знак;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Oaaee?iue Знак;Oaaee?iue1 Знак;Oaaee?iue2 Знак;Oaaee?iue3 Знак"/>
    <w:link w:val="1234511213141OaaeeiueOaaeeiue1Oaaeeiue2Oaaeeiue3Oaaeeiue4Oaaeeiue5Oaaeeiue11Oaaeeiue21Oaaeeiue31Oaaeeiue41"/>
    <w:uiPriority w:val="99"/>
    <w:rPr>
      <w:bCs/>
      <w:sz w:val="24"/>
    </w:rPr>
  </w:style>
  <w:style w:type="paragraph" w:styleId="35">
    <w:name w:val="Body Text Indent 3"/>
    <w:basedOn w:val="a"/>
    <w:link w:val="36"/>
    <w:pPr>
      <w:spacing w:line="360" w:lineRule="auto"/>
      <w:ind w:firstLine="708"/>
      <w:jc w:val="both"/>
    </w:pPr>
    <w:rPr>
      <w:sz w:val="20"/>
      <w:szCs w:val="20"/>
    </w:rPr>
  </w:style>
  <w:style w:type="character" w:customStyle="1" w:styleId="36">
    <w:name w:val="Основной текст с отступом 3 Знак"/>
    <w:basedOn w:val="a0"/>
    <w:link w:val="35"/>
  </w:style>
  <w:style w:type="character" w:styleId="aff7">
    <w:name w:val="page number"/>
    <w:uiPriority w:val="99"/>
    <w:rPr>
      <w:rFonts w:cs="Times New Roman"/>
    </w:rPr>
  </w:style>
  <w:style w:type="paragraph" w:customStyle="1" w:styleId="310">
    <w:name w:val="Основной текст 31"/>
    <w:basedOn w:val="a"/>
    <w:pPr>
      <w:jc w:val="both"/>
    </w:pPr>
    <w:rPr>
      <w:sz w:val="28"/>
      <w:lang w:eastAsia="ar-SA"/>
    </w:rPr>
  </w:style>
  <w:style w:type="paragraph" w:customStyle="1" w:styleId="211">
    <w:name w:val="Основной текст 21"/>
    <w:basedOn w:val="a"/>
    <w:rPr>
      <w:sz w:val="28"/>
      <w:lang w:eastAsia="ar-SA"/>
    </w:rPr>
  </w:style>
  <w:style w:type="paragraph" w:customStyle="1" w:styleId="221">
    <w:name w:val="Основной текст 22"/>
    <w:basedOn w:val="a"/>
    <w:pPr>
      <w:spacing w:line="320" w:lineRule="exact"/>
      <w:ind w:firstLine="720"/>
      <w:jc w:val="both"/>
    </w:pPr>
    <w:rPr>
      <w:sz w:val="28"/>
      <w:szCs w:val="20"/>
    </w:rPr>
  </w:style>
  <w:style w:type="paragraph" w:customStyle="1" w:styleId="aff8">
    <w:name w:val="Знак"/>
    <w:basedOn w:val="a"/>
    <w:uiPriority w:val="99"/>
    <w:pPr>
      <w:spacing w:after="160" w:line="240" w:lineRule="exact"/>
    </w:pPr>
    <w:rPr>
      <w:rFonts w:ascii="Verdana" w:hAnsi="Verdana"/>
      <w:sz w:val="20"/>
      <w:szCs w:val="20"/>
      <w:lang w:val="en-US" w:eastAsia="en-US"/>
    </w:rPr>
  </w:style>
  <w:style w:type="paragraph" w:styleId="aff9">
    <w:name w:val="No Spacing"/>
    <w:link w:val="15"/>
    <w:rPr>
      <w:rFonts w:ascii="Calibri" w:eastAsia="Calibri" w:hAnsi="Calibri"/>
      <w:sz w:val="24"/>
      <w:szCs w:val="22"/>
      <w:lang w:eastAsia="ru-RU"/>
    </w:rPr>
  </w:style>
  <w:style w:type="character" w:customStyle="1" w:styleId="affa">
    <w:name w:val="Без интервала Знак"/>
    <w:rPr>
      <w:sz w:val="28"/>
      <w:lang w:bidi="ar-SA"/>
    </w:rPr>
  </w:style>
  <w:style w:type="character" w:customStyle="1" w:styleId="af9">
    <w:name w:val="Текст выноски Знак"/>
    <w:link w:val="af8"/>
    <w:uiPriority w:val="99"/>
    <w:rPr>
      <w:rFonts w:ascii="Tahoma" w:hAnsi="Tahoma" w:cs="Tahoma"/>
      <w:sz w:val="16"/>
      <w:szCs w:val="16"/>
    </w:rPr>
  </w:style>
  <w:style w:type="paragraph" w:customStyle="1" w:styleId="text">
    <w:name w:val="text"/>
    <w:basedOn w:val="a"/>
    <w:pPr>
      <w:spacing w:before="100" w:beforeAutospacing="1" w:after="100" w:afterAutospacing="1"/>
    </w:pPr>
    <w:rPr>
      <w:rFonts w:ascii="Arial" w:hAnsi="Arial" w:cs="Arial"/>
      <w:color w:val="000000"/>
    </w:rPr>
  </w:style>
  <w:style w:type="character" w:styleId="affb">
    <w:name w:val="Strong"/>
    <w:uiPriority w:val="22"/>
    <w:qFormat/>
    <w:rPr>
      <w:rFonts w:cs="Times New Roman"/>
      <w:b/>
    </w:rPr>
  </w:style>
  <w:style w:type="paragraph" w:customStyle="1" w:styleId="TableFootnotelast1FootnoteTextCharFootnoteTextChar-FNTableFootnotelastTableFootnotelastsinglespace1">
    <w:name w:val="Текст сноски;Table_Footnote_last;Текст сноски Знак1 Знак;Текст сноски Знак Знак Знак;Footnote Text Char Знак Знак;Footnote Text Char Знак;Текст сноски-FN;Table_Footnote_last Знак Знак Знак;Table_Footnote_last Знак;single space;Текст сноски Знак1"/>
    <w:basedOn w:val="a"/>
    <w:link w:val="TableFootnotelast11FootnoteTextCharFootnoteTextChar1-FNTableFootnotelastsinglespace"/>
    <w:uiPriority w:val="99"/>
    <w:rPr>
      <w:sz w:val="20"/>
      <w:szCs w:val="20"/>
    </w:rPr>
  </w:style>
  <w:style w:type="character" w:customStyle="1" w:styleId="TableFootnotelast11FootnoteTextCharFootnoteTextChar1-FNTableFootnotelastsinglespace">
    <w:name w:val="Текст сноски Знак;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single space Знак"/>
    <w:basedOn w:val="a0"/>
    <w:link w:val="TableFootnotelast1FootnoteTextCharFootnoteTextChar-FNTableFootnotelastTableFootnotelastsinglespace1"/>
    <w:uiPriority w:val="99"/>
  </w:style>
  <w:style w:type="character" w:customStyle="1" w:styleId="16">
    <w:name w:val="Знак сноски;Знак сноски 1"/>
    <w:uiPriority w:val="99"/>
    <w:rPr>
      <w:rFonts w:ascii="Times New Roman" w:hAnsi="Times New Roman" w:cs="Times New Roman"/>
      <w:vertAlign w:val="superscript"/>
    </w:rPr>
  </w:style>
  <w:style w:type="paragraph" w:customStyle="1" w:styleId="62">
    <w:name w:val="çàãîëîâîê 6"/>
    <w:basedOn w:val="a"/>
    <w:next w:val="a"/>
    <w:uiPriority w:val="99"/>
    <w:pPr>
      <w:keepNext/>
      <w:jc w:val="center"/>
    </w:pPr>
    <w:rPr>
      <w:sz w:val="28"/>
      <w:szCs w:val="28"/>
    </w:rPr>
  </w:style>
  <w:style w:type="paragraph" w:customStyle="1" w:styleId="82">
    <w:name w:val="çàãîëîâîê 8"/>
    <w:basedOn w:val="a"/>
    <w:next w:val="a"/>
    <w:pPr>
      <w:keepNext/>
      <w:jc w:val="center"/>
    </w:pPr>
    <w:rPr>
      <w:b/>
      <w:bCs/>
      <w:sz w:val="28"/>
      <w:szCs w:val="28"/>
    </w:rPr>
  </w:style>
  <w:style w:type="character" w:customStyle="1" w:styleId="pn-normal">
    <w:name w:val="pn-normal"/>
  </w:style>
  <w:style w:type="paragraph" w:customStyle="1" w:styleId="43">
    <w:name w:val="çàãîëîâîê 4"/>
    <w:basedOn w:val="a"/>
    <w:next w:val="a"/>
    <w:pPr>
      <w:keepNext/>
      <w:jc w:val="both"/>
    </w:pPr>
    <w:rPr>
      <w:sz w:val="28"/>
      <w:szCs w:val="28"/>
    </w:rPr>
  </w:style>
  <w:style w:type="character" w:customStyle="1" w:styleId="apple-converted-space">
    <w:name w:val="apple-converted-space"/>
  </w:style>
  <w:style w:type="paragraph" w:customStyle="1" w:styleId="snews">
    <w:name w:val="snews"/>
    <w:basedOn w:val="a"/>
    <w:pPr>
      <w:spacing w:before="100" w:beforeAutospacing="1" w:after="100" w:afterAutospacing="1" w:line="240" w:lineRule="atLeast"/>
    </w:pPr>
    <w:rPr>
      <w:rFonts w:ascii="Verdana" w:hAnsi="Verdana" w:cs="Verdana"/>
      <w:color w:val="202020"/>
      <w:sz w:val="18"/>
      <w:szCs w:val="18"/>
    </w:rPr>
  </w:style>
  <w:style w:type="character" w:customStyle="1" w:styleId="112BulletListFooterTextnumbered1">
    <w:name w:val="Абзац списка Знак;ПАРАГРАФ Знак;Абзац списка11 Знак;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
    <w:link w:val="111331"/>
    <w:uiPriority w:val="34"/>
    <w:qFormat/>
    <w:rPr>
      <w:rFonts w:ascii="Calibri" w:hAnsi="Calibri"/>
    </w:rPr>
  </w:style>
  <w:style w:type="paragraph" w:customStyle="1" w:styleId="111331">
    <w:name w:val="Абзац списка1;ПАРАГРАФ;Абзац списка11;Абзац списка3;Абзац списка31"/>
    <w:basedOn w:val="a"/>
    <w:link w:val="112BulletListFooterTextnumbered1"/>
    <w:uiPriority w:val="34"/>
    <w:qFormat/>
    <w:pPr>
      <w:spacing w:after="200" w:line="276" w:lineRule="auto"/>
      <w:ind w:left="720"/>
      <w:contextualSpacing/>
    </w:pPr>
    <w:rPr>
      <w:rFonts w:ascii="Calibri" w:hAnsi="Calibri"/>
      <w:sz w:val="20"/>
      <w:szCs w:val="20"/>
      <w:lang w:val="en-US" w:eastAsia="en-US"/>
    </w:rPr>
  </w:style>
  <w:style w:type="paragraph" w:customStyle="1" w:styleId="Style2">
    <w:name w:val="Style2"/>
    <w:basedOn w:val="a"/>
    <w:pPr>
      <w:widowControl w:val="0"/>
      <w:spacing w:line="322" w:lineRule="exact"/>
      <w:ind w:firstLine="691"/>
      <w:jc w:val="both"/>
    </w:pPr>
    <w:rPr>
      <w:rFonts w:ascii="Palatino Linotype" w:hAnsi="Palatino Linotype"/>
    </w:rPr>
  </w:style>
  <w:style w:type="table" w:customStyle="1" w:styleId="17">
    <w:name w:val="Сетка таблицы1"/>
    <w:basedOn w:val="a1"/>
    <w:next w:val="ae"/>
    <w:uiPriority w:val="39"/>
    <w:tblPr>
      <w:tblInd w:w="0" w:type="dxa"/>
      <w:tblCellMar>
        <w:top w:w="0" w:type="dxa"/>
        <w:left w:w="108" w:type="dxa"/>
        <w:bottom w:w="0" w:type="dxa"/>
        <w:right w:w="108" w:type="dxa"/>
      </w:tblCellMar>
    </w:tblPr>
  </w:style>
  <w:style w:type="character" w:customStyle="1" w:styleId="FootnoteTextCharTableFootnotelastChar1CharCharFootnoteTextCharCharFootnoteTextCharChar-FNCharTableFootnotelastChar1Char">
    <w:name w:val="Footnote Text Char;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semiHidden/>
    <w:rPr>
      <w:rFonts w:cs="Calibri"/>
      <w:sz w:val="20"/>
      <w:szCs w:val="20"/>
    </w:rPr>
  </w:style>
  <w:style w:type="character" w:customStyle="1" w:styleId="FootnoteTextChar35TableFootnotelastChar351Char35Char35FootnoteTextCharChar35FootnoteTextCharChar35-FNChar35TableFootnotelastChar35">
    <w:name w:val="Footnote Text Char35;Table_Footnote_last Char35;Текст сноски Знак1 Знак Char35;Текст сноски Знак Знак Знак Char35;Footnote Text Char Знак Знак Char35;Footnote Text Char Знак Char35;Текст сноски-FN Char35;Table_Footnote_last Знак Знак Знак Char35"/>
    <w:semiHidden/>
    <w:rPr>
      <w:rFonts w:cs="Calibri"/>
      <w:sz w:val="20"/>
      <w:szCs w:val="20"/>
    </w:rPr>
  </w:style>
  <w:style w:type="character" w:customStyle="1" w:styleId="FootnoteTextChar34TableFootnotelastChar341Char34Char34FootnoteTextCharChar34FootnoteTextCharChar34-FNChar34TableFootnotelastChar34">
    <w:name w:val="Footnote Text Char34;Table_Footnote_last Char34;Текст сноски Знак1 Знак Char34;Текст сноски Знак Знак Знак Char34;Footnote Text Char Знак Знак Char34;Footnote Text Char Знак Char34;Текст сноски-FN Char34;Table_Footnote_last Знак Знак Знак Char34"/>
    <w:semiHidden/>
    <w:rPr>
      <w:rFonts w:cs="Calibri"/>
      <w:sz w:val="20"/>
      <w:szCs w:val="20"/>
    </w:rPr>
  </w:style>
  <w:style w:type="character" w:customStyle="1" w:styleId="FootnoteTextChar33TableFootnotelastChar331Char33Char33FootnoteTextCharChar33FootnoteTextCharChar33-FNChar33TableFootnotelastChar33">
    <w:name w:val="Footnote Text Char33;Table_Footnote_last Char33;Текст сноски Знак1 Знак Char33;Текст сноски Знак Знак Знак Char33;Footnote Text Char Знак Знак Char33;Footnote Text Char Знак Char33;Текст сноски-FN Char33;Table_Footnote_last Знак Знак Знак Char33"/>
    <w:semiHidden/>
    <w:rPr>
      <w:rFonts w:cs="Calibri"/>
      <w:sz w:val="20"/>
      <w:szCs w:val="20"/>
    </w:rPr>
  </w:style>
  <w:style w:type="character" w:customStyle="1" w:styleId="FootnoteTextChar32TableFootnotelastChar321Char32Char32FootnoteTextCharChar32FootnoteTextCharChar32-FNChar32TableFootnotelastChar32">
    <w:name w:val="Footnote Text Char32;Table_Footnote_last Char32;Текст сноски Знак1 Знак Char32;Текст сноски Знак Знак Знак Char32;Footnote Text Char Знак Знак Char32;Footnote Text Char Знак Char32;Текст сноски-FN Char32;Table_Footnote_last Знак Знак Знак Char32"/>
    <w:semiHidden/>
    <w:rPr>
      <w:rFonts w:cs="Calibri"/>
      <w:sz w:val="20"/>
      <w:szCs w:val="20"/>
    </w:rPr>
  </w:style>
  <w:style w:type="character" w:customStyle="1" w:styleId="FootnoteTextChar31TableFootnotelastChar311Char31Char31FootnoteTextCharChar31FootnoteTextCharChar31-FNChar31TableFootnotelastChar31">
    <w:name w:val="Footnote Text Char31;Table_Footnote_last Char31;Текст сноски Знак1 Знак Char31;Текст сноски Знак Знак Знак Char31;Footnote Text Char Знак Знак Char31;Footnote Text Char Знак Char31;Текст сноски-FN Char31;Table_Footnote_last Знак Знак Знак Char31"/>
    <w:semiHidden/>
    <w:rPr>
      <w:rFonts w:cs="Calibri"/>
      <w:sz w:val="20"/>
      <w:szCs w:val="20"/>
    </w:rPr>
  </w:style>
  <w:style w:type="character" w:customStyle="1" w:styleId="FootnoteTextChar30TableFootnotelastChar301Char30Char30FootnoteTextCharChar30FootnoteTextCharChar30-FNChar30TableFootnotelastChar30">
    <w:name w:val="Footnote Text Char30;Table_Footnote_last Char30;Текст сноски Знак1 Знак Char30;Текст сноски Знак Знак Знак Char30;Footnote Text Char Знак Знак Char30;Footnote Text Char Знак Char30;Текст сноски-FN Char30;Table_Footnote_last Знак Знак Знак Char30"/>
    <w:semiHidden/>
    <w:rPr>
      <w:rFonts w:cs="Calibri"/>
      <w:sz w:val="20"/>
      <w:szCs w:val="20"/>
    </w:rPr>
  </w:style>
  <w:style w:type="character" w:customStyle="1" w:styleId="FootnoteTextChar29TableFootnotelastChar291Char29Char29FootnoteTextCharChar29FootnoteTextCharChar29-FNChar29TableFootnotelastChar29">
    <w:name w:val="Footnote Text Char29;Table_Footnote_last Char29;Текст сноски Знак1 Знак Char29;Текст сноски Знак Знак Знак Char29;Footnote Text Char Знак Знак Char29;Footnote Text Char Знак Char29;Текст сноски-FN Char29;Table_Footnote_last Знак Знак Знак Char29"/>
    <w:semiHidden/>
    <w:rPr>
      <w:rFonts w:cs="Calibri"/>
      <w:sz w:val="20"/>
      <w:szCs w:val="20"/>
    </w:rPr>
  </w:style>
  <w:style w:type="character" w:customStyle="1" w:styleId="FootnoteTextChar28TableFootnotelastChar281Char28Char28FootnoteTextCharChar28FootnoteTextCharChar28-FNChar28TableFootnotelastChar28">
    <w:name w:val="Footnote Text Char28;Table_Footnote_last Char28;Текст сноски Знак1 Знак Char28;Текст сноски Знак Знак Знак Char28;Footnote Text Char Знак Знак Char28;Footnote Text Char Знак Char28;Текст сноски-FN Char28;Table_Footnote_last Знак Знак Знак Char28"/>
    <w:semiHidden/>
    <w:rPr>
      <w:rFonts w:cs="Calibri"/>
      <w:sz w:val="20"/>
      <w:szCs w:val="20"/>
    </w:rPr>
  </w:style>
  <w:style w:type="character" w:customStyle="1" w:styleId="FootnoteTextChar27TableFootnotelastChar271Char27Char27FootnoteTextCharChar27FootnoteTextCharChar27-FNChar27TableFootnotelastChar27">
    <w:name w:val="Footnote Text Char27;Table_Footnote_last Char27;Текст сноски Знак1 Знак Char27;Текст сноски Знак Знак Знак Char27;Footnote Text Char Знак Знак Char27;Footnote Text Char Знак Char27;Текст сноски-FN Char27;Table_Footnote_last Знак Знак Знак Char27"/>
    <w:semiHidden/>
    <w:rPr>
      <w:rFonts w:cs="Calibri"/>
      <w:sz w:val="20"/>
      <w:szCs w:val="20"/>
    </w:rPr>
  </w:style>
  <w:style w:type="character" w:customStyle="1" w:styleId="FootnoteTextChar26TableFootnotelastChar261Char26Char26FootnoteTextCharChar26FootnoteTextCharChar26-FNChar26TableFootnotelastChar26">
    <w:name w:val="Footnote Text Char26;Table_Footnote_last Char26;Текст сноски Знак1 Знак Char26;Текст сноски Знак Знак Знак Char26;Footnote Text Char Знак Знак Char26;Footnote Text Char Знак Char26;Текст сноски-FN Char26;Table_Footnote_last Знак Знак Знак Char26"/>
    <w:semiHidden/>
    <w:rPr>
      <w:sz w:val="20"/>
    </w:rPr>
  </w:style>
  <w:style w:type="character" w:customStyle="1" w:styleId="FootnoteTextChar25TableFootnotelastChar251Char25Char25FootnoteTextCharChar25FootnoteTextCharChar25-FNChar25TableFootnotelastChar25">
    <w:name w:val="Footnote Text Char25;Table_Footnote_last Char25;Текст сноски Знак1 Знак Char25;Текст сноски Знак Знак Знак Char25;Footnote Text Char Знак Знак Char25;Footnote Text Char Знак Char25;Текст сноски-FN Char25;Table_Footnote_last Знак Знак Знак Char25"/>
    <w:semiHidden/>
    <w:rPr>
      <w:sz w:val="20"/>
    </w:rPr>
  </w:style>
  <w:style w:type="character" w:customStyle="1" w:styleId="FootnoteTextChar24TableFootnotelastChar241Char24Char24FootnoteTextCharChar24FootnoteTextCharChar24-FNChar24TableFootnotelastChar24">
    <w:name w:val="Footnote Text Char24;Table_Footnote_last Char24;Текст сноски Знак1 Знак Char24;Текст сноски Знак Знак Знак Char24;Footnote Text Char Знак Знак Char24;Footnote Text Char Знак Char24;Текст сноски-FN Char24;Table_Footnote_last Знак Знак Знак Char24"/>
    <w:semiHidden/>
    <w:rPr>
      <w:sz w:val="20"/>
    </w:rPr>
  </w:style>
  <w:style w:type="character" w:customStyle="1" w:styleId="FootnoteTextChar23TableFootnotelastChar231Char23Char23FootnoteTextCharChar23FootnoteTextCharChar23-FNChar23TableFootnotelastChar23">
    <w:name w:val="Footnote Text Char23;Table_Footnote_last Char23;Текст сноски Знак1 Знак Char23;Текст сноски Знак Знак Знак Char23;Footnote Text Char Знак Знак Char23;Footnote Text Char Знак Char23;Текст сноски-FN Char23;Table_Footnote_last Знак Знак Знак Char23"/>
    <w:semiHidden/>
    <w:rPr>
      <w:sz w:val="20"/>
    </w:rPr>
  </w:style>
  <w:style w:type="character" w:customStyle="1" w:styleId="FootnoteTextChar22TableFootnotelastChar221Char22Char22FootnoteTextCharChar22FootnoteTextCharChar22-FNChar22TableFootnotelastChar22">
    <w:name w:val="Footnote Text Char22;Table_Footnote_last Char22;Текст сноски Знак1 Знак Char22;Текст сноски Знак Знак Знак Char22;Footnote Text Char Знак Знак Char22;Footnote Text Char Знак Char22;Текст сноски-FN Char22;Table_Footnote_last Знак Знак Знак Char22"/>
    <w:semiHidden/>
    <w:rPr>
      <w:sz w:val="20"/>
    </w:rPr>
  </w:style>
  <w:style w:type="character" w:customStyle="1" w:styleId="FootnoteTextChar21TableFootnotelastChar211Char21Char21FootnoteTextCharChar21FootnoteTextCharChar21-FNChar21TableFootnotelastChar21">
    <w:name w:val="Footnote Text Char21;Table_Footnote_last Char21;Текст сноски Знак1 Знак Char21;Текст сноски Знак Знак Знак Char21;Footnote Text Char Знак Знак Char21;Footnote Text Char Знак Char21;Текст сноски-FN Char21;Table_Footnote_last Знак Знак Знак Char21"/>
    <w:semiHidden/>
    <w:rPr>
      <w:sz w:val="20"/>
    </w:rPr>
  </w:style>
  <w:style w:type="character" w:customStyle="1" w:styleId="FootnoteTextChar20TableFootnotelastChar201Char20Char20FootnoteTextCharChar20FootnoteTextCharChar20-FNChar20TableFootnotelastChar20">
    <w:name w:val="Footnote Text Char20;Table_Footnote_last Char20;Текст сноски Знак1 Знак Char20;Текст сноски Знак Знак Знак Char20;Footnote Text Char Знак Знак Char20;Footnote Text Char Знак Char20;Текст сноски-FN Char20;Table_Footnote_last Знак Знак Знак Char20"/>
    <w:semiHidden/>
    <w:rPr>
      <w:sz w:val="20"/>
    </w:rPr>
  </w:style>
  <w:style w:type="character" w:customStyle="1" w:styleId="FootnoteTextChar19TableFootnotelastChar191Char19Char19FootnoteTextCharChar19FootnoteTextCharChar19-FNChar19TableFootnotelastChar19">
    <w:name w:val="Footnote Text Char19;Table_Footnote_last Char19;Текст сноски Знак1 Знак Char19;Текст сноски Знак Знак Знак Char19;Footnote Text Char Знак Знак Char19;Footnote Text Char Знак Char19;Текст сноски-FN Char19;Table_Footnote_last Знак Знак Знак Char19"/>
    <w:semiHidden/>
    <w:rPr>
      <w:sz w:val="20"/>
    </w:rPr>
  </w:style>
  <w:style w:type="character" w:customStyle="1" w:styleId="FootnoteTextChar18TableFootnotelastChar181Char18Char18FootnoteTextCharChar18FootnoteTextCharChar18-FNChar18TableFootnotelastChar18">
    <w:name w:val="Footnote Text Char18;Table_Footnote_last Char18;Текст сноски Знак1 Знак Char18;Текст сноски Знак Знак Знак Char18;Footnote Text Char Знак Знак Char18;Footnote Text Char Знак Char18;Текст сноски-FN Char18;Table_Footnote_last Знак Знак Знак Char18"/>
    <w:semiHidden/>
    <w:rPr>
      <w:sz w:val="20"/>
    </w:rPr>
  </w:style>
  <w:style w:type="character" w:customStyle="1" w:styleId="FootnoteTextChar17TableFootnotelastChar171Char17Char17FootnoteTextCharChar17FootnoteTextCharChar17-FNChar17TableFootnotelastChar17">
    <w:name w:val="Footnote Text Char17;Table_Footnote_last Char17;Текст сноски Знак1 Знак Char17;Текст сноски Знак Знак Знак Char17;Footnote Text Char Знак Знак Char17;Footnote Text Char Знак Char17;Текст сноски-FN Char17;Table_Footnote_last Знак Знак Знак Char17"/>
    <w:semiHidden/>
    <w:rPr>
      <w:sz w:val="20"/>
    </w:rPr>
  </w:style>
  <w:style w:type="character" w:customStyle="1" w:styleId="FootnoteTextChar16TableFootnotelastChar161Char16Char16FootnoteTextCharChar16FootnoteTextCharChar16-FNChar16TableFootnotelastChar16">
    <w:name w:val="Footnote Text Char16;Table_Footnote_last Char16;Текст сноски Знак1 Знак Char16;Текст сноски Знак Знак Знак Char16;Footnote Text Char Знак Знак Char16;Footnote Text Char Знак Char16;Текст сноски-FN Char16;Table_Footnote_last Знак Знак Знак Char16"/>
    <w:semiHidden/>
    <w:rPr>
      <w:sz w:val="20"/>
    </w:rPr>
  </w:style>
  <w:style w:type="character" w:customStyle="1" w:styleId="FootnoteTextChar15TableFootnotelastChar151Char15Char15FootnoteTextCharChar15FootnoteTextCharChar15-FNChar15TableFootnotelastChar15">
    <w:name w:val="Footnote Text Char15;Table_Footnote_last Char15;Текст сноски Знак1 Знак Char15;Текст сноски Знак Знак Знак Char15;Footnote Text Char Знак Знак Char15;Footnote Text Char Знак Char15;Текст сноски-FN Char15;Table_Footnote_last Знак Знак Знак Char15"/>
    <w:semiHidden/>
    <w:rPr>
      <w:sz w:val="20"/>
    </w:rPr>
  </w:style>
  <w:style w:type="character" w:customStyle="1" w:styleId="FootnoteTextChar14TableFootnotelastChar141Char14Char14FootnoteTextCharChar14FootnoteTextCharChar14-FNChar14TableFootnotelastChar14">
    <w:name w:val="Footnote Text Char14;Table_Footnote_last Char14;Текст сноски Знак1 Знак Char14;Текст сноски Знак Знак Знак Char14;Footnote Text Char Знак Знак Char14;Footnote Text Char Знак Char14;Текст сноски-FN Char14;Table_Footnote_last Знак Знак Знак Char14"/>
    <w:semiHidden/>
    <w:rPr>
      <w:sz w:val="20"/>
    </w:rPr>
  </w:style>
  <w:style w:type="character" w:customStyle="1" w:styleId="FootnoteTextChar13TableFootnotelastChar131Char13Char13FootnoteTextCharChar13FootnoteTextCharChar13-FNChar13TableFootnotelastChar13">
    <w:name w:val="Footnote Text Char13;Table_Footnote_last Char13;Текст сноски Знак1 Знак Char13;Текст сноски Знак Знак Знак Char13;Footnote Text Char Знак Знак Char13;Footnote Text Char Знак Char13;Текст сноски-FN Char13;Table_Footnote_last Знак Знак Знак Char13"/>
    <w:semiHidden/>
    <w:rPr>
      <w:sz w:val="20"/>
    </w:rPr>
  </w:style>
  <w:style w:type="character" w:customStyle="1" w:styleId="FootnoteTextChar12TableFootnotelastChar121Char12Char12FootnoteTextCharChar12FootnoteTextCharChar12-FNChar12TableFootnotelastChar12">
    <w:name w:val="Footnote Text Char12;Table_Footnote_last Char12;Текст сноски Знак1 Знак Char12;Текст сноски Знак Знак Знак Char12;Footnote Text Char Знак Знак Char12;Footnote Text Char Знак Char12;Текст сноски-FN Char12;Table_Footnote_last Знак Знак Знак Char12"/>
    <w:semiHidden/>
    <w:rPr>
      <w:sz w:val="20"/>
    </w:rPr>
  </w:style>
  <w:style w:type="character" w:customStyle="1" w:styleId="FootnoteTextChar11TableFootnotelastChar111Char11Char11FootnoteTextCharChar11FootnoteTextCharChar11-FNChar11TableFootnotelastChar11">
    <w:name w:val="Footnote Text Char11;Table_Footnote_last Char11;Текст сноски Знак1 Знак Char11;Текст сноски Знак Знак Знак Char11;Footnote Text Char Знак Знак Char11;Footnote Text Char Знак Char11;Текст сноски-FN Char11;Table_Footnote_last Знак Знак Знак Char11"/>
    <w:semiHidden/>
    <w:rPr>
      <w:sz w:val="20"/>
    </w:rPr>
  </w:style>
  <w:style w:type="character" w:customStyle="1" w:styleId="FootnoteTextChar10TableFootnotelastChar101Char10Char10FootnoteTextCharChar10FootnoteTextCharChar10-FNChar10TableFootnotelastChar10">
    <w:name w:val="Footnote Text Char10;Table_Footnote_last Char10;Текст сноски Знак1 Знак Char10;Текст сноски Знак Знак Знак Char10;Footnote Text Char Знак Знак Char10;Footnote Text Char Знак Char10;Текст сноски-FN Char10;Table_Footnote_last Знак Знак Знак Char10"/>
    <w:semiHidden/>
    <w:rPr>
      <w:sz w:val="20"/>
    </w:rPr>
  </w:style>
  <w:style w:type="character" w:customStyle="1" w:styleId="FootnoteTextChar9TableFootnotelastChar91Char9Char9FootnoteTextCharChar9FootnoteTextCharChar9-FNChar9TableFootnotelastChar9">
    <w:name w:val="Footnote Text Char9;Table_Footnote_last Char9;Текст сноски Знак1 Знак Char9;Текст сноски Знак Знак Знак Char9;Footnote Text Char Знак Знак Char9;Footnote Text Char Знак Char9;Текст сноски-FN Char9;Table_Footnote_last Знак Знак Знак Char9"/>
    <w:semiHidden/>
    <w:rPr>
      <w:sz w:val="20"/>
    </w:rPr>
  </w:style>
  <w:style w:type="character" w:customStyle="1" w:styleId="FootnoteTextChar8TableFootnotelastChar81Char8Char8FootnoteTextCharChar8FootnoteTextCharChar8-FNChar8TableFootnotelastChar8">
    <w:name w:val="Footnote Text Char8;Table_Footnote_last Char8;Текст сноски Знак1 Знак Char8;Текст сноски Знак Знак Знак Char8;Footnote Text Char Знак Знак Char8;Footnote Text Char Знак Char8;Текст сноски-FN Char8;Table_Footnote_last Знак Знак Знак Char8"/>
    <w:semiHidden/>
    <w:rPr>
      <w:sz w:val="20"/>
    </w:rPr>
  </w:style>
  <w:style w:type="character" w:customStyle="1" w:styleId="FootnoteTextChar7TableFootnotelastChar71Char7Char7FootnoteTextCharChar7FootnoteTextCharChar7-FNChar7TableFootnotelastChar7">
    <w:name w:val="Footnote Text Char7;Table_Footnote_last Char7;Текст сноски Знак1 Знак Char7;Текст сноски Знак Знак Знак Char7;Footnote Text Char Знак Знак Char7;Footnote Text Char Знак Char7;Текст сноски-FN Char7;Table_Footnote_last Знак Знак Знак Char7"/>
    <w:semiHidden/>
    <w:rPr>
      <w:sz w:val="20"/>
    </w:rPr>
  </w:style>
  <w:style w:type="character" w:customStyle="1" w:styleId="FootnoteTextChar6TableFootnotelastChar61Char6Char6FootnoteTextCharChar6FootnoteTextCharChar6-FNChar6TableFootnotelastChar6">
    <w:name w:val="Footnote Text Char6;Table_Footnote_last Char6;Текст сноски Знак1 Знак Char6;Текст сноски Знак Знак Знак Char6;Footnote Text Char Знак Знак Char6;Footnote Text Char Знак Char6;Текст сноски-FN Char6;Table_Footnote_last Знак Знак Знак Char6"/>
    <w:semiHidden/>
    <w:rPr>
      <w:sz w:val="20"/>
    </w:rPr>
  </w:style>
  <w:style w:type="character" w:customStyle="1" w:styleId="FootnoteTextChar5TableFootnotelastChar51Char5Char5FootnoteTextCharChar5FootnoteTextCharChar5-FNChar5TableFootnotelastChar5">
    <w:name w:val="Footnote Text Char5;Table_Footnote_last Char5;Текст сноски Знак1 Знак Char5;Текст сноски Знак Знак Знак Char5;Footnote Text Char Знак Знак Char5;Footnote Text Char Знак Char5;Текст сноски-FN Char5;Table_Footnote_last Знак Знак Знак Char5"/>
    <w:semiHidden/>
    <w:rPr>
      <w:sz w:val="20"/>
    </w:rPr>
  </w:style>
  <w:style w:type="character" w:customStyle="1" w:styleId="FootnoteTextChar4TableFootnotelastChar41Char4Char4FootnoteTextCharChar4FootnoteTextCharChar4-FNChar4TableFootnotelastChar4">
    <w:name w:val="Footnote Text Char4;Table_Footnote_last Char4;Текст сноски Знак1 Знак Char4;Текст сноски Знак Знак Знак Char4;Footnote Text Char Знак Знак Char4;Footnote Text Char Знак Char4;Текст сноски-FN Char4;Table_Footnote_last Знак Знак Знак Char4"/>
    <w:semiHidden/>
    <w:rPr>
      <w:sz w:val="20"/>
    </w:rPr>
  </w:style>
  <w:style w:type="character" w:customStyle="1" w:styleId="FootnoteTextChar3TableFootnotelastChar31Char3Char3FootnoteTextCharChar3FootnoteTextCharChar3-FNChar3TableFootnotelastChar3">
    <w:name w:val="Footnote Text Char3;Table_Footnote_last Char3;Текст сноски Знак1 Знак Char3;Текст сноски Знак Знак Знак Char3;Footnote Text Char Знак Знак Char3;Footnote Text Char Знак Char3;Текст сноски-FN Char3;Table_Footnote_last Знак Знак Знак Char3"/>
    <w:semiHidden/>
    <w:rPr>
      <w:sz w:val="20"/>
    </w:rPr>
  </w:style>
  <w:style w:type="character" w:customStyle="1" w:styleId="FootnoteTextChar2TableFootnotelastChar21Char2Char2FootnoteTextCharChar2FootnoteTextCharChar2-FNChar2TableFootnotelastChar2">
    <w:name w:val="Footnote Text Char2;Table_Footnote_last Char2;Текст сноски Знак1 Знак Char2;Текст сноски Знак Знак Знак Char2;Footnote Text Char Знак Знак Char2;Footnote Text Char Знак Char2;Текст сноски-FN Char2;Table_Footnote_last Знак Знак Знак Char2"/>
    <w:semiHidden/>
    <w:rPr>
      <w:sz w:val="20"/>
    </w:rPr>
  </w:style>
  <w:style w:type="paragraph" w:customStyle="1" w:styleId="affc">
    <w:name w:val="Знак Знак Знак"/>
    <w:basedOn w:val="a"/>
    <w:pPr>
      <w:spacing w:after="160" w:line="240" w:lineRule="exact"/>
    </w:pPr>
    <w:rPr>
      <w:rFonts w:ascii="Arial" w:hAnsi="Arial" w:cs="Arial"/>
      <w:sz w:val="20"/>
      <w:szCs w:val="20"/>
      <w:lang w:val="en-US" w:eastAsia="en-US"/>
    </w:rPr>
  </w:style>
  <w:style w:type="paragraph" w:customStyle="1" w:styleId="tekstob">
    <w:name w:val="tekstob"/>
    <w:basedOn w:val="a"/>
    <w:pPr>
      <w:spacing w:before="100" w:beforeAutospacing="1" w:after="100" w:afterAutospacing="1"/>
    </w:pPr>
  </w:style>
  <w:style w:type="character" w:customStyle="1" w:styleId="affd">
    <w:name w:val="Обычный Полужирный"/>
    <w:rPr>
      <w:b/>
      <w:sz w:val="24"/>
      <w:lang w:val="ru-RU" w:eastAsia="ru-RU"/>
    </w:rPr>
  </w:style>
  <w:style w:type="character" w:customStyle="1" w:styleId="ListParagraphChar">
    <w:name w:val="List Paragraph Char"/>
    <w:rPr>
      <w:rFonts w:eastAsia="Times New Roman"/>
      <w:sz w:val="22"/>
      <w:szCs w:val="22"/>
      <w:lang w:eastAsia="en-US"/>
    </w:rPr>
  </w:style>
  <w:style w:type="character" w:customStyle="1" w:styleId="highlighthighlightactive">
    <w:name w:val="highlight highlight_active"/>
  </w:style>
  <w:style w:type="paragraph" w:customStyle="1" w:styleId="18">
    <w:name w:val="Знак1"/>
    <w:basedOn w:val="a"/>
    <w:rPr>
      <w:rFonts w:ascii="Verdana" w:eastAsia="Calibri" w:hAnsi="Verdana" w:cs="Verdana"/>
      <w:sz w:val="20"/>
      <w:szCs w:val="20"/>
      <w:lang w:val="en-US" w:eastAsia="en-US"/>
    </w:rPr>
  </w:style>
  <w:style w:type="paragraph" w:customStyle="1" w:styleId="26">
    <w:name w:val="Знак2"/>
    <w:basedOn w:val="a"/>
    <w:rPr>
      <w:rFonts w:ascii="Verdana" w:eastAsia="Calibri" w:hAnsi="Verdana" w:cs="Verdana"/>
      <w:sz w:val="20"/>
      <w:szCs w:val="20"/>
      <w:lang w:val="en-US" w:eastAsia="en-US"/>
    </w:rPr>
  </w:style>
  <w:style w:type="paragraph" w:customStyle="1" w:styleId="affe">
    <w:name w:val="ТЕКСТ"/>
    <w:basedOn w:val="a"/>
    <w:link w:val="afff"/>
    <w:pPr>
      <w:tabs>
        <w:tab w:val="left" w:pos="1134"/>
      </w:tabs>
      <w:spacing w:line="238" w:lineRule="auto"/>
      <w:ind w:firstLine="709"/>
      <w:jc w:val="both"/>
    </w:pPr>
    <w:rPr>
      <w:rFonts w:ascii="Calibri" w:hAnsi="Calibri"/>
      <w:sz w:val="28"/>
      <w:szCs w:val="20"/>
      <w:lang w:val="en-US" w:eastAsia="en-US"/>
    </w:rPr>
  </w:style>
  <w:style w:type="character" w:customStyle="1" w:styleId="afff">
    <w:name w:val="ТЕКСТ Знак"/>
    <w:link w:val="affe"/>
    <w:rPr>
      <w:rFonts w:ascii="Calibri" w:hAnsi="Calibri"/>
      <w:sz w:val="28"/>
      <w:lang w:val="en-US" w:eastAsia="en-US"/>
    </w:rPr>
  </w:style>
  <w:style w:type="paragraph" w:customStyle="1" w:styleId="afff0">
    <w:name w:val="Содержимое таблицы"/>
    <w:basedOn w:val="a"/>
    <w:pPr>
      <w:widowControl w:val="0"/>
      <w:suppressLineNumbers/>
    </w:pPr>
    <w:rPr>
      <w:rFonts w:eastAsia="Arial Unicode MS"/>
      <w:sz w:val="28"/>
    </w:rPr>
  </w:style>
  <w:style w:type="paragraph" w:customStyle="1" w:styleId="ConsPlusCell">
    <w:name w:val="ConsPlusCell"/>
    <w:pPr>
      <w:widowControl w:val="0"/>
    </w:pPr>
    <w:rPr>
      <w:rFonts w:ascii="Arial" w:eastAsia="Calibri" w:hAnsi="Arial" w:cs="Arial"/>
      <w:lang w:eastAsia="ru-RU"/>
    </w:rPr>
  </w:style>
  <w:style w:type="paragraph" w:customStyle="1" w:styleId="19">
    <w:name w:val="Название объекта1"/>
    <w:basedOn w:val="a"/>
    <w:next w:val="a"/>
    <w:pPr>
      <w:widowControl w:val="0"/>
      <w:jc w:val="center"/>
    </w:pPr>
    <w:rPr>
      <w:rFonts w:ascii="Arial" w:hAnsi="Arial"/>
      <w:b/>
      <w:sz w:val="28"/>
      <w:szCs w:val="20"/>
    </w:rPr>
  </w:style>
  <w:style w:type="paragraph" w:customStyle="1" w:styleId="1a">
    <w:name w:val="Без интервала1"/>
    <w:rPr>
      <w:rFonts w:ascii="Calibri" w:eastAsia="Calibri" w:hAnsi="Calibri"/>
      <w:sz w:val="22"/>
      <w:szCs w:val="22"/>
      <w:lang w:eastAsia="en-US"/>
    </w:rPr>
  </w:style>
  <w:style w:type="paragraph" w:customStyle="1" w:styleId="37">
    <w:name w:val="Основной текст3"/>
    <w:basedOn w:val="a"/>
    <w:pPr>
      <w:widowControl w:val="0"/>
      <w:shd w:val="clear" w:color="auto" w:fill="FFFFFF"/>
      <w:spacing w:before="540" w:after="360" w:line="240" w:lineRule="atLeast"/>
    </w:pPr>
    <w:rPr>
      <w:b/>
      <w:sz w:val="26"/>
      <w:szCs w:val="20"/>
      <w:shd w:val="clear" w:color="auto" w:fill="FFFFFF"/>
      <w:lang w:val="en-US" w:eastAsia="en-US"/>
    </w:rPr>
  </w:style>
  <w:style w:type="character" w:customStyle="1" w:styleId="11pt">
    <w:name w:val="Основной текст + 11 pt;Не полужирный"/>
    <w:rPr>
      <w:b/>
      <w:color w:val="000000"/>
      <w:spacing w:val="0"/>
      <w:position w:val="0"/>
      <w:sz w:val="22"/>
      <w:u w:val="none"/>
      <w:shd w:val="clear" w:color="auto" w:fill="FFFFFF"/>
      <w:lang w:val="ru-RU"/>
    </w:rPr>
  </w:style>
  <w:style w:type="paragraph" w:customStyle="1" w:styleId="38">
    <w:name w:val="Знак3"/>
    <w:basedOn w:val="a"/>
    <w:rPr>
      <w:rFonts w:ascii="Verdana" w:hAnsi="Verdana" w:cs="Verdana"/>
      <w:sz w:val="20"/>
      <w:szCs w:val="20"/>
      <w:lang w:val="en-US" w:eastAsia="en-US"/>
    </w:rPr>
  </w:style>
  <w:style w:type="paragraph" w:customStyle="1" w:styleId="44">
    <w:name w:val="Знак4"/>
    <w:basedOn w:val="a"/>
    <w:rPr>
      <w:rFonts w:ascii="Verdana" w:hAnsi="Verdana" w:cs="Verdana"/>
      <w:sz w:val="20"/>
      <w:szCs w:val="20"/>
      <w:lang w:val="en-US" w:eastAsia="en-US"/>
    </w:rPr>
  </w:style>
  <w:style w:type="paragraph" w:customStyle="1" w:styleId="55">
    <w:name w:val="Знак5"/>
    <w:basedOn w:val="a"/>
    <w:rPr>
      <w:rFonts w:ascii="Verdana" w:hAnsi="Verdana" w:cs="Verdana"/>
      <w:sz w:val="20"/>
      <w:szCs w:val="20"/>
      <w:lang w:val="en-US" w:eastAsia="en-US"/>
    </w:rPr>
  </w:style>
  <w:style w:type="paragraph" w:customStyle="1" w:styleId="63">
    <w:name w:val="Знак6"/>
    <w:basedOn w:val="a"/>
    <w:rPr>
      <w:rFonts w:ascii="Verdana" w:hAnsi="Verdana" w:cs="Verdana"/>
      <w:sz w:val="20"/>
      <w:szCs w:val="20"/>
      <w:lang w:val="en-US" w:eastAsia="en-US"/>
    </w:rPr>
  </w:style>
  <w:style w:type="paragraph" w:customStyle="1" w:styleId="83">
    <w:name w:val="Знак8"/>
    <w:basedOn w:val="a"/>
    <w:rPr>
      <w:rFonts w:ascii="Verdana" w:hAnsi="Verdana" w:cs="Verdana"/>
      <w:sz w:val="20"/>
      <w:szCs w:val="20"/>
      <w:lang w:val="en-US" w:eastAsia="en-US"/>
    </w:rPr>
  </w:style>
  <w:style w:type="paragraph" w:customStyle="1" w:styleId="72">
    <w:name w:val="Знак7"/>
    <w:basedOn w:val="a"/>
    <w:rPr>
      <w:rFonts w:ascii="Verdana" w:hAnsi="Verdana" w:cs="Verdana"/>
      <w:sz w:val="20"/>
      <w:szCs w:val="20"/>
      <w:lang w:val="en-US" w:eastAsia="en-US"/>
    </w:rPr>
  </w:style>
  <w:style w:type="paragraph" w:customStyle="1" w:styleId="92">
    <w:name w:val="Знак9"/>
    <w:basedOn w:val="a"/>
    <w:rPr>
      <w:rFonts w:ascii="Verdana" w:hAnsi="Verdana" w:cs="Verdana"/>
      <w:sz w:val="20"/>
      <w:szCs w:val="20"/>
      <w:lang w:val="en-US" w:eastAsia="en-US"/>
    </w:rPr>
  </w:style>
  <w:style w:type="paragraph" w:customStyle="1" w:styleId="100">
    <w:name w:val="Знак10"/>
    <w:basedOn w:val="a"/>
    <w:rPr>
      <w:rFonts w:ascii="Verdana" w:hAnsi="Verdana" w:cs="Verdana"/>
      <w:sz w:val="20"/>
      <w:szCs w:val="20"/>
      <w:lang w:val="en-US" w:eastAsia="en-US"/>
    </w:rPr>
  </w:style>
  <w:style w:type="paragraph" w:customStyle="1" w:styleId="110">
    <w:name w:val="Знак11"/>
    <w:basedOn w:val="a"/>
    <w:rPr>
      <w:rFonts w:ascii="Verdana" w:hAnsi="Verdana" w:cs="Verdana"/>
      <w:sz w:val="20"/>
      <w:szCs w:val="20"/>
      <w:lang w:val="en-US" w:eastAsia="en-US"/>
    </w:rPr>
  </w:style>
  <w:style w:type="paragraph" w:customStyle="1" w:styleId="center-back">
    <w:name w:val="center-back"/>
    <w:basedOn w:val="a"/>
    <w:pPr>
      <w:spacing w:before="100" w:beforeAutospacing="1" w:after="150"/>
      <w:jc w:val="both"/>
    </w:pPr>
  </w:style>
  <w:style w:type="paragraph" w:customStyle="1" w:styleId="27">
    <w:name w:val="Абзац списка2"/>
    <w:basedOn w:val="a"/>
    <w:uiPriority w:val="99"/>
    <w:qFormat/>
    <w:pPr>
      <w:spacing w:after="200" w:line="276" w:lineRule="auto"/>
      <w:ind w:left="720"/>
      <w:contextualSpacing/>
    </w:pPr>
    <w:rPr>
      <w:rFonts w:ascii="Calibri" w:hAnsi="Calibri"/>
      <w:sz w:val="22"/>
      <w:szCs w:val="22"/>
      <w:lang w:eastAsia="en-US"/>
    </w:rPr>
  </w:style>
  <w:style w:type="paragraph" w:customStyle="1" w:styleId="120">
    <w:name w:val="Знак12"/>
    <w:basedOn w:val="a"/>
    <w:rPr>
      <w:rFonts w:ascii="Verdana" w:eastAsia="Calibri" w:hAnsi="Verdana" w:cs="Verdana"/>
      <w:sz w:val="20"/>
      <w:szCs w:val="20"/>
      <w:lang w:val="en-US" w:eastAsia="en-US"/>
    </w:rPr>
  </w:style>
  <w:style w:type="character" w:customStyle="1" w:styleId="64">
    <w:name w:val="Знак Знак6"/>
    <w:rPr>
      <w:sz w:val="24"/>
    </w:rPr>
  </w:style>
  <w:style w:type="character" w:customStyle="1" w:styleId="610">
    <w:name w:val="Знак Знак61"/>
    <w:rPr>
      <w:sz w:val="24"/>
    </w:rPr>
  </w:style>
  <w:style w:type="paragraph" w:customStyle="1" w:styleId="140">
    <w:name w:val="Знак14"/>
    <w:basedOn w:val="a"/>
    <w:rPr>
      <w:rFonts w:ascii="Verdana" w:hAnsi="Verdana" w:cs="Verdana"/>
      <w:sz w:val="20"/>
      <w:szCs w:val="20"/>
      <w:lang w:val="en-US" w:eastAsia="en-US"/>
    </w:rPr>
  </w:style>
  <w:style w:type="paragraph" w:customStyle="1" w:styleId="130">
    <w:name w:val="Знак13"/>
    <w:basedOn w:val="a"/>
    <w:rPr>
      <w:rFonts w:ascii="Verdana" w:hAnsi="Verdana" w:cs="Verdana"/>
      <w:sz w:val="20"/>
      <w:szCs w:val="20"/>
      <w:lang w:val="en-US" w:eastAsia="en-US"/>
    </w:rPr>
  </w:style>
  <w:style w:type="paragraph" w:customStyle="1" w:styleId="Default">
    <w:name w:val="Default"/>
    <w:rPr>
      <w:rFonts w:ascii="Arial" w:eastAsia="Calibri" w:hAnsi="Arial" w:cs="Arial"/>
      <w:color w:val="000000"/>
      <w:sz w:val="24"/>
      <w:szCs w:val="24"/>
      <w:lang w:eastAsia="ru-RU"/>
    </w:rPr>
  </w:style>
  <w:style w:type="paragraph" w:customStyle="1" w:styleId="73">
    <w:name w:val="çàãîëîâîê 7"/>
    <w:basedOn w:val="a"/>
    <w:next w:val="a"/>
    <w:pPr>
      <w:keepNext/>
    </w:pPr>
    <w:rPr>
      <w:sz w:val="28"/>
      <w:szCs w:val="28"/>
    </w:rPr>
  </w:style>
  <w:style w:type="paragraph" w:customStyle="1" w:styleId="56">
    <w:name w:val="çàãîëîâîê 5"/>
    <w:basedOn w:val="a"/>
    <w:next w:val="a"/>
    <w:pPr>
      <w:keepNext/>
      <w:jc w:val="center"/>
    </w:pPr>
  </w:style>
  <w:style w:type="paragraph" w:customStyle="1" w:styleId="afff1">
    <w:name w:val="ЗАГОЛОВОК !"/>
    <w:basedOn w:val="1"/>
    <w:link w:val="afff2"/>
    <w:qFormat/>
    <w:pPr>
      <w:keepNext w:val="0"/>
      <w:spacing w:before="240" w:after="120" w:line="276" w:lineRule="auto"/>
      <w:ind w:firstLine="708"/>
      <w:jc w:val="both"/>
    </w:pPr>
    <w:rPr>
      <w:rFonts w:eastAsia="TimesNewRomanPSMT"/>
      <w:b/>
      <w:color w:val="000000"/>
      <w:sz w:val="24"/>
      <w:lang w:val="ru-RU"/>
    </w:rPr>
  </w:style>
  <w:style w:type="character" w:customStyle="1" w:styleId="afff2">
    <w:name w:val="ЗАГОЛОВОК ! Знак"/>
    <w:link w:val="afff1"/>
    <w:rPr>
      <w:rFonts w:eastAsia="TimesNewRomanPSMT"/>
      <w:b/>
      <w:color w:val="000000"/>
      <w:sz w:val="24"/>
      <w:szCs w:val="24"/>
      <w:lang w:eastAsia="en-US"/>
    </w:rPr>
  </w:style>
  <w:style w:type="character" w:customStyle="1" w:styleId="222">
    <w:name w:val="Знак2 Знак Знак;Знак2 Знак Знак Знак"/>
    <w:rPr>
      <w:rFonts w:ascii="Arial" w:eastAsia="Times New Roman" w:hAnsi="Arial" w:cs="Arial"/>
      <w:color w:val="000000"/>
      <w:sz w:val="24"/>
      <w:szCs w:val="24"/>
      <w:lang w:eastAsia="en-US"/>
    </w:rPr>
  </w:style>
  <w:style w:type="paragraph" w:styleId="afff3">
    <w:name w:val="List Paragraph"/>
    <w:basedOn w:val="a"/>
    <w:pPr>
      <w:ind w:left="720"/>
      <w:contextualSpacing/>
    </w:pPr>
    <w:rPr>
      <w:sz w:val="28"/>
      <w:szCs w:val="28"/>
    </w:rPr>
  </w:style>
  <w:style w:type="character" w:customStyle="1" w:styleId="FontStyle13">
    <w:name w:val="Font Style13"/>
    <w:rPr>
      <w:rFonts w:ascii="Times New Roman" w:hAnsi="Times New Roman" w:cs="Times New Roman"/>
      <w:b/>
      <w:bCs/>
      <w:sz w:val="22"/>
      <w:szCs w:val="22"/>
    </w:rPr>
  </w:style>
  <w:style w:type="paragraph" w:customStyle="1" w:styleId="msonormalcxsplast">
    <w:name w:val="msonormalcxsplast"/>
    <w:basedOn w:val="a"/>
    <w:pPr>
      <w:spacing w:before="100" w:beforeAutospacing="1" w:after="100" w:afterAutospacing="1"/>
    </w:pPr>
  </w:style>
  <w:style w:type="character" w:styleId="afff4">
    <w:name w:val="Emphasis"/>
    <w:qFormat/>
    <w:rPr>
      <w:i/>
      <w:iCs/>
    </w:rPr>
  </w:style>
  <w:style w:type="character" w:customStyle="1" w:styleId="FontStyle26">
    <w:name w:val="Font Style26"/>
    <w:rPr>
      <w:rFonts w:ascii="Times New Roman" w:hAnsi="Times New Roman" w:cs="Times New Roman"/>
      <w:sz w:val="26"/>
      <w:szCs w:val="26"/>
    </w:rPr>
  </w:style>
  <w:style w:type="numbering" w:customStyle="1" w:styleId="28">
    <w:name w:val="Нет списка2"/>
    <w:next w:val="a2"/>
    <w:semiHidden/>
    <w:unhideWhenUsed/>
  </w:style>
  <w:style w:type="numbering" w:customStyle="1" w:styleId="39">
    <w:name w:val="Нет списка3"/>
    <w:next w:val="a2"/>
    <w:semiHidden/>
    <w:unhideWhenUsed/>
  </w:style>
  <w:style w:type="paragraph" w:customStyle="1" w:styleId="ListParagraph1">
    <w:name w:val="List Paragraph1;Варианты ответов"/>
    <w:basedOn w:val="a"/>
    <w:link w:val="ListParagraphChar1Char"/>
    <w:pPr>
      <w:ind w:left="720"/>
      <w:contextualSpacing/>
    </w:pPr>
    <w:rPr>
      <w:rFonts w:eastAsia="Calibri"/>
      <w:sz w:val="28"/>
      <w:szCs w:val="28"/>
      <w:lang w:val="en-US" w:eastAsia="en-US"/>
    </w:rPr>
  </w:style>
  <w:style w:type="character" w:customStyle="1" w:styleId="ListParagraphChar1Char">
    <w:name w:val="List Paragraph Char1;Варианты ответов Char"/>
    <w:link w:val="ListParagraph1"/>
    <w:rPr>
      <w:rFonts w:eastAsia="Calibri"/>
      <w:sz w:val="28"/>
      <w:szCs w:val="28"/>
      <w:lang w:val="en-US" w:eastAsia="en-US"/>
    </w:rPr>
  </w:style>
  <w:style w:type="paragraph" w:customStyle="1" w:styleId="xl90">
    <w:name w:val="xl90"/>
    <w:basedOn w:val="a"/>
    <w:uiPriority w:val="99"/>
    <w:pPr>
      <w:pBdr>
        <w:left w:val="single" w:sz="4" w:space="0" w:color="000000"/>
      </w:pBdr>
      <w:spacing w:before="100" w:beforeAutospacing="1" w:after="100" w:afterAutospacing="1"/>
      <w:jc w:val="center"/>
    </w:pPr>
    <w:rPr>
      <w:rFonts w:eastAsia="Calibri"/>
    </w:rPr>
  </w:style>
  <w:style w:type="paragraph" w:customStyle="1" w:styleId="45">
    <w:name w:val="Абзац списка4"/>
    <w:basedOn w:val="a"/>
    <w:pPr>
      <w:ind w:left="720"/>
      <w:contextualSpacing/>
    </w:pPr>
    <w:rPr>
      <w:sz w:val="28"/>
      <w:szCs w:val="28"/>
    </w:rPr>
  </w:style>
  <w:style w:type="numbering" w:customStyle="1" w:styleId="46">
    <w:name w:val="Нет списка4"/>
    <w:next w:val="a2"/>
    <w:uiPriority w:val="99"/>
    <w:semiHidden/>
    <w:unhideWhenUsed/>
  </w:style>
  <w:style w:type="character" w:styleId="afff5">
    <w:name w:val="annotation reference"/>
    <w:uiPriority w:val="99"/>
    <w:rPr>
      <w:rFonts w:cs="Times New Roman"/>
      <w:sz w:val="16"/>
      <w:szCs w:val="16"/>
    </w:rPr>
  </w:style>
  <w:style w:type="paragraph" w:customStyle="1" w:styleId="afff6">
    <w:name w:val="Нормальный (таблица)"/>
    <w:basedOn w:val="a"/>
    <w:next w:val="a"/>
    <w:pPr>
      <w:widowControl w:val="0"/>
      <w:jc w:val="both"/>
    </w:pPr>
    <w:rPr>
      <w:rFonts w:ascii="Arial" w:hAnsi="Arial" w:cs="Arial"/>
    </w:rPr>
  </w:style>
  <w:style w:type="paragraph" w:customStyle="1" w:styleId="v08vnsvo78t4jfjh">
    <w:name w:val="v08vnsvo78t4jfjh"/>
    <w:basedOn w:val="a"/>
    <w:uiPriority w:val="99"/>
    <w:pPr>
      <w:spacing w:before="100" w:beforeAutospacing="1" w:after="100" w:afterAutospacing="1"/>
    </w:pPr>
  </w:style>
  <w:style w:type="paragraph" w:customStyle="1" w:styleId="QuestHeading2">
    <w:name w:val="QuestHeading2"/>
    <w:basedOn w:val="a"/>
    <w:uiPriority w:val="99"/>
    <w:rPr>
      <w:rFonts w:ascii="Arial" w:hAnsi="Arial" w:cs="Arial"/>
      <w:bCs/>
      <w:sz w:val="20"/>
      <w:szCs w:val="20"/>
      <w:lang w:val="en-US" w:eastAsia="cs-CZ"/>
    </w:rPr>
  </w:style>
  <w:style w:type="paragraph" w:customStyle="1" w:styleId="29">
    <w:name w:val="2"/>
    <w:basedOn w:val="a"/>
    <w:uiPriority w:val="99"/>
    <w:pPr>
      <w:spacing w:before="120" w:after="120"/>
      <w:ind w:left="1077" w:hanging="340"/>
      <w:jc w:val="both"/>
    </w:pPr>
    <w:rPr>
      <w:rFonts w:ascii="Sans EE" w:hAnsi="Sans EE"/>
      <w:szCs w:val="20"/>
      <w:lang w:val="en-GB" w:eastAsia="cs-CZ"/>
    </w:rPr>
  </w:style>
  <w:style w:type="character" w:styleId="afff7">
    <w:name w:val="FollowedHyperlink"/>
    <w:uiPriority w:val="99"/>
    <w:rPr>
      <w:rFonts w:cs="Times New Roman"/>
      <w:color w:val="800080"/>
      <w:u w:val="single"/>
    </w:rPr>
  </w:style>
  <w:style w:type="paragraph" w:customStyle="1" w:styleId="xl63">
    <w:name w:val="xl63"/>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64">
    <w:name w:val="xl64"/>
    <w:basedOn w:val="a"/>
    <w:uiPriority w:val="99"/>
    <w:pPr>
      <w:pBdr>
        <w:top w:val="single" w:sz="4" w:space="0" w:color="000000"/>
        <w:left w:val="single" w:sz="4" w:space="31" w:color="000000"/>
        <w:bottom w:val="single" w:sz="4" w:space="0" w:color="000000"/>
        <w:right w:val="single" w:sz="4" w:space="0" w:color="000000"/>
      </w:pBdr>
      <w:spacing w:before="100" w:beforeAutospacing="1" w:after="100" w:afterAutospacing="1"/>
      <w:ind w:firstLine="500"/>
    </w:pPr>
    <w:rPr>
      <w:rFonts w:eastAsia="Calibri"/>
    </w:rPr>
  </w:style>
  <w:style w:type="paragraph" w:customStyle="1" w:styleId="xl65">
    <w:name w:val="xl65"/>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b/>
      <w:bCs/>
    </w:rPr>
  </w:style>
  <w:style w:type="paragraph" w:customStyle="1" w:styleId="xl66">
    <w:name w:val="xl66"/>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67">
    <w:name w:val="xl67"/>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68">
    <w:name w:val="xl68"/>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69">
    <w:name w:val="xl69"/>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70">
    <w:name w:val="xl70"/>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71">
    <w:name w:val="xl71"/>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72">
    <w:name w:val="xl72"/>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b/>
      <w:bCs/>
    </w:rPr>
  </w:style>
  <w:style w:type="paragraph" w:customStyle="1" w:styleId="xl73">
    <w:name w:val="xl73"/>
    <w:basedOn w:val="a"/>
    <w:uiPriority w:val="99"/>
    <w:pPr>
      <w:pBdr>
        <w:top w:val="single" w:sz="4" w:space="0" w:color="000000"/>
        <w:left w:val="single" w:sz="4" w:space="0" w:color="000000"/>
        <w:bottom w:val="single" w:sz="4" w:space="0" w:color="000000"/>
      </w:pBdr>
      <w:spacing w:before="100" w:beforeAutospacing="1" w:after="100" w:afterAutospacing="1"/>
    </w:pPr>
    <w:rPr>
      <w:rFonts w:eastAsia="Calibri"/>
    </w:rPr>
  </w:style>
  <w:style w:type="paragraph" w:customStyle="1" w:styleId="xl74">
    <w:name w:val="xl74"/>
    <w:basedOn w:val="a"/>
    <w:uiPriority w:val="99"/>
    <w:pPr>
      <w:pBdr>
        <w:top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75">
    <w:name w:val="xl75"/>
    <w:basedOn w:val="a"/>
    <w:uiPriority w:val="99"/>
    <w:pPr>
      <w:pBdr>
        <w:top w:val="single" w:sz="4" w:space="0" w:color="000000"/>
        <w:left w:val="single" w:sz="4" w:space="0" w:color="000000"/>
        <w:bottom w:val="single" w:sz="4" w:space="0" w:color="000000"/>
      </w:pBdr>
      <w:spacing w:before="100" w:beforeAutospacing="1" w:after="100" w:afterAutospacing="1"/>
      <w:jc w:val="center"/>
    </w:pPr>
    <w:rPr>
      <w:rFonts w:eastAsia="Calibri"/>
      <w:b/>
      <w:bCs/>
    </w:rPr>
  </w:style>
  <w:style w:type="paragraph" w:customStyle="1" w:styleId="xl76">
    <w:name w:val="xl76"/>
    <w:basedOn w:val="a"/>
    <w:uiPriority w:val="99"/>
    <w:pPr>
      <w:pBdr>
        <w:top w:val="single" w:sz="4" w:space="0" w:color="000000"/>
        <w:bottom w:val="single" w:sz="4" w:space="0" w:color="000000"/>
      </w:pBdr>
      <w:spacing w:before="100" w:beforeAutospacing="1" w:after="100" w:afterAutospacing="1"/>
      <w:jc w:val="center"/>
    </w:pPr>
    <w:rPr>
      <w:rFonts w:eastAsia="Calibri"/>
      <w:b/>
      <w:bCs/>
    </w:rPr>
  </w:style>
  <w:style w:type="paragraph" w:customStyle="1" w:styleId="xl77">
    <w:name w:val="xl77"/>
    <w:basedOn w:val="a"/>
    <w:uiPriority w:val="99"/>
    <w:pPr>
      <w:pBdr>
        <w:top w:val="single" w:sz="4" w:space="0" w:color="000000"/>
        <w:bottom w:val="single" w:sz="4" w:space="0" w:color="000000"/>
        <w:right w:val="single" w:sz="4" w:space="0" w:color="000000"/>
      </w:pBdr>
      <w:spacing w:before="100" w:beforeAutospacing="1" w:after="100" w:afterAutospacing="1"/>
      <w:jc w:val="center"/>
    </w:pPr>
    <w:rPr>
      <w:rFonts w:eastAsia="Calibri"/>
      <w:b/>
      <w:bCs/>
    </w:rPr>
  </w:style>
  <w:style w:type="paragraph" w:customStyle="1" w:styleId="xl78">
    <w:name w:val="xl78"/>
    <w:basedOn w:val="a"/>
    <w:uiPriority w:val="99"/>
    <w:pPr>
      <w:pBdr>
        <w:top w:val="single" w:sz="4" w:space="0" w:color="000000"/>
        <w:left w:val="single" w:sz="4" w:space="0" w:color="000000"/>
        <w:bottom w:val="single" w:sz="4" w:space="0" w:color="000000"/>
      </w:pBdr>
      <w:spacing w:before="100" w:beforeAutospacing="1" w:after="100" w:afterAutospacing="1"/>
    </w:pPr>
    <w:rPr>
      <w:rFonts w:eastAsia="Calibri"/>
      <w:b/>
      <w:bCs/>
    </w:rPr>
  </w:style>
  <w:style w:type="paragraph" w:customStyle="1" w:styleId="xl79">
    <w:name w:val="xl79"/>
    <w:basedOn w:val="a"/>
    <w:uiPriority w:val="99"/>
    <w:pPr>
      <w:pBdr>
        <w:top w:val="single" w:sz="4" w:space="0" w:color="000000"/>
        <w:bottom w:val="single" w:sz="4" w:space="0" w:color="000000"/>
        <w:right w:val="single" w:sz="4" w:space="0" w:color="000000"/>
      </w:pBdr>
      <w:spacing w:before="100" w:beforeAutospacing="1" w:after="100" w:afterAutospacing="1"/>
    </w:pPr>
    <w:rPr>
      <w:rFonts w:eastAsia="Calibri"/>
      <w:b/>
      <w:bCs/>
    </w:rPr>
  </w:style>
  <w:style w:type="paragraph" w:customStyle="1" w:styleId="xl80">
    <w:name w:val="xl80"/>
    <w:basedOn w:val="a"/>
    <w:uiPriority w:val="99"/>
    <w:pPr>
      <w:pBdr>
        <w:top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81">
    <w:name w:val="xl81"/>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82">
    <w:name w:val="xl82"/>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83">
    <w:name w:val="xl83"/>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84">
    <w:name w:val="xl84"/>
    <w:basedOn w:val="a"/>
    <w:uiPriority w:val="99"/>
    <w:pPr>
      <w:pBdr>
        <w:top w:val="single" w:sz="4" w:space="0" w:color="000000"/>
        <w:left w:val="single" w:sz="4" w:space="0" w:color="000000"/>
        <w:bottom w:val="single" w:sz="4" w:space="0" w:color="000000"/>
      </w:pBdr>
      <w:spacing w:before="100" w:beforeAutospacing="1" w:after="100" w:afterAutospacing="1"/>
    </w:pPr>
    <w:rPr>
      <w:rFonts w:eastAsia="Calibri"/>
      <w:b/>
      <w:bCs/>
    </w:rPr>
  </w:style>
  <w:style w:type="paragraph" w:customStyle="1" w:styleId="xl85">
    <w:name w:val="xl85"/>
    <w:basedOn w:val="a"/>
    <w:uiPriority w:val="99"/>
    <w:pPr>
      <w:pBdr>
        <w:top w:val="single" w:sz="4" w:space="0" w:color="000000"/>
        <w:bottom w:val="single" w:sz="4" w:space="0" w:color="000000"/>
        <w:right w:val="single" w:sz="4" w:space="0" w:color="000000"/>
      </w:pBdr>
      <w:spacing w:before="100" w:beforeAutospacing="1" w:after="100" w:afterAutospacing="1"/>
    </w:pPr>
    <w:rPr>
      <w:rFonts w:eastAsia="Calibri"/>
      <w:b/>
      <w:bCs/>
    </w:rPr>
  </w:style>
  <w:style w:type="paragraph" w:customStyle="1" w:styleId="xl86">
    <w:name w:val="xl86"/>
    <w:basedOn w:val="a"/>
    <w:uiPriority w:val="99"/>
    <w:pPr>
      <w:pBdr>
        <w:top w:val="single" w:sz="4" w:space="0" w:color="000000"/>
        <w:left w:val="single" w:sz="4" w:space="0" w:color="000000"/>
        <w:right w:val="single" w:sz="4" w:space="0" w:color="000000"/>
      </w:pBdr>
      <w:spacing w:before="100" w:beforeAutospacing="1" w:after="100" w:afterAutospacing="1"/>
      <w:jc w:val="center"/>
    </w:pPr>
    <w:rPr>
      <w:rFonts w:eastAsia="Calibri"/>
    </w:rPr>
  </w:style>
  <w:style w:type="paragraph" w:customStyle="1" w:styleId="xl87">
    <w:name w:val="xl87"/>
    <w:basedOn w:val="a"/>
    <w:uiPriority w:val="99"/>
    <w:pPr>
      <w:pBdr>
        <w:left w:val="single" w:sz="4" w:space="0" w:color="000000"/>
        <w:bottom w:val="single" w:sz="4" w:space="0" w:color="000000"/>
        <w:right w:val="single" w:sz="4" w:space="0" w:color="000000"/>
      </w:pBdr>
      <w:spacing w:before="100" w:beforeAutospacing="1" w:after="100" w:afterAutospacing="1"/>
      <w:jc w:val="center"/>
    </w:pPr>
    <w:rPr>
      <w:rFonts w:eastAsia="Calibri"/>
    </w:rPr>
  </w:style>
  <w:style w:type="paragraph" w:customStyle="1" w:styleId="xl88">
    <w:name w:val="xl88"/>
    <w:basedOn w:val="a"/>
    <w:uiPriority w:val="99"/>
    <w:pPr>
      <w:pBdr>
        <w:top w:val="single" w:sz="4" w:space="0" w:color="000000"/>
        <w:left w:val="single" w:sz="4" w:space="0" w:color="000000"/>
      </w:pBdr>
      <w:spacing w:before="100" w:beforeAutospacing="1" w:after="100" w:afterAutospacing="1"/>
      <w:jc w:val="center"/>
    </w:pPr>
    <w:rPr>
      <w:rFonts w:eastAsia="Calibri"/>
    </w:rPr>
  </w:style>
  <w:style w:type="paragraph" w:customStyle="1" w:styleId="xl89">
    <w:name w:val="xl89"/>
    <w:basedOn w:val="a"/>
    <w:uiPriority w:val="99"/>
    <w:pPr>
      <w:pBdr>
        <w:top w:val="single" w:sz="4" w:space="0" w:color="000000"/>
        <w:right w:val="single" w:sz="4" w:space="0" w:color="000000"/>
      </w:pBdr>
      <w:spacing w:before="100" w:beforeAutospacing="1" w:after="100" w:afterAutospacing="1"/>
      <w:jc w:val="center"/>
    </w:pPr>
    <w:rPr>
      <w:rFonts w:eastAsia="Calibri"/>
    </w:rPr>
  </w:style>
  <w:style w:type="paragraph" w:customStyle="1" w:styleId="xl91">
    <w:name w:val="xl91"/>
    <w:basedOn w:val="a"/>
    <w:uiPriority w:val="99"/>
    <w:pPr>
      <w:pBdr>
        <w:right w:val="single" w:sz="4" w:space="0" w:color="000000"/>
      </w:pBdr>
      <w:spacing w:before="100" w:beforeAutospacing="1" w:after="100" w:afterAutospacing="1"/>
      <w:jc w:val="center"/>
    </w:pPr>
    <w:rPr>
      <w:rFonts w:eastAsia="Calibri"/>
    </w:rPr>
  </w:style>
  <w:style w:type="paragraph" w:customStyle="1" w:styleId="xl92">
    <w:name w:val="xl92"/>
    <w:basedOn w:val="a"/>
    <w:uiPriority w:val="99"/>
    <w:pPr>
      <w:pBdr>
        <w:left w:val="single" w:sz="4" w:space="0" w:color="000000"/>
        <w:bottom w:val="single" w:sz="4" w:space="0" w:color="000000"/>
      </w:pBdr>
      <w:spacing w:before="100" w:beforeAutospacing="1" w:after="100" w:afterAutospacing="1"/>
      <w:jc w:val="center"/>
    </w:pPr>
    <w:rPr>
      <w:rFonts w:eastAsia="Calibri"/>
    </w:rPr>
  </w:style>
  <w:style w:type="paragraph" w:customStyle="1" w:styleId="xl93">
    <w:name w:val="xl93"/>
    <w:basedOn w:val="a"/>
    <w:uiPriority w:val="99"/>
    <w:pPr>
      <w:pBdr>
        <w:bottom w:val="single" w:sz="4" w:space="0" w:color="000000"/>
        <w:right w:val="single" w:sz="4" w:space="0" w:color="000000"/>
      </w:pBdr>
      <w:spacing w:before="100" w:beforeAutospacing="1" w:after="100" w:afterAutospacing="1"/>
      <w:jc w:val="center"/>
    </w:pPr>
    <w:rPr>
      <w:rFonts w:eastAsia="Calibri"/>
    </w:rPr>
  </w:style>
  <w:style w:type="paragraph" w:customStyle="1" w:styleId="xl94">
    <w:name w:val="xl94"/>
    <w:basedOn w:val="a"/>
    <w:uiPriority w:val="99"/>
    <w:pPr>
      <w:pBdr>
        <w:top w:val="single" w:sz="4" w:space="0" w:color="000000"/>
      </w:pBdr>
      <w:spacing w:before="100" w:beforeAutospacing="1" w:after="100" w:afterAutospacing="1"/>
      <w:jc w:val="center"/>
    </w:pPr>
    <w:rPr>
      <w:rFonts w:eastAsia="Calibri"/>
    </w:rPr>
  </w:style>
  <w:style w:type="paragraph" w:customStyle="1" w:styleId="xl95">
    <w:name w:val="xl95"/>
    <w:basedOn w:val="a"/>
    <w:uiPriority w:val="99"/>
    <w:pPr>
      <w:pBdr>
        <w:bottom w:val="single" w:sz="4" w:space="0" w:color="000000"/>
      </w:pBdr>
      <w:spacing w:before="100" w:beforeAutospacing="1" w:after="100" w:afterAutospacing="1"/>
      <w:jc w:val="center"/>
    </w:pPr>
    <w:rPr>
      <w:rFonts w:eastAsia="Calibri"/>
    </w:rPr>
  </w:style>
  <w:style w:type="paragraph" w:customStyle="1" w:styleId="xl96">
    <w:name w:val="xl96"/>
    <w:basedOn w:val="a"/>
    <w:uiPriority w:val="99"/>
    <w:pPr>
      <w:pBdr>
        <w:top w:val="single" w:sz="4" w:space="0" w:color="000000"/>
        <w:bottom w:val="single" w:sz="4" w:space="0" w:color="000000"/>
      </w:pBdr>
      <w:spacing w:before="100" w:beforeAutospacing="1" w:after="100" w:afterAutospacing="1"/>
      <w:jc w:val="center"/>
    </w:pPr>
    <w:rPr>
      <w:rFonts w:eastAsia="Calibri"/>
    </w:rPr>
  </w:style>
  <w:style w:type="paragraph" w:customStyle="1" w:styleId="xl97">
    <w:name w:val="xl97"/>
    <w:basedOn w:val="a"/>
    <w:uiPriority w:val="99"/>
    <w:pPr>
      <w:pBdr>
        <w:top w:val="single" w:sz="4" w:space="0" w:color="000000"/>
        <w:left w:val="single" w:sz="4" w:space="0" w:color="000000"/>
        <w:bottom w:val="single" w:sz="4" w:space="0" w:color="000000"/>
      </w:pBdr>
      <w:spacing w:before="100" w:beforeAutospacing="1" w:after="100" w:afterAutospacing="1"/>
      <w:jc w:val="center"/>
    </w:pPr>
    <w:rPr>
      <w:rFonts w:eastAsia="Calibri"/>
      <w:b/>
      <w:bCs/>
    </w:rPr>
  </w:style>
  <w:style w:type="paragraph" w:customStyle="1" w:styleId="xl98">
    <w:name w:val="xl98"/>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99">
    <w:name w:val="xl99"/>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paragraph" w:customStyle="1" w:styleId="xl100">
    <w:name w:val="xl100"/>
    <w:basedOn w:val="a"/>
    <w:uiPriority w:val="9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Calibri"/>
    </w:rPr>
  </w:style>
  <w:style w:type="character" w:customStyle="1" w:styleId="grame">
    <w:name w:val="grame"/>
  </w:style>
  <w:style w:type="character" w:customStyle="1" w:styleId="15">
    <w:name w:val="Без интервала Знак1"/>
    <w:link w:val="aff9"/>
    <w:rPr>
      <w:rFonts w:ascii="Calibri" w:eastAsia="Calibri" w:hAnsi="Calibri"/>
      <w:sz w:val="24"/>
      <w:szCs w:val="22"/>
      <w:lang w:bidi="ar-SA"/>
    </w:rPr>
  </w:style>
  <w:style w:type="character" w:customStyle="1" w:styleId="af4">
    <w:name w:val="Текст концевой сноски Знак"/>
    <w:basedOn w:val="a0"/>
    <w:link w:val="af3"/>
  </w:style>
  <w:style w:type="numbering" w:customStyle="1" w:styleId="57">
    <w:name w:val="Нет списка5"/>
    <w:next w:val="a2"/>
    <w:uiPriority w:val="99"/>
    <w:semiHidden/>
    <w:unhideWhenUsed/>
  </w:style>
  <w:style w:type="paragraph" w:customStyle="1" w:styleId="1b">
    <w:name w:val="Обычный1"/>
    <w:pPr>
      <w:spacing w:line="276" w:lineRule="auto"/>
    </w:pPr>
    <w:rPr>
      <w:rFonts w:ascii="Arial" w:eastAsia="Arial" w:hAnsi="Arial" w:cs="Arial"/>
      <w:sz w:val="22"/>
      <w:szCs w:val="22"/>
      <w:lang w:eastAsia="ru-RU"/>
    </w:rPr>
  </w:style>
  <w:style w:type="paragraph" w:customStyle="1" w:styleId="2a">
    <w:name w:val="Обычный2"/>
    <w:pPr>
      <w:spacing w:line="276" w:lineRule="auto"/>
    </w:pPr>
    <w:rPr>
      <w:rFonts w:ascii="Arial" w:eastAsia="Arial" w:hAnsi="Arial" w:cs="Arial"/>
      <w:sz w:val="22"/>
      <w:szCs w:val="22"/>
      <w:lang w:eastAsia="ru-RU"/>
    </w:rPr>
  </w:style>
  <w:style w:type="character" w:styleId="afff8">
    <w:name w:val="Book Title"/>
    <w:uiPriority w:val="33"/>
    <w:qFormat/>
    <w:rPr>
      <w:b/>
      <w:bCs/>
      <w:smallCaps/>
      <w:spacing w:val="5"/>
    </w:rPr>
  </w:style>
  <w:style w:type="character" w:customStyle="1" w:styleId="hl1">
    <w:name w:val="hl1"/>
    <w:rPr>
      <w:color w:val="4682B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footer" Target="footer8.xml"/><Relationship Id="rId21" Type="http://schemas.openxmlformats.org/officeDocument/2006/relationships/image" Target="media/image12.png"/><Relationship Id="rId34" Type="http://schemas.openxmlformats.org/officeDocument/2006/relationships/footer" Target="footer5.xml"/><Relationship Id="rId42" Type="http://schemas.openxmlformats.org/officeDocument/2006/relationships/footer" Target="footer11.xml"/><Relationship Id="rId47" Type="http://schemas.openxmlformats.org/officeDocument/2006/relationships/footer" Target="footer15.xml"/><Relationship Id="rId50" Type="http://schemas.openxmlformats.org/officeDocument/2006/relationships/footer" Target="footer18.xml"/><Relationship Id="rId55" Type="http://schemas.openxmlformats.org/officeDocument/2006/relationships/theme" Target="theme/theme1.xml"/><Relationship Id="rId7" Type="http://schemas.openxmlformats.org/officeDocument/2006/relationships/hyperlink" Target="mailto:ekonomika@admkonda.ru"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s://hmao.rtrs.ru/" TargetMode="External"/><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footer" Target="footer3.xml"/><Relationship Id="rId37" Type="http://schemas.openxmlformats.org/officeDocument/2006/relationships/hyperlink" Target="http://www.admkonda.ru/informatciya-ob-investitcionnykh-predlozheniyakh.html" TargetMode="External"/><Relationship Id="rId40" Type="http://schemas.openxmlformats.org/officeDocument/2006/relationships/footer" Target="footer9.xml"/><Relationship Id="rId45" Type="http://schemas.openxmlformats.org/officeDocument/2006/relationships/footer" Target="footer13.xml"/><Relationship Id="rId53"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admkonda.ru/informatciya-ob-investitcionnykh-predlozheniyakh.html" TargetMode="External"/><Relationship Id="rId28" Type="http://schemas.openxmlformats.org/officeDocument/2006/relationships/image" Target="media/image18.emf"/><Relationship Id="rId36" Type="http://schemas.openxmlformats.org/officeDocument/2006/relationships/hyperlink" Target="http://www.admkonda.ru" TargetMode="External"/><Relationship Id="rId49" Type="http://schemas.openxmlformats.org/officeDocument/2006/relationships/footer" Target="footer17.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footer" Target="footer2.xml"/><Relationship Id="rId44" Type="http://schemas.openxmlformats.org/officeDocument/2006/relationships/hyperlink" Target="https://www.&#1073;&#1080;&#1079;&#1085;&#1077;&#1089;&#1102;&#1075;&#1088;&#1099;.&#1088;&#1092;/" TargetMode="External"/><Relationship Id="rId52"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yperlink" Target="http://www.gosuslugi.ru" TargetMode="External"/><Relationship Id="rId35" Type="http://schemas.openxmlformats.org/officeDocument/2006/relationships/footer" Target="footer6.xml"/><Relationship Id="rId43" Type="http://schemas.openxmlformats.org/officeDocument/2006/relationships/footer" Target="footer12.xml"/><Relationship Id="rId48" Type="http://schemas.openxmlformats.org/officeDocument/2006/relationships/footer" Target="footer16.xml"/><Relationship Id="rId8" Type="http://schemas.openxmlformats.org/officeDocument/2006/relationships/header" Target="header1.xml"/><Relationship Id="rId51" Type="http://schemas.openxmlformats.org/officeDocument/2006/relationships/footer" Target="footer19.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visitugra.ru/locations?sort=rating&amp;territory_id=17&amp;type_id=0&amp;page=1" TargetMode="External"/><Relationship Id="rId13" Type="http://schemas.openxmlformats.org/officeDocument/2006/relationships/hyperlink" Target="https://rosstat.gov.ru/scripts/db_inet2/passport/table.aspx?opt=718160002016201720182019202020212022" TargetMode="External"/><Relationship Id="rId18" Type="http://schemas.openxmlformats.org/officeDocument/2006/relationships/hyperlink" Target="https://docs.yandex.ru/docs/view?url=ya-browser%3A%2F%2F4DT1uXEPRrJRXlUFoewruPcpy47OS4KSQMesU8TXcQkOzhaNm3C2g_vkHgIFLQaUeCAzCNXmW8OviYfHqGBvCRsTXXIKWBR4mjT2j_uWkw8ejVHZpW_a0PTSw4MZSDFjKD1h3u3eC5r0vL0NdQ_vMQ%3D%3D%3Fsign%3DWpXHX0GNa65pDquydlU-gAcw5IEhjz2O3JnZRt1Ks24%3D&amp;name=Obschepit-06.xls&amp;nosw=1" TargetMode="External"/><Relationship Id="rId26" Type="http://schemas.openxmlformats.org/officeDocument/2006/relationships/hyperlink" Target="https://rosstat.gov.ru/scripts/db_inet2/passport/table.aspx?opt=718160002016201720182019202020212022" TargetMode="External"/><Relationship Id="rId3" Type="http://schemas.openxmlformats.org/officeDocument/2006/relationships/hyperlink" Target="https://www.gks.ru/scripts/db_inet2/passport/table.aspx?opt=7181600020162017201820192020202120222023" TargetMode="External"/><Relationship Id="rId21" Type="http://schemas.openxmlformats.org/officeDocument/2006/relationships/hyperlink" Target="https://showdata.gks.ru/report/274546/" TargetMode="External"/><Relationship Id="rId7" Type="http://schemas.openxmlformats.org/officeDocument/2006/relationships/hyperlink" Target="http://www.hmao-museums.ru/museum/rayonnyy_uchinskiy_muzey/about/" TargetMode="External"/><Relationship Id="rId12" Type="http://schemas.openxmlformats.org/officeDocument/2006/relationships/hyperlink" Target="https://rosstat.gov.ru/scripts/db_inet2/passport/table.aspx?opt=718160002016201720182019202020212022" TargetMode="External"/><Relationship Id="rId17" Type="http://schemas.openxmlformats.org/officeDocument/2006/relationships/hyperlink" Target="https://docs.yandex.ru/docs/view?url=ya-browser%3A%2F%2F4DT1uXEPRrJRXlUFoewruJyzCU6A_fn2krLfkfl1bo5xqNACCD1XctA6DOuMb92BSfVM0RlFaJ6Q_xLR9E3uCxIKAzzVrnygub3S2Nov_ukr7rL0WJsmhkOf0emeRir7ruG8nIxnbVuwG-czxol8UQ%3D%3D%3Fsign%3DbSXME4GFaTDYT7ewO_PNDkyEUoVcbGxEzuF_mNpbgzY%3D&amp;name=Oborot_dusha.xlsx&amp;nosw=1" TargetMode="External"/><Relationship Id="rId25" Type="http://schemas.openxmlformats.org/officeDocument/2006/relationships/hyperlink" Target="https://ep.admhmao.ru/app/3/search" TargetMode="External"/><Relationship Id="rId2" Type="http://schemas.openxmlformats.org/officeDocument/2006/relationships/hyperlink" Target="https://deptrud.admhmao.ru/monitoring-situatsii-na-registriruemom-rynke-truda/pokazateli-ezhenedelnogo-monitoringa-situatsii-na-registriruemom-rynke-truda/2022-god/" TargetMode="External"/><Relationship Id="rId16" Type="http://schemas.openxmlformats.org/officeDocument/2006/relationships/hyperlink" Target="https://rosstat.gov.ru/scripts/db_inet2/passport/table.aspx?opt=718160002016201720182019202020212022" TargetMode="External"/><Relationship Id="rId20" Type="http://schemas.openxmlformats.org/officeDocument/2006/relationships/hyperlink" Target="https://docs.yandex.ru/docs/view?url=ya-browser%3A%2F%2F4DT1uXEPRrJRXlUFoewruGqqfQ7AFS4K7_2tk0iTGU_3fD7853iY4GKCyjQN3Pa4aU2B2kfrVbEYO3rIERdBWdFYOpm8kQOWft42bsTSk_hCyaX_xaH0apc__A_zmKqoEfOtJJmFhwWHIdNQLZ2Awg%3D%3D%3Fsign%3DmnT08Nmx5Mv9d8VOuUsB4J01WoI5nwPnQJutzg7jCeE%3D&amp;name=&#1054;&#1073;&#1098;&#1077;&#1084;%20&#1087;&#1083;&#1072;&#1090;&#1085;&#1099;&#1093;%20&#1091;&#1089;&#1083;&#1091;&#1075;%20&#1085;&#1072;%20&#1076;&#1091;&#1096;&#1091;_&#1061;&#1052;&#1040;&#1054;.xlsx&amp;nosw=1" TargetMode="External"/><Relationship Id="rId29" Type="http://schemas.openxmlformats.org/officeDocument/2006/relationships/hyperlink" Target="https://prirodnadzor.admhmao.ru/doklady-i-otchyety/doklad-ob-ekologicheskoy-situatsii-v-khanty-mansiyskom-avtonomnom-okruge-yugre/8998458/2022-god-/" TargetMode="External"/><Relationship Id="rId1" Type="http://schemas.openxmlformats.org/officeDocument/2006/relationships/hyperlink" Target="https://rosstat.gov.ru/storage/mediabank/OPJ.xlsx" TargetMode="External"/><Relationship Id="rId6" Type="http://schemas.openxmlformats.org/officeDocument/2006/relationships/hyperlink" Target="https://www.culture.ru/institutes/21038/raionnyi-kraevedcheskii-muzei-imeni-niny-stepanovny-cekhnovoi" TargetMode="External"/><Relationship Id="rId11" Type="http://schemas.openxmlformats.org/officeDocument/2006/relationships/hyperlink" Target="https://rosstat.gov.ru/scripts/db_inet2/passport/table.aspx?opt=718160002016201720182019202020212022" TargetMode="External"/><Relationship Id="rId24" Type="http://schemas.openxmlformats.org/officeDocument/2006/relationships/hyperlink" Target="https://prirodnadzor.admhmao.ru/ekologicheskaya-pasportizatsiya/" TargetMode="External"/><Relationship Id="rId5" Type="http://schemas.openxmlformats.org/officeDocument/2006/relationships/hyperlink" Target="https://tourism.admhmao.ru/reestr-turistskikh-resursov-i-obektov-turistskoy-industrii-yugry/kondinskiy-rayon/" TargetMode="External"/><Relationship Id="rId15" Type="http://schemas.openxmlformats.org/officeDocument/2006/relationships/hyperlink" Target="https://rosstat.gov.ru/scripts/db_inet2/passport/table.aspx?opt=718160002016201720182019202020212022" TargetMode="External"/><Relationship Id="rId23" Type="http://schemas.openxmlformats.org/officeDocument/2006/relationships/hyperlink" Target="https://docs.yandex.ru/docs/view?url=ya-browser%3A%2F%2F4DT1uXEPRrJRXlUFoewruJmf3H5zChaeTydfels5LT7b2awLHyX5AX-pSSLiszkvCnwIWgpnWRWwsSZu-2yO3aZJrFdUWrnVBoxbxFdJ9Z5yNVfmPT9wOyX2-X-oDUB6f1Lnu9Y04-CIKHrDmeG2cw%3D%3D%3Fsign%3D_97vfc7atqhXa9aijHTKW6jJC9rpsMsa682Ji4Hpt0I%3D&amp;name=Tom2_2020.docx&amp;nosw=1" TargetMode="External"/><Relationship Id="rId28" Type="http://schemas.openxmlformats.org/officeDocument/2006/relationships/hyperlink" Target="http://www.ugrameteo.ru/mzos.php" TargetMode="External"/><Relationship Id="rId10" Type="http://schemas.openxmlformats.org/officeDocument/2006/relationships/hyperlink" Target="https://rosstat.gov.ru/storage/2023/04-22/q710MqhG/UFO_06.xlsx" TargetMode="External"/><Relationship Id="rId19" Type="http://schemas.openxmlformats.org/officeDocument/2006/relationships/hyperlink" Target="https://rosstat.gov.ru/scripts/db_inet2/passport/table.aspx?opt=718160002016201720182019202020212022" TargetMode="External"/><Relationship Id="rId31" Type="http://schemas.openxmlformats.org/officeDocument/2006/relationships/hyperlink" Target="https://admkonda.ru/moy-brend.html" TargetMode="External"/><Relationship Id="rId4" Type="http://schemas.openxmlformats.org/officeDocument/2006/relationships/hyperlink" Target="https://docs.yandex.ru/docs/view?url=ya-browser%3A%2F%2F4DT1uXEPRrJRXlUFoewruPNxHzVWClfZMf5f1sMVFEV3EyO3Gm1Yhqysf6hqWSm4MX5CKeFaZ9EEnDpHQRb5XSPRrPzQQ76onavqlldz9rajP4gMYaCSEEHEtKS-z9CztWjzW5Tygi_SPdicLIx6KA%3D%3D%3Fsign%3DX2VtfMGv5viukEVLZn9uBGjmAsZTqSxRXoS_qdZm06k%3D&amp;name=&#1063;&#1080;&#1089;&#1083;&#1077;&#1085;&#1085;&#1086;&#1089;&#1090;&#1100;%20&#1085;&#1072;&#1089;&#1077;&#1083;&#1077;&#1085;&#1080;&#1103;%20&#1079;&#1072;%202017-2022%20&#1075;&#1086;&#1076;&#1099;_&#1061;&#1052;&#1040;&#1054;_2.xlsx&amp;nosw=1" TargetMode="External"/><Relationship Id="rId9" Type="http://schemas.openxmlformats.org/officeDocument/2006/relationships/hyperlink" Target="https://tourism.admhmao.ru/reestr-turistskikh-resursov-i-obektov-turistskoy-industrii-yugry/kondinskiy-rayon/turistskie-resursy/328412/pamyatniki-prirody/" TargetMode="External"/><Relationship Id="rId14" Type="http://schemas.openxmlformats.org/officeDocument/2006/relationships/hyperlink" Target="https://rosstat.gov.ru/scripts/db_inet2/passport/table.aspx?opt=718160002016201720182019202020212022" TargetMode="External"/><Relationship Id="rId22" Type="http://schemas.openxmlformats.org/officeDocument/2006/relationships/hyperlink" Target="https://docs.yandex.ru/docs/view?url=ya-browser%3A%2F%2F4DT1uXEPRrJRXlUFoewruJPfxe8y47oXO13CRfVMiS1_dC3PRavY0KWPPV2pw-ArAUzUwgm3_rAC6i4SNRR9swFzGKWUs_d_ziagICVsUQvluaEKKD9KRqzdMR6vgvmrC5ZpF58-_66e56KYiL8xuQ%3D%3D%3Fsign%3DrlIA1zKxQdj8XWza73x_soqMWjK0ttcNrQfMWCbLzxk%3D&amp;name=sbor22.07.222.docx&amp;nosw=1" TargetMode="External"/><Relationship Id="rId27" Type="http://schemas.openxmlformats.org/officeDocument/2006/relationships/hyperlink" Target="https://prirodnadzor.admhmao.ru/sostoyanie-okruzhayushchey-sredy/poverkhnostnye-vodnye-obekty/sostoyanie-poverkhnostnykh-vod/131963/kachestvo-poverkhnostnykh-vod/" TargetMode="External"/><Relationship Id="rId30" Type="http://schemas.openxmlformats.org/officeDocument/2006/relationships/hyperlink" Target="https://72.rosstat.gov.ru/ofs_trud_hmao"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172</Pages>
  <Words>57071</Words>
  <Characters>325305</Characters>
  <Application>Microsoft Office Word</Application>
  <DocSecurity>0</DocSecurity>
  <Lines>2710</Lines>
  <Paragraphs>763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
  <LinksUpToDate>false</LinksUpToDate>
  <CharactersWithSpaces>381613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dc:creator>
  <cp:lastModifiedBy>Медвиги Дарья Викторовна</cp:lastModifiedBy>
  <cp:revision>2</cp:revision>
  <dcterms:created xsi:type="dcterms:W3CDTF">2024-01-22T15:03:00Z</dcterms:created>
  <dcterms:modified xsi:type="dcterms:W3CDTF">2024-01-22T15:03:00Z</dcterms:modified>
  <cp:version>983040</cp:version>
</cp:coreProperties>
</file>