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5"/>
        </w:rPr>
        <w:t>КУ «Центр обеспечения безопасности жизнедеятельности и призыва граждан на военную службу»</w:t>
      </w:r>
    </w:p>
    <w:p>
      <w:pPr>
        <w:pStyle w:val="Normal"/>
        <w:jc w:val="center"/>
        <w:rPr>
          <w:rFonts w:ascii="PT Serif" w:hAnsi="PT Serif" w:eastAsia="PT Serif" w:cs="PT Serif"/>
          <w:b/>
          <w:color w:themeColor="text1" w:val="000000"/>
          <w:sz w:val="28"/>
          <w:szCs w:val="25"/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sz w:val="28"/>
          <w:szCs w:val="25"/>
        </w:rPr>
      </w:r>
    </w:p>
    <w:p>
      <w:pPr>
        <w:pStyle w:val="Normal"/>
        <w:jc w:val="center"/>
        <w:rPr>
          <w:highlight w:val="none"/>
        </w:rPr>
      </w:pPr>
      <w:r>
        <w:rPr/>
      </w:r>
    </w:p>
    <w:p>
      <w:pPr>
        <w:pStyle w:val="Normal"/>
        <w:jc w:val="center"/>
        <w:rPr>
          <w:highlight w:val="none"/>
        </w:rPr>
      </w:pPr>
      <w:r>
        <w:rPr/>
        <w:drawing>
          <wp:inline distT="0" distB="0" distL="0" distR="0">
            <wp:extent cx="1076325" cy="1076325"/>
            <wp:effectExtent l="0" t="0" r="0" b="0"/>
            <wp:docPr id="1" name="Рисунок 7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..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PT Serif" w:hAnsi="PT Serif" w:cs="PT Serif"/>
          <w:color w:themeColor="text1" w:val="000000"/>
          <w:sz w:val="25"/>
          <w:szCs w:val="25"/>
          <w:highlight w:val="none"/>
        </w:rPr>
      </w:pPr>
      <w:r>
        <w:rPr>
          <w:rFonts w:cs="PT Serif" w:ascii="PT Serif" w:hAnsi="PT Serif"/>
          <w:color w:themeColor="text1" w:val="000000"/>
          <w:sz w:val="25"/>
          <w:szCs w:val="25"/>
        </w:rPr>
      </w:r>
    </w:p>
    <w:p>
      <w:pPr>
        <w:pStyle w:val="Normal"/>
        <w:jc w:val="center"/>
        <w:rPr>
          <w:rFonts w:ascii="PT Serif" w:hAnsi="PT Serif" w:cs="PT Serif"/>
          <w:b/>
          <w:color w:themeColor="text1" w:val="000000"/>
          <w:sz w:val="25"/>
          <w:szCs w:val="25"/>
          <w:highlight w:val="none"/>
        </w:rPr>
      </w:pPr>
      <w:r>
        <w:rPr>
          <w:rFonts w:cs="PT Serif" w:ascii="PT Serif" w:hAnsi="PT Serif"/>
          <w:b/>
          <w:color w:themeColor="text1" w:val="000000"/>
          <w:sz w:val="25"/>
          <w:szCs w:val="25"/>
        </w:rPr>
      </w:r>
    </w:p>
    <w:p>
      <w:pPr>
        <w:pStyle w:val="Normal"/>
        <w:jc w:val="center"/>
        <w:rPr>
          <w:rFonts w:ascii="PT Serif" w:hAnsi="PT Serif" w:cs="PT Serif"/>
          <w:b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b/>
          <w:color w:themeColor="text1" w:val="000000"/>
          <w:sz w:val="16"/>
          <w:szCs w:val="16"/>
        </w:rPr>
      </w:r>
    </w:p>
    <w:tbl>
      <w:tblPr>
        <w:tblW w:w="9247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015"/>
        <w:gridCol w:w="5231"/>
      </w:tblGrid>
      <w:tr>
        <w:trPr/>
        <w:tc>
          <w:tcPr>
            <w:tcW w:w="4015" w:type="dxa"/>
            <w:tcBorders/>
          </w:tcPr>
          <w:p>
            <w:pPr>
              <w:pStyle w:val="Normal"/>
              <w:numPr>
                <w:ilvl w:val="0"/>
                <w:numId w:val="0"/>
              </w:numPr>
              <w:ind w:hanging="2" w:left="0"/>
              <w:outlineLvl w:val="0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  <w:sz w:val="24"/>
                <w:szCs w:val="24"/>
              </w:rPr>
              <w:t>[Дата документа]</w:t>
            </w:r>
          </w:p>
        </w:tc>
        <w:tc>
          <w:tcPr>
            <w:tcW w:w="5231" w:type="dxa"/>
            <w:tcBorders/>
          </w:tcPr>
          <w:p>
            <w:pPr>
              <w:pStyle w:val="Normal"/>
              <w:numPr>
                <w:ilvl w:val="0"/>
                <w:numId w:val="0"/>
              </w:numPr>
              <w:ind w:hanging="2" w:left="0"/>
              <w:jc w:val="right"/>
              <w:outlineLvl w:val="0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  <w:sz w:val="24"/>
                <w:szCs w:val="24"/>
              </w:rPr>
              <w:t>[Номер документа]</w:t>
            </w:r>
          </w:p>
        </w:tc>
      </w:tr>
    </w:tbl>
    <w:p>
      <w:pPr>
        <w:pStyle w:val="Normal"/>
        <w:jc w:val="center"/>
        <w:rPr>
          <w:rFonts w:ascii="PT Serif" w:hAnsi="PT Serif" w:cs="PT Serif"/>
          <w:b/>
          <w:color w:themeColor="text1" w:val="000000"/>
          <w:sz w:val="28"/>
          <w:szCs w:val="28"/>
          <w:highlight w:val="none"/>
        </w:rPr>
      </w:pPr>
      <w:r>
        <w:rPr>
          <w:rFonts w:cs="PT Serif" w:ascii="PT Serif" w:hAnsi="PT Serif"/>
          <w:b/>
          <w:color w:themeColor="text1" w:val="000000"/>
          <w:sz w:val="28"/>
          <w:szCs w:val="28"/>
        </w:rPr>
      </w:r>
    </w:p>
    <w:p>
      <w:pPr>
        <w:pStyle w:val="Normal"/>
        <w:jc w:val="center"/>
        <w:rPr>
          <w:rFonts w:ascii="PT Serif" w:hAnsi="PT Serif" w:cs="PT Serif"/>
          <w:b/>
          <w:color w:themeColor="text1" w:val="000000"/>
          <w:sz w:val="28"/>
          <w:szCs w:val="28"/>
          <w:highlight w:val="none"/>
        </w:rPr>
      </w:pPr>
      <w:r>
        <w:rPr>
          <w:rFonts w:cs="PT Serif" w:ascii="PT Serif" w:hAnsi="PT Serif"/>
          <w:b/>
          <w:color w:themeColor="text1" w:val="000000"/>
          <w:sz w:val="28"/>
          <w:szCs w:val="28"/>
        </w:rPr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ПРОГНОЗ</w:t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чрезвычайных ситуаций</w:t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на территории Ханты-Мансийского автономного округа - Югры</w:t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  <w:u w:val="single"/>
        </w:rPr>
        <w:t>на период с 09 по 15 февраля 2026 года</w:t>
      </w:r>
    </w:p>
    <w:p>
      <w:pPr>
        <w:pStyle w:val="Normal"/>
        <w:ind w:firstLine="567"/>
        <w:rPr>
          <w:rFonts w:ascii="PT Serif" w:hAnsi="PT Serif" w:cs="PT Serif"/>
          <w:b/>
          <w:color w:themeColor="text1" w:val="000000"/>
          <w:sz w:val="28"/>
          <w:szCs w:val="28"/>
          <w:highlight w:val="none"/>
        </w:rPr>
      </w:pPr>
      <w:r>
        <w:rPr>
          <w:rFonts w:cs="PT Serif" w:ascii="PT Serif" w:hAnsi="PT Serif"/>
          <w:b/>
          <w:color w:themeColor="text1" w:val="000000"/>
          <w:sz w:val="28"/>
          <w:szCs w:val="28"/>
        </w:rPr>
      </w:r>
    </w:p>
    <w:p>
      <w:pPr>
        <w:pStyle w:val="Normal"/>
        <w:ind w:firstLine="567"/>
        <w:jc w:val="both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  <w:lang w:val="en-US"/>
        </w:rPr>
        <w:t>I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 xml:space="preserve">. </w:t>
      </w:r>
      <w:r>
        <w:rPr>
          <w:rFonts w:eastAsia="PT Serif" w:cs="PT Serif" w:ascii="PT Serif" w:hAnsi="PT Serif"/>
          <w:b/>
          <w:color w:themeColor="text1" w:val="000000"/>
          <w:sz w:val="28"/>
          <w:szCs w:val="28"/>
        </w:rPr>
        <w:t xml:space="preserve">Оправдываемость 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 xml:space="preserve">оперативных прогнозов за прошедший период и декадного прогноза за прошедший период </w:t>
      </w:r>
    </w:p>
    <w:p>
      <w:pPr>
        <w:pStyle w:val="Normal"/>
        <w:spacing w:lineRule="atLeast" w:line="200"/>
        <w:ind w:firstLine="680"/>
        <w:jc w:val="both"/>
        <w:rPr>
          <w:highlight w:val="none"/>
        </w:rPr>
      </w:pPr>
      <w:bookmarkStart w:id="0" w:name="_GoBack"/>
      <w:bookmarkEnd w:id="0"/>
      <w:r>
        <w:rPr>
          <w:rFonts w:eastAsia="PT Serif" w:cs="PT Serif" w:ascii="PT Serif" w:hAnsi="PT Serif"/>
          <w:color w:val="000000"/>
          <w:sz w:val="28"/>
          <w:szCs w:val="28"/>
        </w:rPr>
        <w:t>Средняя оправдываемость (26 января – 01 февраля 2026 г.) составила 92,4%.</w:t>
      </w:r>
    </w:p>
    <w:p>
      <w:pPr>
        <w:pStyle w:val="Normal"/>
        <w:ind w:firstLine="567"/>
        <w:jc w:val="both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  <w:lang w:val="en-US"/>
        </w:rPr>
        <w:t>II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. Динамика синоптических процессов на территории ХМАО-Югры:</w:t>
      </w:r>
    </w:p>
    <w:p>
      <w:pPr>
        <w:pStyle w:val="Normal"/>
        <w:numPr>
          <w:ilvl w:val="0"/>
          <w:numId w:val="3"/>
        </w:numPr>
        <w:spacing w:before="0" w:after="0"/>
        <w:ind w:firstLine="709" w:left="0"/>
        <w:contextualSpacing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 xml:space="preserve">Температурные отклонения от нормы, в том числе наибольшие отрицательные/положительные отклонения </w:t>
      </w:r>
    </w:p>
    <w:p>
      <w:pPr>
        <w:pStyle w:val="Normal"/>
        <w:spacing w:lineRule="atLeast" w:line="200"/>
        <w:ind w:firstLine="680"/>
        <w:jc w:val="both"/>
        <w:rPr>
          <w:highlight w:val="none"/>
        </w:rPr>
      </w:pPr>
      <w:r>
        <w:rPr>
          <w:rFonts w:eastAsia="PT Serif" w:cs="PT Serif" w:ascii="PT Serif" w:hAnsi="PT Serif"/>
          <w:color w:val="000000"/>
          <w:sz w:val="28"/>
          <w:szCs w:val="28"/>
        </w:rPr>
        <w:t xml:space="preserve">На период с 09 по 15 февраля 2026 года среднесуточная температура воздуха, по автономному округу, прогнозируется от минус 23.5°С до минус 17,5°С, что около нормы и на </w:t>
      </w:r>
      <w:r>
        <w:rPr>
          <w:rFonts w:eastAsia="PT Serif" w:cs="PT Serif" w:ascii="PT Serif" w:hAnsi="PT Serif"/>
          <w:color w:val="000000"/>
          <w:sz w:val="28"/>
          <w:szCs w:val="28"/>
        </w:rPr>
        <w:t>9</w:t>
      </w:r>
      <w:r>
        <w:rPr>
          <w:rFonts w:eastAsia="PT Serif" w:cs="PT Serif" w:ascii="PT Serif" w:hAnsi="PT Serif"/>
          <w:color w:val="000000"/>
          <w:sz w:val="28"/>
          <w:szCs w:val="28"/>
        </w:rPr>
        <w:t>,</w:t>
      </w:r>
      <w:r>
        <w:rPr>
          <w:rFonts w:eastAsia="PT Serif" w:cs="PT Serif" w:ascii="PT Serif" w:hAnsi="PT Serif"/>
          <w:color w:val="000000"/>
          <w:sz w:val="28"/>
          <w:szCs w:val="28"/>
        </w:rPr>
        <w:t>1</w:t>
      </w:r>
      <w:r>
        <w:rPr>
          <w:rFonts w:eastAsia="PT Serif" w:cs="PT Serif" w:ascii="PT Serif" w:hAnsi="PT Serif"/>
          <w:color w:val="000000"/>
          <w:sz w:val="28"/>
          <w:szCs w:val="28"/>
        </w:rPr>
        <w:t xml:space="preserve"> °С </w:t>
      </w:r>
      <w:r>
        <w:rPr>
          <w:rFonts w:eastAsia="PT Serif" w:cs="PT Serif" w:ascii="PT Serif" w:hAnsi="PT Serif"/>
          <w:color w:val="000000"/>
          <w:sz w:val="28"/>
          <w:szCs w:val="28"/>
        </w:rPr>
        <w:t>ниж</w:t>
      </w:r>
      <w:r>
        <w:rPr>
          <w:rFonts w:eastAsia="PT Serif" w:cs="PT Serif" w:ascii="PT Serif" w:hAnsi="PT Serif"/>
          <w:color w:val="000000"/>
          <w:sz w:val="28"/>
          <w:szCs w:val="28"/>
        </w:rPr>
        <w:t xml:space="preserve">е значений АППГ. Ветер переменных направлений, от слабого до умеренного 2-14 м/с.  В отдельные дни ожидаются осадки в виде снега, от небольших до умеренных, гололедно-изморозевые явления, местами туманы, ухудшение видимости </w:t>
      </w:r>
      <w:r>
        <w:rPr>
          <w:rFonts w:eastAsia="PT Serif" w:cs="PT Serif" w:ascii="PT Serif" w:hAnsi="PT Serif"/>
          <w:i/>
          <w:color w:themeColor="text1" w:val="000000"/>
          <w:sz w:val="28"/>
          <w:szCs w:val="28"/>
        </w:rPr>
        <w:t>(рис.1-3).</w:t>
      </w:r>
    </w:p>
    <w:p>
      <w:pPr>
        <w:pStyle w:val="Normal"/>
        <w:ind w:hanging="2"/>
        <w:jc w:val="center"/>
        <w:rPr>
          <w:highlight w:val="none"/>
        </w:rPr>
      </w:pPr>
      <w:r>
        <w:rPr/>
      </w:r>
    </w:p>
    <w:p>
      <w:pPr>
        <w:pStyle w:val="Normal"/>
        <w:jc w:val="center"/>
        <w:rPr>
          <w:highlight w:val="none"/>
        </w:rPr>
      </w:pPr>
      <w:r>
        <w:rPr/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24"/>
          <w:szCs w:val="24"/>
          <w:highlight w:val="none"/>
        </w:rPr>
      </w:pPr>
      <w:r>
        <w:rPr>
          <w:rFonts w:eastAsia="PT Serif" w:cs="PT Serif" w:ascii="PT Serif" w:hAnsi="PT Serif"/>
          <w:b/>
          <w:bCs/>
          <w:i/>
          <w:color w:themeColor="text1" w:val="000000"/>
          <w:sz w:val="24"/>
          <w:szCs w:val="24"/>
        </w:rPr>
      </w:r>
    </w:p>
    <w:p>
      <w:pPr>
        <w:pStyle w:val="Normal"/>
        <w:jc w:val="center"/>
        <w:rPr>
          <w:highlight w:val="none"/>
        </w:rPr>
      </w:pPr>
      <w:r>
        <w:rPr/>
      </w:r>
    </w:p>
    <w:p>
      <w:pPr>
        <w:pStyle w:val="Normal"/>
        <w:jc w:val="center"/>
        <w:rPr>
          <w:highlight w:val="none"/>
        </w:rPr>
      </w:pPr>
      <w:r>
        <w:rPr/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24"/>
          <w:szCs w:val="24"/>
          <w:highlight w:val="none"/>
        </w:rPr>
      </w:pPr>
      <w:r>
        <w:rPr>
          <w:rFonts w:eastAsia="PT Serif" w:cs="PT Serif" w:ascii="PT Serif" w:hAnsi="PT Serif"/>
          <w:b/>
          <w:bCs/>
          <w:i/>
          <w:color w:themeColor="text1" w:val="000000"/>
          <w:sz w:val="24"/>
          <w:szCs w:val="24"/>
        </w:rPr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iCs/>
          <w:color w:themeColor="text1" w:val="000000"/>
          <w:sz w:val="24"/>
          <w:szCs w:val="24"/>
          <w:highlight w:val="none"/>
        </w:rPr>
      </w:pPr>
      <w:r>
        <w:rPr/>
        <w:drawing>
          <wp:inline distT="0" distB="0" distL="0" distR="0">
            <wp:extent cx="5661025" cy="405511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055110"/>
                    </a:xfrm>
                    <a:prstGeom prst="rect">
                      <a:avLst/>
                    </a:prstGeom>
                    <a:ln w="6350">
                      <a:solidFill>
                        <a:srgbClr val="25406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24"/>
          <w:szCs w:val="24"/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Рис.1. Прогноз аномалии средней температуры воздуха на предстоящий период*</w:t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24"/>
          <w:szCs w:val="24"/>
          <w:highlight w:val="none"/>
        </w:rPr>
      </w:pPr>
      <w:r>
        <w:rPr>
          <w:rFonts w:eastAsia="PT Serif" w:cs="PT Serif" w:ascii="PT Serif" w:hAnsi="PT Serif"/>
          <w:b/>
          <w:bCs/>
          <w:i/>
          <w:color w:themeColor="text1" w:val="000000"/>
          <w:sz w:val="24"/>
          <w:szCs w:val="24"/>
        </w:rPr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iCs/>
          <w:color w:themeColor="text1" w:val="000000"/>
          <w:sz w:val="24"/>
          <w:szCs w:val="24"/>
          <w:highlight w:val="none"/>
        </w:rPr>
      </w:pPr>
      <w:r>
        <w:rPr/>
        <w:drawing>
          <wp:inline distT="0" distB="0" distL="0" distR="0">
            <wp:extent cx="5661025" cy="4055110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055110"/>
                    </a:xfrm>
                    <a:prstGeom prst="rect">
                      <a:avLst/>
                    </a:prstGeom>
                    <a:ln w="6350">
                      <a:solidFill>
                        <a:srgbClr val="25406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Рис.2. Прогноз средней температуры воздуха на предстоящий период*</w:t>
      </w:r>
    </w:p>
    <w:p>
      <w:pPr>
        <w:pStyle w:val="Normal"/>
        <w:ind w:hanging="2"/>
        <w:jc w:val="center"/>
        <w:rPr>
          <w:rFonts w:ascii="PT Serif" w:hAnsi="PT Serif" w:eastAsia="PT Serif" w:cs="PT Serif"/>
          <w:b/>
          <w:bCs/>
          <w:i/>
          <w:i/>
          <w:iCs/>
          <w:color w:themeColor="text1" w:val="000000"/>
          <w:sz w:val="16"/>
          <w:szCs w:val="16"/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16"/>
          <w:szCs w:val="16"/>
        </w:rPr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24"/>
          <w:szCs w:val="24"/>
          <w:highlight w:val="none"/>
          <w14:ligatures w14:val="none"/>
        </w:rPr>
      </w:pPr>
      <w:r>
        <w:rPr/>
        <w:drawing>
          <wp:inline distT="0" distB="0" distL="0" distR="0">
            <wp:extent cx="5669915" cy="3634105"/>
            <wp:effectExtent l="0" t="0" r="0" b="0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634105"/>
                    </a:xfrm>
                    <a:prstGeom prst="rect">
                      <a:avLst/>
                    </a:prstGeom>
                    <a:ln w="12700">
                      <a:solidFill>
                        <a:srgbClr val="25406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iCs/>
          <w:color w:themeColor="text1" w:val="000000"/>
          <w:sz w:val="24"/>
          <w:szCs w:val="24"/>
          <w:highlight w:val="none"/>
          <w14:ligatures w14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Рис.3. Прогноз среднесуточной температуры воздуха, осадков и порывов ветра на предстоящий период**</w:t>
      </w:r>
    </w:p>
    <w:p>
      <w:pPr>
        <w:pStyle w:val="Normal"/>
        <w:ind w:hanging="2"/>
        <w:jc w:val="center"/>
        <w:rPr>
          <w:rFonts w:ascii="PT Serif" w:hAnsi="PT Serif" w:cs="PT Serif"/>
          <w:i/>
          <w:i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i/>
          <w:color w:themeColor="text1" w:val="000000"/>
          <w:sz w:val="16"/>
          <w:szCs w:val="16"/>
        </w:rPr>
      </w:r>
    </w:p>
    <w:p>
      <w:pPr>
        <w:pStyle w:val="Normal"/>
        <w:ind w:firstLine="567"/>
        <w:rPr>
          <w:highlight w:val="none"/>
        </w:rPr>
      </w:pPr>
      <w:r>
        <w:rPr>
          <w:rFonts w:eastAsia="PT Serif" w:cs="PT Serif" w:ascii="PT Serif" w:hAnsi="PT Serif"/>
          <w:i/>
          <w:color w:themeColor="text1" w:val="000000"/>
          <w:szCs w:val="28"/>
        </w:rPr>
        <w:t>* по данным</w:t>
      </w:r>
      <w:r>
        <w:rPr>
          <w:rFonts w:eastAsia="PT Serif" w:cs="PT Serif" w:ascii="PT Serif" w:hAnsi="PT Serif"/>
          <w:i/>
          <w:color w:themeColor="text1" w:val="000000"/>
          <w:sz w:val="18"/>
          <w:szCs w:val="21"/>
        </w:rPr>
        <w:t xml:space="preserve"> </w:t>
      </w:r>
      <w:r>
        <w:rPr>
          <w:rFonts w:eastAsia="PT Serif" w:cs="PT Serif" w:ascii="PT Serif" w:hAnsi="PT Serif"/>
          <w:i/>
          <w:color w:themeColor="text1" w:val="000000"/>
          <w:szCs w:val="28"/>
        </w:rPr>
        <w:t>Г</w:t>
      </w:r>
      <w:r>
        <w:rPr>
          <w:rFonts w:eastAsia="PT Serif" w:cs="PT Serif" w:ascii="PT Serif" w:hAnsi="PT Serif"/>
          <w:i/>
          <w:iCs/>
          <w:color w:themeColor="text1" w:val="000000"/>
          <w:szCs w:val="28"/>
        </w:rPr>
        <w:t xml:space="preserve">идрометцентра России </w:t>
      </w:r>
      <w:r>
        <w:rPr>
          <w:rFonts w:eastAsia="PT Serif" w:cs="PT Serif" w:ascii="PT Serif" w:hAnsi="PT Serif"/>
          <w:i/>
          <w:color w:themeColor="text1" w:val="000000"/>
          <w:szCs w:val="28"/>
        </w:rPr>
        <w:t>(https://www.</w:t>
      </w:r>
      <w:r>
        <w:rPr>
          <w:rFonts w:eastAsia="PT Serif" w:cs="PT Serif" w:ascii="PT Serif" w:hAnsi="PT Serif"/>
          <w:i/>
          <w:color w:themeColor="text1" w:val="000000"/>
          <w:szCs w:val="28"/>
          <w:lang w:val="en-US"/>
        </w:rPr>
        <w:t>meteoinfo</w:t>
      </w:r>
      <w:r>
        <w:rPr>
          <w:rFonts w:eastAsia="PT Serif" w:cs="PT Serif" w:ascii="PT Serif" w:hAnsi="PT Serif"/>
          <w:i/>
          <w:color w:themeColor="text1" w:val="000000"/>
          <w:szCs w:val="28"/>
        </w:rPr>
        <w:t>.</w:t>
      </w:r>
      <w:r>
        <w:rPr>
          <w:rFonts w:eastAsia="PT Serif" w:cs="PT Serif" w:ascii="PT Serif" w:hAnsi="PT Serif"/>
          <w:i/>
          <w:color w:themeColor="text1" w:val="000000"/>
          <w:szCs w:val="28"/>
          <w:lang w:val="en-US"/>
        </w:rPr>
        <w:t>ru</w:t>
      </w:r>
      <w:r>
        <w:rPr>
          <w:rFonts w:eastAsia="PT Serif" w:cs="PT Serif" w:ascii="PT Serif" w:hAnsi="PT Serif"/>
          <w:i/>
          <w:color w:themeColor="text1" w:val="000000"/>
          <w:szCs w:val="28"/>
        </w:rPr>
        <w:t>)</w:t>
      </w:r>
      <w:r>
        <w:rPr>
          <w:rFonts w:eastAsia="PT Serif" w:cs="PT Serif" w:ascii="PT Serif" w:hAnsi="PT Serif"/>
          <w:i/>
          <w:iCs/>
          <w:color w:themeColor="text1" w:val="000000"/>
          <w:szCs w:val="28"/>
        </w:rPr>
        <w:t>;</w:t>
      </w:r>
    </w:p>
    <w:p>
      <w:pPr>
        <w:pStyle w:val="Normal"/>
        <w:ind w:firstLine="567"/>
        <w:rPr>
          <w:highlight w:val="none"/>
        </w:rPr>
      </w:pPr>
      <w:r>
        <w:rPr>
          <w:rFonts w:eastAsia="PT Serif" w:cs="PT Serif" w:ascii="PT Serif" w:hAnsi="PT Serif"/>
          <w:i/>
          <w:color w:themeColor="text1" w:val="000000"/>
          <w:szCs w:val="28"/>
        </w:rPr>
        <w:t>**по данным источника - погодный сервис Ventusky (https://www.ventusky.com).</w:t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contextualSpacing/>
        <w:jc w:val="both"/>
        <w:outlineLvl w:val="0"/>
        <w:rPr>
          <w:highlight w:val="none"/>
        </w:rPr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firstLine="737" w:left="0"/>
        <w:contextualSpacing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 xml:space="preserve">2. Прогноз сильного ветра 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color w:themeColor="text1" w:val="000000"/>
          <w:sz w:val="28"/>
          <w:szCs w:val="28"/>
          <w:lang w:eastAsia="zh-CN" w:bidi="hi-IN"/>
        </w:rPr>
        <w:t>Сильный ветер</w:t>
      </w: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 xml:space="preserve">, на территории ХМАО – Югры, на предстоящий период </w:t>
      </w:r>
      <w:r>
        <w:rPr>
          <w:rFonts w:eastAsia="PT Serif" w:cs="PT Serif" w:ascii="PT Serif" w:hAnsi="PT Serif"/>
          <w:i/>
          <w:color w:themeColor="text1" w:val="000000"/>
          <w:sz w:val="28"/>
          <w:szCs w:val="28"/>
          <w:lang w:eastAsia="zh-CN" w:bidi="hi-IN"/>
        </w:rPr>
        <w:t xml:space="preserve">– </w:t>
      </w:r>
      <w:r>
        <w:rPr>
          <w:rFonts w:eastAsia="PT Serif" w:cs="PT Serif" w:ascii="PT Serif" w:hAnsi="PT Serif"/>
          <w:b/>
          <w:bCs/>
          <w:i/>
          <w:color w:themeColor="text1" w:val="000000"/>
          <w:sz w:val="28"/>
          <w:szCs w:val="28"/>
          <w:lang w:eastAsia="zh-CN" w:bidi="hi-IN"/>
        </w:rPr>
        <w:t>не прогнозируется.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color w:themeColor="text1" w:val="000000"/>
          <w:sz w:val="28"/>
          <w:szCs w:val="28"/>
          <w:lang w:eastAsia="zh-CN" w:bidi="hi-IN"/>
        </w:rPr>
        <w:t xml:space="preserve">3. </w:t>
      </w: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 xml:space="preserve">Прогноз сильных осадков 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color w:themeColor="text1" w:val="000000"/>
          <w:sz w:val="28"/>
          <w:szCs w:val="28"/>
          <w:lang w:eastAsia="zh-CN" w:bidi="hi-IN"/>
        </w:rPr>
        <w:t>Сильные осадки</w:t>
      </w: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 xml:space="preserve">, на территории ХМАО – Югры, на предстоящий период </w:t>
      </w:r>
      <w:r>
        <w:rPr>
          <w:rFonts w:eastAsia="PT Serif" w:cs="PT Serif" w:ascii="PT Serif" w:hAnsi="PT Serif"/>
          <w:i/>
          <w:color w:themeColor="text1" w:val="000000"/>
          <w:sz w:val="28"/>
          <w:szCs w:val="28"/>
          <w:lang w:eastAsia="zh-CN" w:bidi="hi-IN"/>
        </w:rPr>
        <w:t xml:space="preserve">– </w:t>
      </w:r>
      <w:r>
        <w:rPr>
          <w:rFonts w:eastAsia="PT Serif" w:cs="PT Serif" w:ascii="PT Serif" w:hAnsi="PT Serif"/>
          <w:b/>
          <w:bCs/>
          <w:i/>
          <w:color w:themeColor="text1" w:val="000000"/>
          <w:sz w:val="28"/>
          <w:szCs w:val="28"/>
          <w:lang w:eastAsia="zh-CN" w:bidi="hi-IN"/>
        </w:rPr>
        <w:t>не прогнозируются.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 xml:space="preserve">4. Прогноз опасных и неблагоприятных явлений погоды </w:t>
      </w:r>
    </w:p>
    <w:p>
      <w:pPr>
        <w:pStyle w:val="14"/>
        <w:ind w:firstLine="708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color w:themeColor="text1" w:val="000000"/>
          <w:position w:val="-1"/>
          <w:sz w:val="28"/>
          <w:szCs w:val="28"/>
          <w:lang w:eastAsia="ru-RU"/>
        </w:rPr>
        <w:t xml:space="preserve">ОЯ – </w:t>
      </w:r>
      <w:r>
        <w:rPr>
          <w:rFonts w:eastAsia="PT Serif" w:cs="PT Serif" w:ascii="PT Serif" w:hAnsi="PT Serif"/>
          <w:b/>
          <w:bCs/>
          <w:color w:themeColor="text1" w:val="000000"/>
          <w:sz w:val="28"/>
          <w:szCs w:val="28"/>
        </w:rPr>
        <w:t>не прогнозируется.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Cs/>
          <w:color w:themeColor="text1" w:val="000000"/>
          <w:position w:val="-1"/>
          <w:sz w:val="28"/>
          <w:szCs w:val="28"/>
          <w:lang w:bidi="hi-IN"/>
        </w:rPr>
        <w:t xml:space="preserve">НЯ – </w:t>
      </w:r>
      <w:r>
        <w:rPr>
          <w:rFonts w:eastAsia="PT Serif" w:cs="PT Serif" w:ascii="PT Serif" w:hAnsi="PT Serif"/>
          <w:b/>
          <w:bCs/>
          <w:color w:themeColor="text1" w:val="000000"/>
          <w:sz w:val="28"/>
          <w:szCs w:val="28"/>
        </w:rPr>
        <w:t>не прогнозируется.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/>
      </w:r>
    </w:p>
    <w:p>
      <w:pPr>
        <w:pStyle w:val="Normal"/>
        <w:ind w:firstLine="567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color w:themeColor="text1" w:val="000000"/>
          <w:position w:val="-1"/>
          <w:sz w:val="28"/>
          <w:szCs w:val="28"/>
          <w:lang w:val="en-US"/>
        </w:rPr>
        <w:t>III</w:t>
      </w:r>
      <w:r>
        <w:rPr>
          <w:rFonts w:eastAsia="PT Serif" w:cs="PT Serif" w:ascii="PT Serif" w:hAnsi="PT Serif"/>
          <w:b/>
          <w:bCs/>
          <w:color w:themeColor="text1" w:val="000000"/>
          <w:position w:val="-1"/>
          <w:sz w:val="28"/>
          <w:szCs w:val="28"/>
        </w:rPr>
        <w:t>. Гидрологическая обстановка на территории ХМАО-Югры:</w:t>
      </w:r>
    </w:p>
    <w:p>
      <w:pPr>
        <w:pStyle w:val="Normal"/>
        <w:numPr>
          <w:ilvl w:val="0"/>
          <w:numId w:val="0"/>
        </w:numPr>
        <w:ind w:firstLine="709" w:left="0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 xml:space="preserve">1. </w:t>
      </w: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>Установление ледостава и вскрытие рек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sz w:val="28"/>
          <w:szCs w:val="28"/>
        </w:rPr>
        <w:t>На всех реках округа – ледостав</w:t>
      </w: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.</w:t>
      </w:r>
    </w:p>
    <w:p>
      <w:pPr>
        <w:pStyle w:val="Normal"/>
        <w:numPr>
          <w:ilvl w:val="0"/>
          <w:numId w:val="0"/>
        </w:numPr>
        <w:ind w:hanging="0" w:left="709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>2. Уровневый режим основных рек</w:t>
      </w:r>
    </w:p>
    <w:p>
      <w:pPr>
        <w:pStyle w:val="Normal"/>
        <w:spacing w:before="0" w:after="0"/>
        <w:ind w:firstLine="709"/>
        <w:contextualSpacing/>
        <w:jc w:val="both"/>
        <w:rPr>
          <w:rFonts w:ascii="PT Serif" w:hAnsi="PT Serif" w:eastAsia="PT Serif" w:cs="PT Serif"/>
          <w:sz w:val="28"/>
          <w:szCs w:val="28"/>
          <w:highlight w:val="none"/>
        </w:rPr>
      </w:pPr>
      <w:r>
        <w:rPr>
          <w:rFonts w:eastAsia="PT Serif" w:cs="PT Serif" w:ascii="PT Serif" w:hAnsi="PT Serif"/>
          <w:sz w:val="28"/>
          <w:szCs w:val="28"/>
        </w:rPr>
        <w:t>Оперативные наблюдения за уровнями рек в период ледостава не ведутся.</w:t>
      </w:r>
    </w:p>
    <w:p>
      <w:pPr>
        <w:pStyle w:val="Normal"/>
        <w:ind w:left="709"/>
        <w:jc w:val="both"/>
        <w:rPr>
          <w:rFonts w:ascii="PT Serif" w:hAnsi="PT Serif" w:eastAsia="Arial" w:cs="PT Serif" w:eastAsiaTheme="minorHAnsi"/>
          <w:i/>
          <w:i/>
          <w:color w:themeColor="text1" w:val="000000"/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 xml:space="preserve">3. Толщина льда на водоемах, отклонения от нормы </w:t>
      </w:r>
    </w:p>
    <w:p>
      <w:pPr>
        <w:pStyle w:val="Normal"/>
        <w:spacing w:before="0" w:after="0"/>
        <w:ind w:firstLine="709"/>
        <w:contextualSpacing/>
        <w:jc w:val="both"/>
        <w:rPr>
          <w:rFonts w:ascii="PT Serif" w:hAnsi="PT Serif" w:eastAsia="PT Serif" w:cs="PT Serif"/>
          <w:i/>
          <w:i/>
          <w:iCs/>
          <w:sz w:val="28"/>
          <w:szCs w:val="28"/>
          <w:highlight w:val="none"/>
        </w:rPr>
      </w:pPr>
      <w:r>
        <w:rPr>
          <w:rFonts w:eastAsia="PT Serif" w:cs="PT Serif" w:ascii="PT Serif" w:hAnsi="PT Serif"/>
          <w:sz w:val="28"/>
          <w:szCs w:val="28"/>
        </w:rPr>
        <w:t xml:space="preserve">Толщина льда, на реках ХМАО-Югры, составляет от 42 до 64 см (80-91 % нормы) - </w:t>
      </w:r>
      <w:r>
        <w:rPr>
          <w:rFonts w:eastAsia="PT Serif" w:cs="PT Serif" w:ascii="PT Serif" w:hAnsi="PT Serif"/>
          <w:i/>
          <w:iCs/>
          <w:sz w:val="28"/>
          <w:szCs w:val="28"/>
        </w:rPr>
        <w:t>таблица 1.</w:t>
      </w:r>
    </w:p>
    <w:p>
      <w:pPr>
        <w:pStyle w:val="23"/>
        <w:tabs>
          <w:tab w:val="clear" w:pos="720"/>
          <w:tab w:val="left" w:pos="1134" w:leader="none"/>
        </w:tabs>
        <w:spacing w:before="0" w:after="0"/>
        <w:ind w:firstLine="709" w:left="0"/>
        <w:contextualSpacing/>
        <w:jc w:val="both"/>
        <w:rPr>
          <w:rFonts w:eastAsia="Arial" w:eastAsiaTheme="minorHAnsi"/>
          <w:b w:val="false"/>
          <w:bCs w:val="false"/>
          <w:color w:themeColor="text1" w:val="000000"/>
          <w:spacing w:val="0"/>
          <w:sz w:val="16"/>
          <w:szCs w:val="16"/>
          <w:highlight w:val="none"/>
        </w:rPr>
      </w:pPr>
      <w:r>
        <w:rPr>
          <w:rFonts w:eastAsia="Arial" w:eastAsiaTheme="minorHAnsi"/>
          <w:b w:val="false"/>
          <w:bCs w:val="false"/>
          <w:color w:themeColor="text1" w:val="000000"/>
          <w:spacing w:val="0"/>
          <w:sz w:val="16"/>
          <w:szCs w:val="16"/>
        </w:rPr>
      </w:r>
    </w:p>
    <w:p>
      <w:pPr>
        <w:pStyle w:val="Normal"/>
        <w:numPr>
          <w:ilvl w:val="0"/>
          <w:numId w:val="0"/>
        </w:numPr>
        <w:spacing w:lineRule="atLeast" w:line="1"/>
        <w:ind w:hanging="2" w:left="0" w:right="-1"/>
        <w:jc w:val="center"/>
        <w:outlineLvl w:val="0"/>
        <w:rPr>
          <w:rFonts w:eastAsia="Times New Roman" w:cs="Calibri"/>
          <w:b/>
          <w:color w:themeColor="text1" w:val="000000"/>
          <w:sz w:val="24"/>
          <w:szCs w:val="24"/>
          <w:highlight w:val="none"/>
        </w:rPr>
      </w:pPr>
      <w:r>
        <w:rPr>
          <w:rFonts w:eastAsia="Times New Roman" w:cs="Times New Roman"/>
          <w:b/>
          <w:i/>
          <w:color w:themeColor="text1" w:val="000000"/>
          <w:position w:val="-1"/>
          <w:sz w:val="24"/>
          <w:szCs w:val="24"/>
        </w:rPr>
        <w:t xml:space="preserve">Таблица 1. </w:t>
      </w:r>
      <w:r>
        <w:rPr>
          <w:rFonts w:eastAsia="Times New Roman" w:cs="Calibri"/>
          <w:b/>
          <w:color w:themeColor="text1" w:val="000000"/>
          <w:position w:val="-1"/>
          <w:sz w:val="24"/>
          <w:szCs w:val="24"/>
        </w:rPr>
        <w:t>Фактические данные по толщине льда на территории ХМАО*</w:t>
      </w:r>
    </w:p>
    <w:tbl>
      <w:tblPr>
        <w:tblW w:w="935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272"/>
        <w:gridCol w:w="1984"/>
        <w:gridCol w:w="1888"/>
        <w:gridCol w:w="1089"/>
        <w:gridCol w:w="1560"/>
        <w:gridCol w:w="1557"/>
      </w:tblGrid>
      <w:tr>
        <w:trPr>
          <w:trHeight w:val="124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firstLine="35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Субъект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firstLine="41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Река, водоем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Пункт измерения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firstLine="38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Фактическая толщина льда, см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Толщина льда на аналогичный период прошлого года, см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 w:right="-1"/>
              <w:jc w:val="center"/>
              <w:outlineLvl w:val="0"/>
              <w:rPr>
                <w:rFonts w:ascii="PT Serif" w:hAnsi="PT Serif" w:cs="PT Serif"/>
                <w:b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  <w:position w:val="-1"/>
              </w:rPr>
              <w:t>Среднемноголетняя толщина льда на этот период, см</w:t>
            </w:r>
          </w:p>
        </w:tc>
      </w:tr>
      <w:tr>
        <w:trPr>
          <w:trHeight w:val="246" w:hRule="atLeast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firstLine="35" w:left="-1" w:right="-1"/>
              <w:jc w:val="center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ХМАО-Югра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Иртыш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0" w:left="-6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Ханты-Мансийск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left="24"/>
              <w:contextualSpacing/>
              <w:jc w:val="center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left="24"/>
              <w:contextualSpacing/>
              <w:jc w:val="center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55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left="24"/>
              <w:contextualSpacing/>
              <w:jc w:val="center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71</w:t>
            </w:r>
          </w:p>
        </w:tc>
      </w:tr>
      <w:tr>
        <w:trPr>
          <w:trHeight w:val="208" w:hRule="atLeast"/>
        </w:trPr>
        <w:tc>
          <w:tcPr>
            <w:tcW w:w="1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eastAsia="Times New Roman" w:cs="Times New Roman"/>
                <w:highlight w:val="green"/>
              </w:rPr>
            </w:pPr>
            <w:r>
              <w:rPr>
                <w:rFonts w:eastAsia="Times New Roman" w:cs="Times New Roman"/>
                <w:highlight w:val="gree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Обь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Октябрьское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42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63</w:t>
            </w:r>
          </w:p>
        </w:tc>
      </w:tr>
      <w:tr>
        <w:trPr>
          <w:trHeight w:val="169" w:hRule="atLeast"/>
        </w:trPr>
        <w:tc>
          <w:tcPr>
            <w:tcW w:w="1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eastAsia="Times New Roman" w:cs="Times New Roman"/>
                <w:highlight w:val="green"/>
              </w:rPr>
            </w:pPr>
            <w:r>
              <w:rPr>
                <w:rFonts w:eastAsia="Times New Roman" w:cs="Times New Roman"/>
                <w:highlight w:val="gree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Конда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Чантырья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23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52</w:t>
            </w:r>
          </w:p>
        </w:tc>
      </w:tr>
      <w:tr>
        <w:trPr>
          <w:trHeight w:val="132" w:hRule="atLeast"/>
        </w:trPr>
        <w:tc>
          <w:tcPr>
            <w:tcW w:w="1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eastAsia="Times New Roman" w:cs="Times New Roman"/>
                <w:highlight w:val="green"/>
              </w:rPr>
            </w:pPr>
            <w:r>
              <w:rPr>
                <w:rFonts w:eastAsia="Times New Roman" w:cs="Times New Roman"/>
                <w:highlight w:val="gree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Северная Сосьва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Березово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57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68</w:t>
            </w:r>
          </w:p>
        </w:tc>
      </w:tr>
      <w:tr>
        <w:trPr>
          <w:trHeight w:val="193" w:hRule="atLeast"/>
        </w:trPr>
        <w:tc>
          <w:tcPr>
            <w:tcW w:w="1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eastAsia="Times New Roman" w:cs="Times New Roman"/>
                <w:highlight w:val="green"/>
              </w:rPr>
            </w:pPr>
            <w:r>
              <w:rPr>
                <w:rFonts w:eastAsia="Times New Roman" w:cs="Times New Roman"/>
                <w:highlight w:val="gree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Обь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tLeast" w:line="1"/>
              <w:ind w:hanging="1" w:left="-1"/>
              <w:outlineLvl w:val="0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</w:rPr>
              <w:t>Белогорье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48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82" w:leader="none"/>
                <w:tab w:val="right" w:pos="2185" w:leader="none"/>
              </w:tabs>
              <w:spacing w:before="0" w:after="0"/>
              <w:ind w:hanging="0" w:left="24"/>
              <w:contextualSpacing/>
              <w:jc w:val="center"/>
              <w:outlineLvl w:val="0"/>
              <w:rPr>
                <w:color w:themeColor="text1" w:val="000000"/>
                <w:highlight w:val="none"/>
              </w:rPr>
            </w:pPr>
            <w:r>
              <w:rPr>
                <w:color w:themeColor="text1" w:val="000000"/>
              </w:rPr>
              <w:t>-</w:t>
            </w:r>
          </w:p>
        </w:tc>
      </w:tr>
    </w:tbl>
    <w:p>
      <w:pPr>
        <w:pStyle w:val="Normal"/>
        <w:numPr>
          <w:ilvl w:val="0"/>
          <w:numId w:val="0"/>
        </w:numPr>
        <w:spacing w:lineRule="atLeast" w:line="1"/>
        <w:ind w:firstLine="709" w:left="0" w:right="-1"/>
        <w:outlineLvl w:val="0"/>
        <w:rPr>
          <w:rFonts w:eastAsia="Times New Roman" w:cs="Calibri"/>
          <w:color w:themeColor="text1" w:val="000000"/>
          <w:highlight w:val="none"/>
        </w:rPr>
      </w:pPr>
      <w:r>
        <w:rPr>
          <w:rFonts w:eastAsia="Times New Roman" w:cs="Calibri"/>
          <w:color w:themeColor="text1" w:val="000000"/>
          <w:position w:val="-1"/>
        </w:rPr>
        <w:t>*данные по толщине льда обновляются 10, 20, 30, (31) числа каждого месяца.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/>
      </w:r>
    </w:p>
    <w:p>
      <w:pPr>
        <w:pStyle w:val="Normal"/>
        <w:ind w:firstLine="709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>4. Толщина льда на затороопасных участках рек и аномалий толщины льда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sz w:val="28"/>
          <w:szCs w:val="28"/>
        </w:rPr>
        <w:t xml:space="preserve">Толщина льда на затороопасных участках рек – в пределах нормы </w:t>
      </w:r>
      <w:r>
        <w:rPr>
          <w:rFonts w:eastAsia="PT Serif" w:cs="PT Serif" w:ascii="PT Serif" w:hAnsi="PT Serif"/>
          <w:i/>
          <w:iCs/>
          <w:sz w:val="28"/>
          <w:szCs w:val="28"/>
        </w:rPr>
        <w:t>(таблица 2).</w:t>
      </w:r>
    </w:p>
    <w:p>
      <w:pPr>
        <w:pStyle w:val="Normal"/>
        <w:jc w:val="center"/>
        <w:rPr>
          <w:rFonts w:ascii="PT Serif" w:hAnsi="PT Serif" w:eastAsia="PT Serif" w:cs="PT Serif"/>
          <w:b/>
          <w:bCs/>
          <w:i/>
          <w:i/>
          <w:color w:themeColor="text1" w:val="000000"/>
          <w:sz w:val="16"/>
          <w:szCs w:val="16"/>
          <w:highlight w:val="none"/>
        </w:rPr>
      </w:pPr>
      <w:r>
        <w:rPr>
          <w:rFonts w:eastAsia="PT Serif" w:cs="PT Serif" w:ascii="PT Serif" w:hAnsi="PT Serif"/>
          <w:b/>
          <w:bCs/>
          <w:i/>
          <w:color w:themeColor="text1" w:val="000000"/>
          <w:sz w:val="16"/>
          <w:szCs w:val="16"/>
        </w:rPr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Таблица 2. Фактические данные по толщине льда на затороопасных участках на территории ХМАО</w:t>
      </w:r>
    </w:p>
    <w:tbl>
      <w:tblPr>
        <w:tblW w:w="93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61"/>
        <w:gridCol w:w="1174"/>
        <w:gridCol w:w="5533"/>
        <w:gridCol w:w="1952"/>
      </w:tblGrid>
      <w:tr>
        <w:trPr>
          <w:tblHeader w:val="true"/>
          <w:trHeight w:val="618" w:hRule="atLeast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bottom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</w:rPr>
              <w:t xml:space="preserve">№ </w:t>
            </w:r>
            <w:r>
              <w:rPr>
                <w:rFonts w:eastAsia="PT Serif" w:cs="PT Serif" w:ascii="PT Serif" w:hAnsi="PT Serif"/>
                <w:b/>
              </w:rPr>
              <w:t>п/п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</w:rPr>
              <w:t>Водоток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</w:rPr>
              <w:t>Характерные места образования заторов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</w:rPr>
              <w:t>Толщина льда, см</w:t>
            </w:r>
          </w:p>
        </w:tc>
      </w:tr>
      <w:tr>
        <w:trPr>
          <w:trHeight w:val="375" w:hRule="atLeast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1.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ind w:firstLine="32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р. Обь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</w:tcPr>
          <w:p>
            <w:pPr>
              <w:pStyle w:val="Normal"/>
              <w:jc w:val="both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1208-1212 км судоходного пути пр. Нялинская Обь в районе с. Нялинское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72</w:t>
            </w:r>
          </w:p>
        </w:tc>
      </w:tr>
      <w:tr>
        <w:trPr>
          <w:trHeight w:val="315" w:hRule="atLeast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2.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р. Обь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rPr>
                <w:highlight w:val="none"/>
              </w:rPr>
            </w:pPr>
            <w:r>
              <w:rPr>
                <w:rFonts w:eastAsia="PT Serif" w:cs="PT Serif" w:ascii="PT Serif" w:hAnsi="PT Serif"/>
              </w:rPr>
              <w:t>1135-1152 км судоходного пути р. Обь в районе п. Кирпичный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/>
              <w:t>75</w:t>
            </w:r>
          </w:p>
        </w:tc>
      </w:tr>
    </w:tbl>
    <w:p>
      <w:pPr>
        <w:pStyle w:val="Normal"/>
        <w:ind w:firstLine="709"/>
        <w:jc w:val="both"/>
        <w:rPr>
          <w:rFonts w:ascii="PT Serif" w:hAnsi="PT Serif" w:cs="PT Serif"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color w:themeColor="text1" w:val="000000"/>
          <w:sz w:val="16"/>
          <w:szCs w:val="16"/>
        </w:rPr>
      </w:r>
    </w:p>
    <w:p>
      <w:pPr>
        <w:pStyle w:val="Normal"/>
        <w:ind w:firstLine="567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color w:themeColor="text1" w:val="000000"/>
          <w:position w:val="-1"/>
          <w:sz w:val="28"/>
          <w:szCs w:val="28"/>
          <w:lang w:val="en-US"/>
        </w:rPr>
        <w:t>IV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.Параметры прогноза возможных ЧС на территории ХМАО-Югры на предстоящую неделю:</w:t>
      </w:r>
    </w:p>
    <w:p>
      <w:pPr>
        <w:pStyle w:val="ListParagraph"/>
        <w:numPr>
          <w:ilvl w:val="3"/>
          <w:numId w:val="1"/>
        </w:numPr>
        <w:tabs>
          <w:tab w:val="clear" w:pos="720"/>
          <w:tab w:val="left" w:pos="851" w:leader="none"/>
          <w:tab w:val="left" w:pos="993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 xml:space="preserve">Прогноз солнечной активности и геомагнитной обстановки </w:t>
      </w:r>
      <w:r>
        <w:rPr>
          <w:rFonts w:eastAsia="PT Serif" w:cs="PT Serif" w:ascii="PT Serif" w:hAnsi="PT Serif"/>
          <w:i/>
          <w:color w:themeColor="text1" w:val="000000"/>
          <w:sz w:val="28"/>
          <w:szCs w:val="28"/>
        </w:rPr>
        <w:t xml:space="preserve">(по данным ИЗМИРАН). </w:t>
      </w:r>
    </w:p>
    <w:p>
      <w:pPr>
        <w:pStyle w:val="ListParagraph"/>
        <w:tabs>
          <w:tab w:val="clear" w:pos="720"/>
          <w:tab w:val="left" w:pos="851" w:leader="none"/>
          <w:tab w:val="left" w:pos="993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  <w:lang w:val="en-US"/>
        </w:rPr>
        <w:t>C</w:t>
      </w:r>
      <w:r>
        <w:rPr>
          <w:rFonts w:eastAsia="PT Serif" w:cs="PT Serif" w:ascii="PT Serif" w:hAnsi="PT Serif"/>
          <w:color w:val="000000"/>
          <w:sz w:val="28"/>
          <w:szCs w:val="28"/>
        </w:rPr>
        <w:t xml:space="preserve"> 09 по 15 февраля 2026 года </w:t>
      </w: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>солнечная активность ожидается в диапазоне от среднего – до высокого уровня, а геомагнитная обстановка от спокойной – до возмущенной.</w:t>
      </w:r>
    </w:p>
    <w:p>
      <w:pPr>
        <w:pStyle w:val="ListParagraph"/>
        <w:numPr>
          <w:ilvl w:val="3"/>
          <w:numId w:val="1"/>
        </w:numPr>
        <w:tabs>
          <w:tab w:val="clear" w:pos="720"/>
          <w:tab w:val="left" w:pos="851" w:leader="none"/>
          <w:tab w:val="left" w:pos="993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</w:rPr>
        <w:t>Прогноз рисков возникновения ЧС и происшествий, обусловленных провалами людей и техники под лед водоемо</w:t>
      </w:r>
      <w:r>
        <w:rPr>
          <w:rFonts w:eastAsia="PT Astra Serif" w:cs="Times New Roman"/>
          <w:b/>
          <w:i/>
          <w:sz w:val="28"/>
          <w:szCs w:val="28"/>
        </w:rPr>
        <w:t>в</w:t>
      </w:r>
    </w:p>
    <w:p>
      <w:pPr>
        <w:pStyle w:val="ListParagraph"/>
        <w:tabs>
          <w:tab w:val="clear" w:pos="720"/>
          <w:tab w:val="left" w:pos="851" w:leader="none"/>
          <w:tab w:val="left" w:pos="993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  <w:lang w:eastAsia="zh-CN" w:bidi="hi-IN"/>
        </w:rPr>
        <w:t>Прогнозируется возникновение несчастных случаев по факту нарушения правил охраны жизни людей на водных объектах (возможны происшествия, обусловленные провалами людей и техники под лед водоемов). Основная причина – несоблюдение техники безопасности при нахождении на водных объектах территории округа, нарушения запрета выхода людей и техники на неокрепший лед.</w:t>
      </w:r>
    </w:p>
    <w:p>
      <w:pPr>
        <w:pStyle w:val="ListParagraph"/>
        <w:numPr>
          <w:ilvl w:val="3"/>
          <w:numId w:val="1"/>
        </w:numPr>
        <w:tabs>
          <w:tab w:val="clear" w:pos="720"/>
          <w:tab w:val="left" w:pos="851" w:leader="none"/>
          <w:tab w:val="left" w:pos="993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</w:rPr>
        <w:t>Прогноз рисков возникновения ЧС и происшествий, обусловленных авариями на электроэнергетических системах</w:t>
      </w: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 xml:space="preserve"> </w:t>
      </w:r>
    </w:p>
    <w:p>
      <w:pPr>
        <w:pStyle w:val="Normal"/>
        <w:ind w:firstLine="708" w:left="1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 xml:space="preserve">Возникновение аварий, способных достигнуть масштабов ЧС локального уровня и выше, 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не прогнозируется.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 xml:space="preserve">Прогноз рисков возникновения ЧС и происшествий, обусловленных авариями на коммунальных системах жизнеобеспечения </w:t>
      </w:r>
    </w:p>
    <w:p>
      <w:pPr>
        <w:pStyle w:val="Normal"/>
        <w:ind w:firstLine="708" w:left="1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 xml:space="preserve">Возникновение аварий, способных достигнуть масштабов ЧС локального уровня и выше, 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не прогнозируется.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>Прогноз рисков увеличения количества техногенных пожаров</w:t>
      </w:r>
    </w:p>
    <w:p>
      <w:pPr>
        <w:pStyle w:val="Normal"/>
        <w:ind w:firstLine="703" w:left="1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 xml:space="preserve">Техногенные пожары в зданиях и сооружениях жилого, социально-бытового и культурного назначения, на территории автономного округа ожидаются около среднемноголетних значений </w:t>
      </w:r>
      <w:r>
        <w:rPr>
          <w:rFonts w:eastAsia="PT Serif" w:cs="PT Serif" w:ascii="PT Serif" w:hAnsi="PT Serif"/>
          <w:i/>
          <w:color w:themeColor="text1" w:val="000000"/>
          <w:position w:val="-1"/>
          <w:sz w:val="28"/>
          <w:szCs w:val="28"/>
        </w:rPr>
        <w:t>(таблица 3).</w:t>
      </w:r>
    </w:p>
    <w:p>
      <w:pPr>
        <w:pStyle w:val="Normal"/>
        <w:ind w:firstLine="703" w:left="1"/>
        <w:jc w:val="both"/>
        <w:rPr>
          <w:highlight w:val="none"/>
        </w:rPr>
      </w:pPr>
      <w:r>
        <w:rPr>
          <w:rFonts w:eastAsia="PT Serif" w:cs="PT Serif" w:ascii="PT Serif" w:hAnsi="PT Serif"/>
          <w:bCs/>
          <w:color w:themeColor="text1" w:val="000000"/>
          <w:sz w:val="28"/>
          <w:szCs w:val="28"/>
          <w:lang w:bidi="hi-IN"/>
        </w:rPr>
        <w:t xml:space="preserve">В предстоящий период, </w:t>
      </w: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 xml:space="preserve">на территории автономного округа, прогнозируется возникновение </w:t>
      </w:r>
      <w:r>
        <w:rPr>
          <w:rFonts w:eastAsia="PT Serif" w:cs="PT Serif" w:ascii="PT Serif" w:hAnsi="PT Serif"/>
          <w:b/>
          <w:bCs/>
          <w:color w:themeColor="text1" w:val="000000"/>
          <w:position w:val="-1"/>
          <w:sz w:val="28"/>
          <w:szCs w:val="28"/>
        </w:rPr>
        <w:t>40-50</w:t>
      </w: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 xml:space="preserve"> техногенных пожаров.</w:t>
      </w:r>
    </w:p>
    <w:p>
      <w:pPr>
        <w:pStyle w:val="Normal"/>
        <w:ind w:firstLine="361"/>
        <w:jc w:val="center"/>
        <w:rPr>
          <w:rFonts w:ascii="PT Serif" w:hAnsi="PT Serif" w:cs="PT Serif"/>
          <w:b/>
          <w:i/>
          <w:i/>
          <w:color w:themeColor="text1" w:val="000000"/>
          <w:sz w:val="16"/>
          <w:szCs w:val="24"/>
          <w:highlight w:val="none"/>
        </w:rPr>
      </w:pPr>
      <w:r>
        <w:rPr>
          <w:rFonts w:cs="PT Serif" w:ascii="PT Serif" w:hAnsi="PT Serif"/>
          <w:b/>
          <w:i/>
          <w:color w:themeColor="text1" w:val="000000"/>
          <w:sz w:val="16"/>
          <w:szCs w:val="24"/>
        </w:rPr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 xml:space="preserve">Таблица 3. Среднемноголетнее количество техногенных пожаров </w:t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за неделю в феврале, за период 2021-2025 гг.</w:t>
      </w:r>
    </w:p>
    <w:tbl>
      <w:tblPr>
        <w:tblW w:w="74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2276"/>
        <w:gridCol w:w="1478"/>
        <w:gridCol w:w="2168"/>
        <w:gridCol w:w="1477"/>
      </w:tblGrid>
      <w:tr>
        <w:trPr>
          <w:trHeight w:val="25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Районы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количество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Городские округа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количество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Белоярский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Когалым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Березовский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Лангепас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  <w:tr>
        <w:trPr>
          <w:trHeight w:val="113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Кондинский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Мегион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  <w:tr>
        <w:trPr>
          <w:trHeight w:val="117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Нефтеюганский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Нефтеюганск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Нижневартовский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Нижневартовск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7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Октябрьский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Нягань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Советский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Покачи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Сургутский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Пыть-Ях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Ханты-Мансийский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Радужный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Сургут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9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Урай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Ханты-Мансийск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3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Югорск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1</w:t>
            </w:r>
          </w:p>
        </w:tc>
      </w:tr>
    </w:tbl>
    <w:p>
      <w:pPr>
        <w:pStyle w:val="ListParagraph"/>
        <w:widowControl w:val="false"/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left="0"/>
        <w:jc w:val="both"/>
        <w:rPr>
          <w:rFonts w:ascii="PT Serif" w:hAnsi="PT Serif" w:cs="PT Serif"/>
          <w:b/>
          <w:bCs/>
          <w:i/>
          <w:i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b/>
          <w:bCs/>
          <w:i/>
          <w:color w:themeColor="text1" w:val="000000"/>
          <w:sz w:val="16"/>
          <w:szCs w:val="16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firstLine="709" w:left="0"/>
        <w:jc w:val="both"/>
        <w:rPr>
          <w:rFonts w:cs="Times New Roman"/>
          <w:color w:themeColor="text1" w:val="000000"/>
          <w:sz w:val="28"/>
          <w:szCs w:val="28"/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</w:rPr>
        <w:t>Прогноз рисков возникновения ЧС и происшествий, обусловленных обрушением конструкций зданий и сооружений</w:t>
      </w:r>
      <w:r>
        <w:rPr>
          <w:rFonts w:eastAsia="Times New Roman" w:cs="Times New Roman"/>
          <w:color w:themeColor="text1" w:val="000000"/>
          <w:sz w:val="28"/>
          <w:szCs w:val="28"/>
        </w:rPr>
        <w:t xml:space="preserve"> </w:t>
      </w:r>
    </w:p>
    <w:p>
      <w:pPr>
        <w:pStyle w:val="Normal"/>
        <w:ind w:firstLine="706" w:left="1"/>
        <w:jc w:val="both"/>
        <w:rPr>
          <w:rFonts w:ascii="PT Serif" w:hAnsi="PT Serif" w:eastAsia="PT Serif" w:cs="PT Serif"/>
          <w:b/>
          <w:i/>
          <w:i/>
          <w:color w:themeColor="text1" w:val="000000"/>
          <w:sz w:val="28"/>
          <w:szCs w:val="28"/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 xml:space="preserve">Возникновения рисков, связанных с обрушением конструкций зданий и сооружений, на предстоящий период – </w:t>
      </w:r>
      <w:r>
        <w:rPr>
          <w:rFonts w:eastAsia="PT Serif" w:cs="PT Serif" w:ascii="PT Serif" w:hAnsi="PT Serif"/>
          <w:b/>
          <w:bCs/>
          <w:color w:themeColor="text1" w:val="000000"/>
          <w:sz w:val="28"/>
          <w:szCs w:val="28"/>
        </w:rPr>
        <w:t xml:space="preserve">не прогнозируется. 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 xml:space="preserve">Прогноз рисков затруднения в движении транспорта и увеличения количества ДТП и происшествий на дорогах федерального, регионального и местного значения 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 xml:space="preserve">Чрезвычайные ситуации, обусловленные дорожно-транспортными происшествиями, </w:t>
      </w:r>
      <w:r>
        <w:rPr>
          <w:rFonts w:eastAsia="PT Serif" w:cs="PT Serif" w:ascii="PT Serif" w:hAnsi="PT Serif"/>
          <w:b/>
          <w:color w:themeColor="text1" w:val="000000"/>
          <w:sz w:val="28"/>
          <w:szCs w:val="28"/>
        </w:rPr>
        <w:t>не прогнозируются.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Cs/>
          <w:color w:themeColor="text1" w:val="000000"/>
          <w:sz w:val="28"/>
          <w:szCs w:val="28"/>
          <w:lang w:bidi="hi-IN"/>
        </w:rPr>
        <w:t xml:space="preserve">В предстоящий период, </w:t>
      </w: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 xml:space="preserve">на территории автономного округа, количество </w:t>
      </w:r>
      <w:r>
        <w:rPr>
          <w:rFonts w:eastAsia="PT Serif" w:cs="PT Serif" w:ascii="PT Serif" w:hAnsi="PT Serif"/>
          <w:color w:themeColor="text1" w:val="000000"/>
          <w:sz w:val="28"/>
          <w:szCs w:val="28"/>
        </w:rPr>
        <w:t xml:space="preserve">ДТП, ожидается около среднемноголетних значений </w:t>
      </w:r>
      <w:r>
        <w:rPr>
          <w:rFonts w:eastAsia="PT Serif" w:cs="PT Serif" w:ascii="PT Serif" w:hAnsi="PT Serif"/>
          <w:i/>
          <w:color w:themeColor="text1" w:val="000000"/>
          <w:sz w:val="28"/>
          <w:szCs w:val="28"/>
        </w:rPr>
        <w:t>(таблица 4).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На автодорогах автономного округа регионального и межмуниципального значения прогнозируется возникновение 5-10 ДТП. Аварийно-опасные участки автодорог регионального и межмуниципального значения: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67" w:leader="none"/>
          <w:tab w:val="left" w:pos="4007" w:leader="none"/>
        </w:tabs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-948-949 км Р-404 Тюмень – Тобольск – Ханты-Мансийск (ГО Ханты-Мансийск);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- 80-81 км Сургут-Нижневартовск (МР Сургутский);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- 182 км Сургут-Нижневартовск (МР Нижневартовский);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- 215 км Сургут-Нижневартовск (МР Нижневартовский).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Общее количество: 4 участка автодорог в 3 муниципальных образованиях автономного округа.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bCs/>
          <w:color w:themeColor="text1" w:val="000000"/>
          <w:sz w:val="28"/>
          <w:szCs w:val="24"/>
        </w:rPr>
        <w:t>В</w:t>
      </w:r>
      <w:r>
        <w:rPr>
          <w:rFonts w:eastAsia="PT Serif" w:cs="PT Serif" w:ascii="PT Serif" w:hAnsi="PT Serif"/>
          <w:color w:themeColor="text1" w:val="000000"/>
          <w:sz w:val="28"/>
          <w:szCs w:val="28"/>
        </w:rPr>
        <w:t>сего на территории автономного округа прогнозируется возникновение</w:t>
      </w:r>
      <w:r>
        <w:rPr>
          <w:rFonts w:eastAsia="PT Serif" w:cs="PT Serif" w:ascii="PT Serif" w:hAnsi="PT Serif"/>
          <w:b/>
          <w:color w:themeColor="text1" w:val="000000"/>
          <w:sz w:val="28"/>
          <w:szCs w:val="28"/>
        </w:rPr>
        <w:t xml:space="preserve"> 20-30 ДТП.</w:t>
      </w:r>
    </w:p>
    <w:p>
      <w:pPr>
        <w:pStyle w:val="Normal"/>
        <w:ind w:firstLine="542"/>
        <w:jc w:val="center"/>
        <w:rPr>
          <w:rFonts w:ascii="PT Serif" w:hAnsi="PT Serif" w:cs="PT Serif"/>
          <w:b/>
          <w:i/>
          <w:i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b/>
          <w:i/>
          <w:color w:themeColor="text1" w:val="000000"/>
          <w:sz w:val="16"/>
          <w:szCs w:val="16"/>
        </w:rPr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 xml:space="preserve">Таблица 4. Среднемноголетнее количество ДТП за неделю в феврале, </w:t>
      </w:r>
    </w:p>
    <w:p>
      <w:pPr>
        <w:pStyle w:val="Normal"/>
        <w:jc w:val="center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4"/>
          <w:szCs w:val="24"/>
        </w:rPr>
        <w:t>за период 2021-2025 гг.</w:t>
      </w:r>
    </w:p>
    <w:tbl>
      <w:tblPr>
        <w:tblW w:w="74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2276"/>
        <w:gridCol w:w="1478"/>
        <w:gridCol w:w="2168"/>
        <w:gridCol w:w="1477"/>
      </w:tblGrid>
      <w:tr>
        <w:trPr>
          <w:trHeight w:val="64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Районы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количество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Городские округа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bCs/>
                <w:color w:themeColor="text1" w:val="000000"/>
              </w:rPr>
              <w:t>количество</w:t>
            </w:r>
          </w:p>
        </w:tc>
      </w:tr>
      <w:tr>
        <w:trPr>
          <w:trHeight w:val="23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Белоярский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Когалым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Березовский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Лангепас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113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Кондинский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Мегион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Нефтеюганский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Нефтеюганск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1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Нижневартовский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Нижневартовск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3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Октябрьский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Нягань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Советский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Покачи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Сургутский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Пыть-Ях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Ханты-Мансийский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Радужный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szCs w:val="16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Cs w:val="16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Сургут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6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szCs w:val="16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Cs w:val="16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Урай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szCs w:val="16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Cs w:val="16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Ханты-Мансийск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2</w:t>
            </w:r>
          </w:p>
        </w:tc>
      </w:tr>
      <w:tr>
        <w:trPr>
          <w:trHeight w:val="62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szCs w:val="16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Cs w:val="16"/>
              </w:rPr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rFonts w:ascii="PT Serif" w:hAnsi="PT Serif" w:cs="PT Serif"/>
                <w:color w:themeColor="text1" w:val="000000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</w:rPr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4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</w:rPr>
              <w:t>Югорск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val="000000"/>
              </w:rPr>
              <w:t>0</w:t>
            </w:r>
          </w:p>
        </w:tc>
      </w:tr>
    </w:tbl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rFonts w:ascii="PT Serif" w:hAnsi="PT Serif" w:cs="PT Serif"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color w:themeColor="text1" w:val="000000"/>
          <w:sz w:val="16"/>
          <w:szCs w:val="16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709" w:leader="none"/>
          <w:tab w:val="left" w:pos="993" w:leader="none"/>
          <w:tab w:val="left" w:pos="1134" w:leader="none"/>
        </w:tabs>
        <w:ind w:firstLine="709" w:left="0"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</w:rPr>
        <w:t>Прогноз рисков увеличения количества ДТП в утренние и вечерние часы в связи с туманами на автодорогах федерального, регионального и местного значения, расположенных в пониженных участках местности, около водных объектов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8"/>
        </w:rPr>
        <w:t>Увеличение ДТП в утренние и вечерние часы в связи с туманами на автодорогах автономного округа, ожидаются преимущественно в Ханты-Мансийском, Сургутском и Нижневартовском районах, в том числе на наиболее опасных участках автодорог: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67" w:leader="none"/>
          <w:tab w:val="left" w:pos="4007" w:leader="none"/>
        </w:tabs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-948-949 км Р-404 Тюмень – Тобольск – Ханты-Мансийск (ГО Ханты-Мансийск);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- 80-81 км Сургут-Нижневартовск (МР Сургутский);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- 182 км Сургут-Нижневартовск (МР Нижневартовский);</w:t>
      </w:r>
    </w:p>
    <w:p>
      <w:pPr>
        <w:pStyle w:val="Normal"/>
        <w:tabs>
          <w:tab w:val="clear" w:pos="720"/>
          <w:tab w:val="left" w:pos="567" w:leader="none"/>
          <w:tab w:val="left" w:pos="4007" w:leader="none"/>
        </w:tabs>
        <w:ind w:left="706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- 215 км Сургут-Нижневартовск (МР Нижневартовский).</w:t>
      </w:r>
    </w:p>
    <w:p>
      <w:pPr>
        <w:pStyle w:val="Normal"/>
        <w:numPr>
          <w:ilvl w:val="0"/>
          <w:numId w:val="0"/>
        </w:numPr>
        <w:ind w:firstLine="706" w:left="1"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</w:rPr>
        <w:t>Общее количество: 4 опасных участка дорог в 3 муниципальных образованиях автономного округа.</w:t>
      </w:r>
    </w:p>
    <w:p>
      <w:pPr>
        <w:pStyle w:val="ListParagraph"/>
        <w:tabs>
          <w:tab w:val="clear" w:pos="720"/>
          <w:tab w:val="left" w:pos="851" w:leader="none"/>
          <w:tab w:val="left" w:pos="993" w:leader="none"/>
        </w:tabs>
        <w:ind w:left="709"/>
        <w:jc w:val="both"/>
        <w:rPr>
          <w:rFonts w:ascii="PT Serif" w:hAnsi="PT Serif" w:cs="PT Serif"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color w:themeColor="text1" w:val="000000"/>
          <w:sz w:val="16"/>
          <w:szCs w:val="16"/>
        </w:rPr>
      </w:r>
    </w:p>
    <w:p>
      <w:pPr>
        <w:pStyle w:val="Normal"/>
        <w:ind w:firstLine="567"/>
        <w:jc w:val="center"/>
        <w:rPr>
          <w:highlight w:val="none"/>
        </w:rPr>
      </w:pPr>
      <w:r>
        <w:rPr>
          <w:rFonts w:eastAsia="PT Serif" w:cs="PT Serif" w:ascii="PT Serif" w:hAnsi="PT Serif"/>
          <w:b/>
          <w:color w:themeColor="text1" w:val="000000"/>
          <w:position w:val="-1"/>
          <w:sz w:val="28"/>
          <w:szCs w:val="28"/>
        </w:rPr>
        <w:t>V. Рекомендации по реагированию на прогноз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i/>
          <w:color w:themeColor="text1" w:val="000000"/>
          <w:sz w:val="28"/>
          <w:szCs w:val="28"/>
          <w:lang w:eastAsia="zh-CN" w:bidi="hi-IN"/>
        </w:rPr>
        <w:t>Для повышения эффективности работы по сбору и обмену информацией, с целью создания условий для оперативного реагирования сил и средств на возможные происшествия и чрезвычайные ситуации, территориальным органам федеральных органов исполнительной власти, органам исполнительной власти ХМАО - Югры, главам администраций муниципальных образований, начальникам пожарно-спасательных отрядов Федеральной противопожарной службы Главного управления МЧС России по ХМАО - Югре, органам, уполномоченным на решение вопросов в области ГО и ЧС муниципальных образований, руководителям и дежурным службам заинтересованных организаций и предприятий и населению, в пределах своей компетенции рекомендуется:</w:t>
      </w:r>
    </w:p>
    <w:p>
      <w:pPr>
        <w:pStyle w:val="Normal"/>
        <w:spacing w:before="0" w:after="0"/>
        <w:ind w:firstLine="565"/>
        <w:contextualSpacing/>
        <w:jc w:val="both"/>
        <w:rPr>
          <w:rFonts w:ascii="PT Serif" w:hAnsi="PT Serif" w:cs="PT Serif"/>
          <w:b/>
          <w:bCs/>
          <w:i/>
          <w:i/>
          <w:iCs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b/>
          <w:bCs/>
          <w:i/>
          <w:iCs/>
          <w:color w:themeColor="text1" w:val="000000"/>
          <w:sz w:val="16"/>
          <w:szCs w:val="16"/>
        </w:rPr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ar-SA" w:bidi="hi-IN"/>
        </w:rPr>
        <w:t>1. В целях предотвращения возникновения техногенных пожаров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Вести регулярную пропаганду во всех видах СМИ о соблюдении правил пожарной безопасности. Организовать проведение профилактических рейдов по обследованию жилых домов с вручением тематических, обучающих материалов по пожарной безопасности и проведением противопожарных инструктажей под роспись. Провести работу по запрету использования населением самодельных и несертифицированных электронагревательных приборов, бытовых газовых, керосиновых, бензиновых и других устройств. Обеспечить контроль над своевременным обследованием и профилактическим ремонтом газового оборудования и сетей газоснабжения, противопожарным состоянием в жилых домах и объектах массового пребывания людей. Обеспечить контроль за состоянием полигонов твердых коммунальных отходов (свалок), в том числе несанкционированных, не допуская открытого горения и задымления.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ar-SA" w:bidi="hi-IN"/>
        </w:rPr>
        <w:t>2. В целях предотвращения аварийных и чрезвычайных ситуаций на системах жизнеобеспечения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Предприятиям, эксплуатирующим оборудование систем жизнеобеспечения населения, проверить готовность аварийно-восстановительных бригад и их укомплектованность техникой и оборудованием.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населения. Принять меры по обеспечению бесперебойного водоснабжения и электроснабжения котельных и водозаборных сооружений, включая обеспечение этих объектов автономными резервными источниками электропитания. Создать необходимый запас материально-технических ресурсов для ликвидации аварийных ситуаций в жилищном фонде, на объектах и сетях коммунальной инфраструктуры. Организовать своевременную и бесперебойную поставку топливно-энергетических ресурсов на объекты жизнеобеспечения населения, выполняющие водоснабжение жилищного фонда и объектов социальной сферы. Уточнить планы переключения потребителей, при аварийном отключении ЛЭП и ТП, на резервные линии электроснабжения. Особое внимание следует уделить соблюдению правил пожарной безопасности при эксплуатации котельных, печей, отопительных приборов.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>3. В целях предотвращения аварий на авиационном, железнодорожном транспорте и магистральных трубопроводах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Контролировать работоспособность транспортных коммуникаций, проводить комплексные профилактические мероприятия по недопущению аварий на железнодорожном и авиационном транспорте. Для недопущения аварий на магистральных трубопроводах (газо-, нефтепроводах) проводить патрулирование, организовывать выборочную проверку опасных участков трубопроводов. Уточнить состав сил и средств, привлекаемых для ликвидации ЧС, связанных с авиационным, железнодорожным, магистральным транспортом.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>4. В целях предотвращения аварийных ситуаций на автомобильных дорогах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Осуществлять контроль технического состояния транспорта, используемого для перевозки людей и опасных грузов, в том числе пред рейсовой подготовки водителей.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Обеспечить готовность аварийных служб к реагированию на ДТП;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Организовать проведение бесед с водителями предприятий и организаций о последствиях употребления алкоголя перед поездкой с демонстрацией фото- и видеоматериалов с мест ДТП, постоянно проводить пропагандистскую работу через СМИ о необходимости соблюдения правил дорожного движения, о состоянии дорожного покрытия в период действия опасных и неблагоприятных метеорологических условий, необходимости использования необходимой автомобильной резины в соответствии с сезоном года.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 xml:space="preserve">Организовать постоянное взаимодействие с территориальными подразделениями центра медицины катастроф, районными медицинскими учреждениями и ГИБДД для своевременного реагирования на возможные ДТП; 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Организовать готовность дорожных служб к обеспечению нормального функционирования транспортного сообщения.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В случае ухудшения обстановки проработать вопросы: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-дежурства экипажей скорой медицинской помощи, патрульных машин ГИБДД и подвоза ГСМ;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-организации мест питания, размещения водителей и пассажиров, информирования населения через СМИ о сложившейся обстановке, а также маршрутов объездных дорог.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 w:val="28"/>
          <w:szCs w:val="24"/>
        </w:rPr>
        <w:t>В целях обеспечения бесперебойного транспортного сообщения, запланировать необходимые резервы сил и средств для оперативной организации объездов поврежденных участков автомобильных дорог.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ar-SA" w:bidi="hi-IN"/>
        </w:rPr>
        <w:t>5. В целях предупреждения несчастных случаев на водных объектах</w:t>
      </w:r>
    </w:p>
    <w:p>
      <w:pPr>
        <w:pStyle w:val="Normal"/>
        <w:ind w:firstLine="706" w:left="1"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Обеспечить контроль готовности спасательных служб к реагированию на происшествия.</w:t>
      </w:r>
    </w:p>
    <w:p>
      <w:pPr>
        <w:pStyle w:val="Normal"/>
        <w:numPr>
          <w:ilvl w:val="0"/>
          <w:numId w:val="0"/>
        </w:numPr>
        <w:spacing w:before="0" w:after="0"/>
        <w:ind w:firstLine="711" w:left="-2"/>
        <w:contextualSpacing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 xml:space="preserve">Определить составы сил и средств, обеспечить их необходимым автотранспортом и оборудованием, провести тренировки по ликвидации аварий/происшествий на водных объектах. Обеспечить контроль и выполнение мероприятий по охране жизни людей на акваториях рек и водоемов в границах муниципальных образований. </w:t>
      </w:r>
    </w:p>
    <w:p>
      <w:pPr>
        <w:pStyle w:val="BodyText"/>
        <w:numPr>
          <w:ilvl w:val="0"/>
          <w:numId w:val="0"/>
        </w:numPr>
        <w:spacing w:lineRule="auto" w:line="240" w:before="0" w:after="0"/>
        <w:ind w:firstLine="708" w:left="1"/>
        <w:contextualSpacing/>
        <w:jc w:val="both"/>
        <w:outlineLvl w:val="0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Проводить разъяснительную работу среди населения, направленную на соблюдение мер безопасности при посещении водных объектов, особое внимание уделить организации работы по профилактическим и обучающим мероприятиям с детьми, включая проведение бесед и лекций по правилам безопасного поведения на водных объектах в зимний период, в том числе оказанию первой медицинской помощи пострадавшим провалившимся под лед.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b/>
          <w:bCs/>
          <w:i/>
          <w:iCs/>
          <w:color w:themeColor="text1" w:val="000000"/>
          <w:sz w:val="28"/>
          <w:szCs w:val="28"/>
          <w:lang w:eastAsia="zh-CN" w:bidi="hi-IN"/>
        </w:rPr>
        <w:t>6. В целях предотвращения чрезвычайных ситуаций, обусловленных ухудшением эпизоотической обстановки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С целью недопущения возникновения новых и распространения очагов бешенства и других контагиозных заболеваний животных, осуществлять мониторинг ситуаций угроз их возникновения и проведение своевременных противоэпизоотических мероприятий.</w:t>
      </w:r>
    </w:p>
    <w:p>
      <w:pPr>
        <w:pStyle w:val="Normal"/>
        <w:spacing w:before="0" w:after="0"/>
        <w:ind w:firstLine="709"/>
        <w:contextualSpacing/>
        <w:jc w:val="both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sz w:val="28"/>
          <w:szCs w:val="28"/>
          <w:lang w:eastAsia="zh-CN" w:bidi="hi-IN"/>
        </w:rPr>
        <w:t>В период ограничительных мероприятий (карантина) запретить проведение выставок собак и кошек, торговлю домашними животными, вывоз собак и кошек, отлов и охоту на диких животных на территории районов, где отмечены очаги опасных болезней животных.</w:t>
      </w:r>
    </w:p>
    <w:p>
      <w:pPr>
        <w:pStyle w:val="Normal"/>
        <w:ind w:firstLine="563"/>
        <w:jc w:val="both"/>
        <w:rPr>
          <w:rFonts w:ascii="PT Serif" w:hAnsi="PT Serif" w:cs="PT Serif"/>
          <w:bCs/>
          <w:i/>
          <w:i/>
          <w:color w:themeColor="text1" w:val="000000"/>
          <w:sz w:val="16"/>
          <w:szCs w:val="16"/>
          <w:highlight w:val="none"/>
        </w:rPr>
      </w:pPr>
      <w:r>
        <w:rPr>
          <w:rFonts w:cs="PT Serif" w:ascii="PT Serif" w:hAnsi="PT Serif"/>
          <w:bCs/>
          <w:i/>
          <w:color w:themeColor="text1" w:val="000000"/>
          <w:sz w:val="16"/>
          <w:szCs w:val="16"/>
        </w:rPr>
      </w:r>
    </w:p>
    <w:p>
      <w:pPr>
        <w:pStyle w:val="Normal"/>
        <w:spacing w:lineRule="atLeast" w:line="1"/>
        <w:ind w:firstLine="563"/>
        <w:jc w:val="both"/>
        <w:rPr>
          <w:highlight w:val="none"/>
        </w:rPr>
      </w:pPr>
      <w:r>
        <w:rPr>
          <w:rFonts w:eastAsia="PT Serif" w:cs="PT Serif" w:ascii="PT Serif" w:hAnsi="PT Serif"/>
          <w:i/>
          <w:color w:themeColor="text1" w:val="000000"/>
          <w:position w:val="-1"/>
        </w:rPr>
        <w:t>Подготовлен на основе информации Ханты-Мансийского ЦГМС - филиала ФГБУ «Обь-Иртышское УГМС», Управления Роспотребнадзора по ХМАО-Югре, Управления надзорной деятельности, КУ ХМАО-Югры «Центр обеспечения безопасности жизнедеятельности и призыва граждан на военную службу», ГУ МЧС России по ХМАО-Югре, Филиала Севера Сибири ФГБУ «Авиаметтелеком Росгидромета», статистических данных.</w:t>
      </w:r>
    </w:p>
    <w:p>
      <w:pPr>
        <w:pStyle w:val="Normal"/>
        <w:rPr>
          <w:highlight w:val="none"/>
        </w:rPr>
      </w:pPr>
      <w:r>
        <w:rPr/>
      </w:r>
    </w:p>
    <w:p>
      <w:pPr>
        <w:pStyle w:val="Normal"/>
        <w:rPr>
          <w:highlight w:val="none"/>
        </w:rPr>
      </w:pPr>
      <w:r>
        <w:rPr/>
      </w:r>
    </w:p>
    <w:p>
      <w:pPr>
        <w:pStyle w:val="Normal"/>
        <w:rPr>
          <w:highlight w:val="none"/>
        </w:rPr>
      </w:pPr>
      <w:r>
        <w:rPr/>
      </w:r>
    </w:p>
    <w:p>
      <w:pPr>
        <w:pStyle w:val="Normal"/>
        <w:ind w:hanging="2"/>
        <w:rPr>
          <w:rFonts w:ascii="PT Serif" w:hAnsi="PT Serif" w:cs="PT Serif"/>
          <w:color w:themeColor="text1" w:val="000000"/>
          <w:sz w:val="22"/>
          <w:szCs w:val="22"/>
          <w:highlight w:val="none"/>
        </w:rPr>
      </w:pPr>
      <w:r>
        <w:rPr>
          <w:rFonts w:cs="PT Serif" w:ascii="PT Serif" w:hAnsi="PT Serif"/>
          <w:color w:themeColor="text1" w:val="000000"/>
          <w:sz w:val="22"/>
          <w:szCs w:val="22"/>
        </w:rP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1681480</wp:posOffset>
            </wp:positionH>
            <wp:positionV relativeFrom="paragraph">
              <wp:posOffset>10160</wp:posOffset>
            </wp:positionV>
            <wp:extent cx="3006090" cy="1342390"/>
            <wp:effectExtent l="0" t="0" r="0" b="0"/>
            <wp:wrapNone/>
            <wp:docPr id="5" name="Рисунок 1" descr="Изображение выглядит как текст, снимок экрана, Прямоугольник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Изображение выглядит как текст, снимок экрана, Прямоугольник,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08" w:type="dxa"/>
        <w:jc w:val="left"/>
        <w:tblInd w:w="-85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val="04a0" w:noHBand="0" w:noVBand="1" w:firstColumn="1" w:lastRow="0" w:lastColumn="0" w:firstRow="1"/>
      </w:tblPr>
      <w:tblGrid>
        <w:gridCol w:w="3061"/>
        <w:gridCol w:w="3819"/>
        <w:gridCol w:w="3128"/>
      </w:tblGrid>
      <w:tr>
        <w:trPr/>
        <w:tc>
          <w:tcPr>
            <w:tcW w:w="3061" w:type="dxa"/>
            <w:tcBorders/>
          </w:tcPr>
          <w:p>
            <w:pPr>
              <w:pStyle w:val="Normal"/>
              <w:ind w:hanging="3" w:left="1"/>
              <w:rPr>
                <w:rFonts w:ascii="PT Serif" w:hAnsi="PT Serif" w:cs="PT Serif"/>
                <w:color w:themeColor="text1" w:val="000000"/>
                <w:sz w:val="26"/>
                <w:szCs w:val="26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 w:val="26"/>
                <w:szCs w:val="26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hanging="3" w:left="1"/>
              <w:outlineLvl w:val="0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  <w:sz w:val="28"/>
                <w:szCs w:val="28"/>
              </w:rPr>
              <w:t>Начальник отдела    анализа</w:t>
            </w:r>
          </w:p>
          <w:p>
            <w:pPr>
              <w:pStyle w:val="Normal"/>
              <w:numPr>
                <w:ilvl w:val="0"/>
                <w:numId w:val="0"/>
              </w:numPr>
              <w:ind w:hanging="0" w:left="0"/>
              <w:outlineLvl w:val="0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  <w:sz w:val="28"/>
                <w:szCs w:val="28"/>
              </w:rPr>
              <w:t>и прогнозирования</w:t>
            </w:r>
          </w:p>
          <w:p>
            <w:pPr>
              <w:pStyle w:val="Normal"/>
              <w:ind w:hanging="3" w:left="1"/>
              <w:rPr>
                <w:rFonts w:ascii="PT Serif" w:hAnsi="PT Serif" w:cs="PT Serif"/>
                <w:color w:themeColor="text1" w:val="000000"/>
                <w:sz w:val="28"/>
                <w:szCs w:val="28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 w:val="28"/>
                <w:szCs w:val="28"/>
              </w:rPr>
            </w:r>
          </w:p>
        </w:tc>
        <w:tc>
          <w:tcPr>
            <w:tcW w:w="3819" w:type="dxa"/>
            <w:tcBorders/>
            <w:vAlign w:val="center"/>
          </w:tcPr>
          <w:p>
            <w:pPr>
              <w:pStyle w:val="Normal"/>
              <w:ind w:hanging="2"/>
              <w:jc w:val="center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</w:rPr>
              <w:t>ДОКУМЕНТ ПОДПИСАН</w:t>
            </w:r>
          </w:p>
          <w:p>
            <w:pPr>
              <w:pStyle w:val="Normal"/>
              <w:ind w:hanging="2"/>
              <w:jc w:val="right"/>
              <w:rPr>
                <w:highlight w:val="none"/>
              </w:rPr>
            </w:pPr>
            <w:r>
              <w:rPr>
                <w:rFonts w:eastAsia="PT Serif" w:cs="PT Serif" w:ascii="PT Serif" w:hAnsi="PT Serif"/>
                <w:b/>
                <w:color w:themeColor="text1" w:val="000000"/>
              </w:rPr>
              <w:t>ЭЛЕКТРОННОЙ ПОДПИСЬЮ</w:t>
            </w:r>
          </w:p>
          <w:p>
            <w:pPr>
              <w:pStyle w:val="Normal"/>
              <w:rPr>
                <w:rFonts w:ascii="PT Serif" w:hAnsi="PT Serif" w:cs="PT Serif"/>
                <w:color w:themeColor="text1" w:val="000000"/>
                <w:sz w:val="8"/>
                <w:szCs w:val="8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 w:val="8"/>
                <w:szCs w:val="8"/>
              </w:rPr>
            </w:r>
          </w:p>
          <w:p>
            <w:pPr>
              <w:pStyle w:val="Normal"/>
              <w:ind w:hanging="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sz w:val="18"/>
                <w:szCs w:val="18"/>
              </w:rPr>
              <w:t>Сертификат  [Номер сертификата 1]</w:t>
            </w:r>
          </w:p>
          <w:p>
            <w:pPr>
              <w:pStyle w:val="Normal"/>
              <w:ind w:hanging="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sz w:val="18"/>
                <w:szCs w:val="18"/>
              </w:rPr>
              <w:t>Владелец [Владелец сертификата 1]</w:t>
            </w:r>
          </w:p>
          <w:p>
            <w:pPr>
              <w:pStyle w:val="Normal"/>
              <w:ind w:hanging="2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sz w:val="18"/>
                <w:szCs w:val="18"/>
              </w:rPr>
              <w:t>Действителен с [ДатаС 1] по [ДатаПо 1]</w:t>
            </w:r>
          </w:p>
        </w:tc>
        <w:tc>
          <w:tcPr>
            <w:tcW w:w="3128" w:type="dxa"/>
            <w:tcBorders/>
          </w:tcPr>
          <w:p>
            <w:pPr>
              <w:pStyle w:val="Normal"/>
              <w:ind w:hanging="3" w:left="1"/>
              <w:jc w:val="right"/>
              <w:rPr>
                <w:rFonts w:ascii="PT Serif" w:hAnsi="PT Serif" w:cs="PT Serif"/>
                <w:color w:themeColor="text1" w:val="000000"/>
                <w:sz w:val="28"/>
                <w:szCs w:val="28"/>
                <w:highlight w:val="none"/>
              </w:rPr>
            </w:pPr>
            <w:r>
              <w:rPr>
                <w:rFonts w:cs="PT Serif" w:ascii="PT Serif" w:hAnsi="PT Serif"/>
                <w:color w:themeColor="text1" w:val="000000"/>
                <w:sz w:val="28"/>
                <w:szCs w:val="28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hanging="3" w:left="1"/>
              <w:jc w:val="center"/>
              <w:outlineLvl w:val="0"/>
              <w:rPr>
                <w:highlight w:val="none"/>
              </w:rPr>
            </w:pPr>
            <w:r>
              <w:rPr/>
            </w:r>
          </w:p>
          <w:p>
            <w:pPr>
              <w:pStyle w:val="Normal"/>
              <w:numPr>
                <w:ilvl w:val="0"/>
                <w:numId w:val="0"/>
              </w:numPr>
              <w:ind w:hanging="3" w:left="1"/>
              <w:jc w:val="center"/>
              <w:outlineLvl w:val="0"/>
              <w:rPr>
                <w:highlight w:val="none"/>
              </w:rPr>
            </w:pPr>
            <w:r>
              <w:rPr>
                <w:rFonts w:eastAsia="PT Serif" w:cs="PT Serif" w:ascii="PT Serif" w:hAnsi="PT Serif"/>
                <w:color w:themeColor="text1" w:val="000000"/>
                <w:position w:val="-1"/>
                <w:sz w:val="28"/>
                <w:szCs w:val="28"/>
              </w:rPr>
              <w:t>С.Б. Крыль</w:t>
            </w:r>
          </w:p>
        </w:tc>
      </w:tr>
    </w:tbl>
    <w:p>
      <w:pPr>
        <w:pStyle w:val="Normal"/>
        <w:spacing w:lineRule="atLeast" w:line="1"/>
        <w:rPr>
          <w:rFonts w:ascii="PT Serif" w:hAnsi="PT Serif" w:cs="PT Serif"/>
          <w:color w:themeColor="text1" w:val="000000"/>
          <w:szCs w:val="24"/>
          <w:highlight w:val="none"/>
        </w:rPr>
      </w:pPr>
      <w:r>
        <w:rPr>
          <w:rFonts w:cs="PT Serif" w:ascii="PT Serif" w:hAnsi="PT Serif"/>
          <w:color w:themeColor="text1" w:val="000000"/>
          <w:szCs w:val="24"/>
        </w:rPr>
      </w:r>
    </w:p>
    <w:p>
      <w:pPr>
        <w:pStyle w:val="Normal"/>
        <w:spacing w:lineRule="atLeast" w:line="1"/>
        <w:rPr>
          <w:rFonts w:ascii="PT Serif" w:hAnsi="PT Serif" w:eastAsia="PT Serif" w:cs="PT Serif"/>
          <w:color w:themeColor="text1" w:val="000000"/>
          <w:highlight w:val="none"/>
        </w:rPr>
      </w:pPr>
      <w:r>
        <w:rPr>
          <w:rFonts w:eastAsia="PT Serif" w:cs="PT Serif" w:ascii="PT Serif" w:hAnsi="PT Serif"/>
          <w:color w:themeColor="text1" w:val="000000"/>
        </w:rPr>
      </w:r>
    </w:p>
    <w:p>
      <w:pPr>
        <w:pStyle w:val="Normal"/>
        <w:spacing w:lineRule="atLeast" w:line="1"/>
        <w:rPr>
          <w:highlight w:val="none"/>
        </w:rPr>
      </w:pPr>
      <w:r>
        <w:rPr/>
      </w:r>
    </w:p>
    <w:p>
      <w:pPr>
        <w:pStyle w:val="Normal"/>
        <w:spacing w:lineRule="atLeast" w:line="1"/>
        <w:rPr>
          <w:rFonts w:ascii="PT Serif" w:hAnsi="PT Serif" w:eastAsia="PT Serif" w:cs="PT Serif"/>
          <w:color w:themeColor="text1" w:val="000000"/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Территориальный центр анализа и прогноза угроз безопасности</w:t>
      </w:r>
    </w:p>
    <w:p>
      <w:pPr>
        <w:pStyle w:val="Normal"/>
        <w:spacing w:lineRule="atLeast" w:line="1"/>
        <w:ind w:hanging="2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тел. 8 (3467) 360-086 (доб. 211)</w:t>
      </w:r>
    </w:p>
    <w:p>
      <w:pPr>
        <w:pStyle w:val="Normal"/>
        <w:spacing w:lineRule="atLeast" w:line="1"/>
        <w:ind w:hanging="2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e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-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mail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 xml:space="preserve">: 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riskhmao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@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cov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86.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ru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 xml:space="preserve"> </w:t>
      </w:r>
    </w:p>
    <w:p>
      <w:pPr>
        <w:pStyle w:val="Normal"/>
        <w:spacing w:lineRule="atLeast" w:line="1"/>
        <w:ind w:hanging="2"/>
        <w:rPr>
          <w:highlight w:val="none"/>
        </w:rPr>
      </w:pP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http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://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risk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.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cov</w:t>
      </w:r>
      <w:r>
        <w:rPr>
          <w:rFonts w:eastAsia="PT Serif" w:cs="PT Serif" w:ascii="PT Serif" w:hAnsi="PT Serif"/>
          <w:color w:themeColor="text1" w:val="000000"/>
          <w:position w:val="-1"/>
          <w:szCs w:val="24"/>
        </w:rPr>
        <w:t>86.</w:t>
      </w:r>
      <w:r>
        <w:rPr>
          <w:rFonts w:eastAsia="PT Serif" w:cs="PT Serif" w:ascii="PT Serif" w:hAnsi="PT Serif"/>
          <w:color w:themeColor="text1" w:val="000000"/>
          <w:position w:val="-1"/>
          <w:szCs w:val="24"/>
          <w:lang w:val="en-US"/>
        </w:rPr>
        <w:t>ru</w:t>
      </w:r>
    </w:p>
    <w:p>
      <w:pPr>
        <w:pStyle w:val="Normal"/>
        <w:spacing w:lineRule="atLeast" w:line="1"/>
        <w:ind w:firstLine="563"/>
        <w:jc w:val="both"/>
        <w:rPr>
          <w:highlight w:val="none"/>
        </w:rPr>
      </w:pPr>
      <w:r>
        <w:rPr/>
      </w:r>
    </w:p>
    <w:sectPr>
      <w:type w:val="nextPage"/>
      <w:pgSz w:w="11906" w:h="16838"/>
      <w:pgMar w:left="1559" w:right="1418" w:gutter="0" w:header="0" w:top="1417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mbria">
    <w:charset w:val="01"/>
    <w:family w:val="roman"/>
    <w:pitch w:val="variable"/>
  </w:font>
  <w:font w:name="Open Sans">
    <w:charset w:val="01"/>
    <w:family w:val="roman"/>
    <w:pitch w:val="variable"/>
  </w:font>
  <w:font w:name="Courier New">
    <w:charset w:val="01"/>
    <w:family w:val="roman"/>
    <w:pitch w:val="variable"/>
  </w:font>
  <w:font w:name="Calibri">
    <w:charset w:val="01"/>
    <w:family w:val="roman"/>
    <w:pitch w:val="variable"/>
  </w:font>
  <w:font w:name="Lohit Devanagari">
    <w:charset w:val="01"/>
    <w:family w:val="roman"/>
    <w:pitch w:val="variable"/>
  </w:font>
  <w:font w:name="Noto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Iosevka Term SS03">
    <w:charset w:val="01"/>
    <w:family w:val="roman"/>
    <w:pitch w:val="variable"/>
  </w:font>
  <w:font w:name="PT Serif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decimal"/>
      <w:lvlText w:val="%1."/>
      <w:lvlJc w:val="left"/>
      <w:pPr>
        <w:tabs>
          <w:tab w:val="num" w:pos="2127"/>
        </w:tabs>
        <w:ind w:left="3196" w:hanging="360"/>
      </w:pPr>
      <w:rPr>
        <w:sz w:val="28"/>
        <w:i/>
        <w:b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2725"/>
        </w:tabs>
        <w:ind w:left="6314" w:hanging="360"/>
      </w:pPr>
      <w:rPr>
        <w:sz w:val="28"/>
        <w:i/>
        <w:b/>
        <w:szCs w:val="2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6379"/>
        </w:tabs>
        <w:ind w:left="7448" w:hanging="360"/>
      </w:pPr>
      <w:rPr>
        <w:sz w:val="28"/>
        <w:i/>
        <w:b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2725"/>
        </w:tabs>
        <w:ind w:left="6314" w:hanging="360"/>
      </w:pPr>
      <w:rPr>
        <w:sz w:val="28"/>
        <w:i/>
        <w:b/>
        <w:szCs w:val="2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874" w:hanging="360"/>
      </w:pPr>
      <w:rPr>
        <w:sz w:val="28"/>
        <w:i/>
        <w:b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WenQuanYi Micro Hei" w:cs="Lohit Devanagari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WenQuanYi Micro Hei" w:cs="Lohit Devanagari"/>
      <w:color w:val="auto"/>
      <w:kern w:val="0"/>
      <w:sz w:val="20"/>
      <w:szCs w:val="20"/>
      <w:lang w:val="ru-RU" w:eastAsia="ru-RU" w:bidi="ar-SA"/>
    </w:rPr>
  </w:style>
  <w:style w:type="paragraph" w:styleId="Heading1">
    <w:name w:val="Heading 1"/>
    <w:basedOn w:val="Normal1"/>
    <w:next w:val="Normal1"/>
    <w:link w:val="11"/>
    <w:qFormat/>
    <w:pPr>
      <w:keepNext w:val="true"/>
      <w:ind w:left="1390"/>
      <w:outlineLvl w:val="0"/>
    </w:pPr>
    <w:rPr>
      <w:b/>
      <w:sz w:val="24"/>
    </w:rPr>
  </w:style>
  <w:style w:type="paragraph" w:styleId="Heading2">
    <w:name w:val="Heading 2"/>
    <w:basedOn w:val="Normal1"/>
    <w:next w:val="Normal1"/>
    <w:link w:val="2"/>
    <w:qFormat/>
    <w:pPr>
      <w:keepNext w:val="true"/>
      <w:outlineLvl w:val="1"/>
    </w:pPr>
    <w:rPr>
      <w:b/>
      <w:sz w:val="22"/>
    </w:rPr>
  </w:style>
  <w:style w:type="paragraph" w:styleId="Heading3">
    <w:name w:val="Heading 3"/>
    <w:basedOn w:val="Normal1"/>
    <w:next w:val="Normal1"/>
    <w:link w:val="3"/>
    <w:qFormat/>
    <w:pPr>
      <w:keepNext w:val="true"/>
      <w:outlineLvl w:val="2"/>
    </w:pPr>
    <w:rPr>
      <w:b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ptionChar" w:customStyle="1">
    <w:name w:val="Caption Char"/>
    <w:basedOn w:val="DefaultParagraphFont"/>
    <w:uiPriority w:val="35"/>
    <w:qFormat/>
    <w:rPr>
      <w:b/>
      <w:bCs/>
      <w:color w:themeColor="accent1" w:val="4F81BD"/>
      <w:sz w:val="18"/>
      <w:szCs w:val="18"/>
    </w:rPr>
  </w:style>
  <w:style w:type="character" w:styleId="1" w:customStyle="1">
    <w:name w:val="Название объекта Знак1"/>
    <w:link w:val="Caption1"/>
    <w:uiPriority w:val="99"/>
    <w:qFormat/>
    <w:rPr/>
  </w:style>
  <w:style w:type="character" w:styleId="Heading2Char" w:customStyle="1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 w:customStyle="1">
    <w:name w:val="Title Char"/>
    <w:basedOn w:val="DefaultParagraphFont"/>
    <w:uiPriority w:val="10"/>
    <w:qFormat/>
    <w:rPr>
      <w:sz w:val="48"/>
      <w:szCs w:val="48"/>
    </w:rPr>
  </w:style>
  <w:style w:type="character" w:styleId="SubtitleChar" w:customStyle="1">
    <w:name w:val="Subtitle Char"/>
    <w:basedOn w:val="DefaultParagraphFont"/>
    <w:uiPriority w:val="11"/>
    <w:qFormat/>
    <w:rPr>
      <w:sz w:val="24"/>
      <w:szCs w:val="24"/>
    </w:rPr>
  </w:style>
  <w:style w:type="character" w:styleId="QuoteChar" w:customStyle="1">
    <w:name w:val="Quote Char"/>
    <w:uiPriority w:val="29"/>
    <w:qFormat/>
    <w:rPr>
      <w:i/>
    </w:rPr>
  </w:style>
  <w:style w:type="character" w:styleId="IntenseQuoteChar" w:customStyle="1">
    <w:name w:val="Intense Quote Char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Style5" w:customStyle="1">
    <w:name w:val="Нижний колонтитул Знак"/>
    <w:uiPriority w:val="99"/>
    <w:qFormat/>
    <w:rPr/>
  </w:style>
  <w:style w:type="character" w:styleId="FootnoteTextChar" w:customStyle="1">
    <w:name w:val="Footnote Text Char"/>
    <w:uiPriority w:val="99"/>
    <w:qFormat/>
    <w:rPr>
      <w:sz w:val="18"/>
    </w:rPr>
  </w:style>
  <w:style w:type="character" w:styleId="EndnoteTextChar" w:customStyle="1">
    <w:name w:val="Endnote Text Char"/>
    <w:uiPriority w:val="99"/>
    <w:qFormat/>
    <w:rPr>
      <w:sz w:val="20"/>
    </w:rPr>
  </w:style>
  <w:style w:type="character" w:styleId="Heading1Char" w:customStyle="1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2" w:customStyle="1">
    <w:name w:val="Заголовок 2 Знак"/>
    <w:uiPriority w:val="9"/>
    <w:qFormat/>
    <w:rPr>
      <w:rFonts w:ascii="Arial" w:hAnsi="Arial" w:eastAsia="Arial" w:cs="Arial"/>
      <w:sz w:val="34"/>
    </w:rPr>
  </w:style>
  <w:style w:type="character" w:styleId="3" w:customStyle="1">
    <w:name w:val="Заголовок 3 Знак"/>
    <w:uiPriority w:val="9"/>
    <w:qFormat/>
    <w:rPr>
      <w:rFonts w:ascii="Arial" w:hAnsi="Arial" w:eastAsia="Arial" w:cs="Arial"/>
      <w:sz w:val="30"/>
      <w:szCs w:val="30"/>
    </w:rPr>
  </w:style>
  <w:style w:type="character" w:styleId="4" w:customStyle="1">
    <w:name w:val="Заголовок 4 Знак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" w:customStyle="1">
    <w:name w:val="Заголовок 5 Знак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" w:customStyle="1">
    <w:name w:val="Заголовок 6 Знак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" w:customStyle="1">
    <w:name w:val="Заголовок 7 Знак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" w:customStyle="1">
    <w:name w:val="Заголовок 8 Знак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" w:customStyle="1">
    <w:name w:val="Заголовок 9 Знак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6" w:customStyle="1">
    <w:name w:val="Заголовок Знак"/>
    <w:uiPriority w:val="10"/>
    <w:qFormat/>
    <w:rPr>
      <w:sz w:val="48"/>
      <w:szCs w:val="48"/>
    </w:rPr>
  </w:style>
  <w:style w:type="character" w:styleId="Style7" w:customStyle="1">
    <w:name w:val="Подзаголовок Знак"/>
    <w:uiPriority w:val="11"/>
    <w:qFormat/>
    <w:rPr>
      <w:sz w:val="24"/>
      <w:szCs w:val="24"/>
    </w:rPr>
  </w:style>
  <w:style w:type="character" w:styleId="21" w:customStyle="1">
    <w:name w:val="Цитата 2 Знак"/>
    <w:link w:val="Quote"/>
    <w:uiPriority w:val="29"/>
    <w:qFormat/>
    <w:rPr>
      <w:i/>
    </w:rPr>
  </w:style>
  <w:style w:type="character" w:styleId="Style8" w:customStyle="1">
    <w:name w:val="Выделенная цитата Знак"/>
    <w:link w:val="IntenseQuote"/>
    <w:uiPriority w:val="30"/>
    <w:qFormat/>
    <w:rPr>
      <w:i/>
    </w:rPr>
  </w:style>
  <w:style w:type="character" w:styleId="Style9" w:customStyle="1">
    <w:name w:val="Верхний колонтитул Знак"/>
    <w:uiPriority w:val="99"/>
    <w:qFormat/>
    <w:rPr/>
  </w:style>
  <w:style w:type="character" w:styleId="FooterChar" w:customStyle="1">
    <w:name w:val="Footer Char"/>
    <w:uiPriority w:val="99"/>
    <w:qFormat/>
    <w:rPr/>
  </w:style>
  <w:style w:type="character" w:styleId="Style10" w:customStyle="1">
    <w:name w:val="Название объекта Знак"/>
    <w:link w:val="Caption111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Style11" w:customStyle="1">
    <w:name w:val="Текст сноски Знак"/>
    <w:uiPriority w:val="99"/>
    <w:qFormat/>
    <w:rPr>
      <w:sz w:val="18"/>
    </w:rPr>
  </w:style>
  <w:style w:type="character" w:styleId="Style12" w:customStyle="1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13" w:customStyle="1">
    <w:name w:val="Текст концевой сноски Знак"/>
    <w:uiPriority w:val="99"/>
    <w:qFormat/>
    <w:rPr>
      <w:sz w:val="20"/>
    </w:rPr>
  </w:style>
  <w:style w:type="character" w:styleId="Style14" w:customStyle="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5" w:customStyle="1">
    <w:name w:val="Текст выноски Знак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styleId="11" w:customStyle="1">
    <w:name w:val="Заголовок 1 Знак"/>
    <w:uiPriority w:val="9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12" w:customStyle="1">
    <w:name w:val="Обычный1"/>
    <w:qFormat/>
    <w:rPr/>
  </w:style>
  <w:style w:type="character" w:styleId="Style16" w:customStyle="1">
    <w:name w:val="Символ нумерации"/>
    <w:qFormat/>
    <w:rPr/>
  </w:style>
  <w:style w:type="character" w:styleId="Style17" w:customStyle="1">
    <w:name w:val="Текст Знак"/>
    <w:qFormat/>
    <w:rPr>
      <w:rFonts w:cs="Times New Roman"/>
      <w:color w:val="000000"/>
      <w:sz w:val="24"/>
      <w:szCs w:val="21"/>
    </w:rPr>
  </w:style>
  <w:style w:type="character" w:styleId="22" w:customStyle="1">
    <w:name w:val="Для оглавления2 Знак"/>
    <w:basedOn w:val="Style7"/>
    <w:qFormat/>
    <w:rPr>
      <w:rFonts w:ascii="Times New Roman" w:hAnsi="Times New Roman" w:eastAsia="Arial" w:cs="Times New Roman"/>
      <w:b/>
      <w:bCs/>
      <w:color w:val="5A5A5A"/>
      <w:spacing w:val="15"/>
      <w:sz w:val="28"/>
      <w:szCs w:val="28"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link w:val="CaptionChar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BodyText"/>
    <w:link w:val="Style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1">
    <w:name w:val="caption1"/>
    <w:basedOn w:val="Normal"/>
    <w:link w:val="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Indexheading11" w:customStyle="1">
    <w:name w:val="index heading11"/>
    <w:basedOn w:val="Title"/>
    <w:qFormat/>
    <w:pPr/>
    <w:rPr/>
  </w:style>
  <w:style w:type="paragraph" w:styleId="13" w:customStyle="1">
    <w:name w:val="Заголовок1"/>
    <w:basedOn w:val="Normal"/>
    <w:next w:val="BodyText"/>
    <w:qFormat/>
    <w:pPr>
      <w:keepNext w:val="true"/>
      <w:spacing w:before="240" w:after="120"/>
    </w:pPr>
    <w:rPr>
      <w:rFonts w:ascii="Open Sans" w:hAnsi="Open Sans"/>
      <w:sz w:val="28"/>
      <w:szCs w:val="28"/>
    </w:rPr>
  </w:style>
  <w:style w:type="paragraph" w:styleId="Indexheading111" w:customStyle="1">
    <w:name w:val="index heading111"/>
    <w:basedOn w:val="13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" w:customStyle="1">
    <w:name w:val="index heading1111"/>
    <w:basedOn w:val="13"/>
    <w:qFormat/>
    <w:pPr/>
    <w:rPr/>
  </w:style>
  <w:style w:type="paragraph" w:styleId="Caption111" w:customStyle="1">
    <w:name w:val="caption111"/>
    <w:basedOn w:val="Normal"/>
    <w:next w:val="Normal"/>
    <w:link w:val="Style10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Indexheading11111" w:customStyle="1">
    <w:name w:val="index heading11111"/>
    <w:basedOn w:val="13"/>
    <w:qFormat/>
    <w:pPr/>
    <w:rPr/>
  </w:style>
  <w:style w:type="paragraph" w:styleId="Indexheading111111" w:customStyle="1">
    <w:name w:val="index heading111111"/>
    <w:basedOn w:val="13"/>
    <w:qFormat/>
    <w:pPr/>
    <w:rPr/>
  </w:style>
  <w:style w:type="paragraph" w:styleId="Indexheading1111111" w:customStyle="1">
    <w:name w:val="index heading1111111"/>
    <w:basedOn w:val="13"/>
    <w:qFormat/>
    <w:pPr/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before="0" w:after="0"/>
      <w:jc w:val="left"/>
    </w:pPr>
    <w:rPr>
      <w:rFonts w:ascii="Times New Roman" w:hAnsi="Times New Roman" w:eastAsia="WenQuanYi Micro Hei" w:cs="Lohit Devanagari"/>
      <w:color w:val="auto"/>
      <w:kern w:val="0"/>
      <w:sz w:val="20"/>
      <w:szCs w:val="20"/>
      <w:lang w:val="ru-RU" w:eastAsia="zh-CN" w:bidi="ar-SA"/>
    </w:rPr>
  </w:style>
  <w:style w:type="paragraph" w:styleId="Subtitle">
    <w:name w:val="Subtitle"/>
    <w:basedOn w:val="Normal"/>
    <w:next w:val="Normal"/>
    <w:link w:val="Style7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next w:val="Normal"/>
    <w:link w:val="21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next w:val="Normal"/>
    <w:link w:val="Style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Style20" w:customStyle="1">
    <w:name w:val="Колонтитул"/>
    <w:basedOn w:val="Normal"/>
    <w:qFormat/>
    <w:pPr/>
    <w:rPr/>
  </w:style>
  <w:style w:type="paragraph" w:styleId="Footer">
    <w:name w:val="Footer"/>
    <w:basedOn w:val="Normal"/>
    <w:link w:val="Style5"/>
    <w:uiPriority w:val="99"/>
    <w:unhideWhenUsed/>
    <w:pPr>
      <w:tabs>
        <w:tab w:val="clear" w:pos="720"/>
        <w:tab w:val="center" w:pos="7143" w:leader="none"/>
        <w:tab w:val="right" w:pos="14287" w:leader="none"/>
      </w:tabs>
    </w:pPr>
    <w:rPr/>
  </w:style>
  <w:style w:type="paragraph" w:styleId="FootnoteText">
    <w:name w:val="Footnote Text"/>
    <w:basedOn w:val="Normal"/>
    <w:link w:val="Style11"/>
    <w:uiPriority w:val="99"/>
    <w:semiHidden/>
    <w:unhideWhenUsed/>
    <w:pPr>
      <w:spacing w:before="0" w:after="40"/>
    </w:pPr>
    <w:rPr>
      <w:sz w:val="18"/>
    </w:rPr>
  </w:style>
  <w:style w:type="paragraph" w:styleId="EndnoteText">
    <w:name w:val="Endnote Text"/>
    <w:basedOn w:val="Normal"/>
    <w:link w:val="Style13"/>
    <w:uiPriority w:val="99"/>
    <w:semiHidden/>
    <w:unhideWhenUsed/>
    <w:pPr/>
    <w:rPr/>
  </w:style>
  <w:style w:type="paragraph" w:styleId="TOC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TOC2">
    <w:name w:val="TOC 2"/>
    <w:basedOn w:val="Normal"/>
    <w:next w:val="Normal"/>
    <w:uiPriority w:val="39"/>
    <w:unhideWhenUsed/>
    <w:pPr>
      <w:spacing w:before="0" w:after="57"/>
      <w:ind w:left="283"/>
    </w:pPr>
    <w:rPr/>
  </w:style>
  <w:style w:type="paragraph" w:styleId="TOC3">
    <w:name w:val="TOC 3"/>
    <w:basedOn w:val="Normal"/>
    <w:next w:val="Normal"/>
    <w:uiPriority w:val="39"/>
    <w:unhideWhenUsed/>
    <w:pPr>
      <w:spacing w:before="0" w:after="57"/>
      <w:ind w:left="567"/>
    </w:pPr>
    <w:rPr/>
  </w:style>
  <w:style w:type="paragraph" w:styleId="TOC4">
    <w:name w:val="TOC 4"/>
    <w:basedOn w:val="Normal"/>
    <w:next w:val="Normal"/>
    <w:uiPriority w:val="39"/>
    <w:unhideWhenUsed/>
    <w:pPr>
      <w:spacing w:before="0" w:after="57"/>
      <w:ind w:left="850"/>
    </w:pPr>
    <w:rPr/>
  </w:style>
  <w:style w:type="paragraph" w:styleId="TOC5">
    <w:name w:val="TOC 5"/>
    <w:basedOn w:val="Normal"/>
    <w:next w:val="Normal"/>
    <w:uiPriority w:val="39"/>
    <w:unhideWhenUsed/>
    <w:pPr>
      <w:spacing w:before="0" w:after="57"/>
      <w:ind w:left="1134"/>
    </w:pPr>
    <w:rPr/>
  </w:style>
  <w:style w:type="paragraph" w:styleId="TOC6">
    <w:name w:val="TOC 6"/>
    <w:basedOn w:val="Normal"/>
    <w:next w:val="Normal"/>
    <w:uiPriority w:val="39"/>
    <w:unhideWhenUsed/>
    <w:pPr>
      <w:spacing w:before="0" w:after="57"/>
      <w:ind w:left="1417"/>
    </w:pPr>
    <w:rPr/>
  </w:style>
  <w:style w:type="paragraph" w:styleId="TOC7">
    <w:name w:val="TOC 7"/>
    <w:basedOn w:val="Normal"/>
    <w:next w:val="Normal"/>
    <w:uiPriority w:val="39"/>
    <w:unhideWhenUsed/>
    <w:pPr>
      <w:spacing w:before="0" w:after="57"/>
      <w:ind w:left="1701"/>
    </w:pPr>
    <w:rPr/>
  </w:style>
  <w:style w:type="paragraph" w:styleId="TOC8">
    <w:name w:val="TOC 8"/>
    <w:basedOn w:val="Normal"/>
    <w:next w:val="Normal"/>
    <w:uiPriority w:val="39"/>
    <w:unhideWhenUsed/>
    <w:pPr>
      <w:spacing w:before="0" w:after="57"/>
      <w:ind w:left="1984"/>
    </w:pPr>
    <w:rPr/>
  </w:style>
  <w:style w:type="paragraph" w:styleId="TOC9">
    <w:name w:val="TOC 9"/>
    <w:basedOn w:val="Normal"/>
    <w:next w:val="Normal"/>
    <w:uiPriority w:val="39"/>
    <w:unhideWhenUsed/>
    <w:pPr>
      <w:spacing w:before="0" w:after="57"/>
      <w:ind w:left="2268"/>
    </w:pPr>
    <w:rPr/>
  </w:style>
  <w:style w:type="paragraph" w:styleId="IndexHeading">
    <w:name w:val="Index Heading"/>
    <w:basedOn w:val="Style18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WenQuanYi Micro Hei" w:cs="Lohit Devanagari"/>
      <w:color w:val="auto"/>
      <w:kern w:val="0"/>
      <w:sz w:val="20"/>
      <w:szCs w:val="20"/>
      <w:lang w:val="ru-RU" w:eastAsia="zh-CN" w:bidi="ar-SA"/>
    </w:rPr>
  </w:style>
  <w:style w:type="paragraph" w:styleId="TableofFigures">
    <w:name w:val="Table of Figures"/>
    <w:basedOn w:val="Normal"/>
    <w:next w:val="Normal"/>
    <w:uiPriority w:val="99"/>
    <w:unhideWhenUsed/>
    <w:pPr/>
    <w:rPr/>
  </w:style>
  <w:style w:type="paragraph" w:styleId="Normal1" w:customStyle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WenQuanYi Micro Hei" w:cs="Lohit Devanagari"/>
      <w:color w:val="auto"/>
      <w:kern w:val="0"/>
      <w:sz w:val="20"/>
      <w:szCs w:val="20"/>
      <w:lang w:val="ru-RU" w:eastAsia="ru-RU" w:bidi="ar-SA"/>
    </w:rPr>
  </w:style>
  <w:style w:type="paragraph" w:styleId="Header">
    <w:name w:val="Header"/>
    <w:basedOn w:val="Normal1"/>
    <w:link w:val="Style9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BalloonText">
    <w:name w:val="Balloon Text"/>
    <w:basedOn w:val="Normal"/>
    <w:link w:val="Style15"/>
    <w:uiPriority w:val="99"/>
    <w:semiHidden/>
    <w:unhideWhenUsed/>
    <w:qFormat/>
    <w:pPr/>
    <w:rPr>
      <w:rFonts w:ascii="Tahoma" w:hAnsi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  <w:rPr>
      <w:sz w:val="24"/>
      <w:szCs w:val="24"/>
    </w:rPr>
  </w:style>
  <w:style w:type="paragraph" w:styleId="ConsPlusNonformat" w:customStyle="1">
    <w:name w:val="ConsPlusNonformat"/>
    <w:qFormat/>
    <w:pPr>
      <w:widowControl w:val="false"/>
      <w:bidi w:val="0"/>
      <w:spacing w:before="0" w:after="0"/>
      <w:jc w:val="left"/>
    </w:pPr>
    <w:rPr>
      <w:rFonts w:ascii="Courier New" w:hAnsi="Courier New" w:eastAsia="WenQuanYi Micro Hei" w:cs="Courier New"/>
      <w:color w:val="auto"/>
      <w:kern w:val="0"/>
      <w:sz w:val="20"/>
      <w:szCs w:val="20"/>
      <w:lang w:val="ru-RU" w:eastAsia="ru-RU" w:bidi="ar-SA"/>
    </w:rPr>
  </w:style>
  <w:style w:type="paragraph" w:styleId="23" w:customStyle="1">
    <w:name w:val="Для оглавления2"/>
    <w:qFormat/>
    <w:pPr>
      <w:widowControl/>
      <w:bidi w:val="0"/>
      <w:spacing w:lineRule="auto" w:line="276" w:before="240" w:after="120"/>
      <w:ind w:hanging="360" w:left="1070"/>
      <w:jc w:val="center"/>
    </w:pPr>
    <w:rPr>
      <w:rFonts w:ascii="Times New Roman" w:hAnsi="Times New Roman" w:eastAsia="Arial" w:cs="Lohit Devanagari" w:eastAsiaTheme="minorEastAsia"/>
      <w:b/>
      <w:bCs/>
      <w:color w:themeColor="text1" w:themeTint="a5" w:val="5A5A5A"/>
      <w:spacing w:val="15"/>
      <w:kern w:val="0"/>
      <w:sz w:val="28"/>
      <w:szCs w:val="28"/>
      <w:lang w:val="ru-RU" w:eastAsia="en-US" w:bidi="ar-SA"/>
    </w:rPr>
  </w:style>
  <w:style w:type="paragraph" w:styleId="14" w:customStyle="1">
    <w:name w:val="Текст1"/>
    <w:unhideWhenUsed/>
    <w:qFormat/>
    <w:pPr>
      <w:widowControl/>
      <w:bidi w:val="0"/>
      <w:spacing w:before="0" w:after="0"/>
      <w:jc w:val="left"/>
    </w:pPr>
    <w:rPr>
      <w:rFonts w:ascii="Calibri" w:hAnsi="Calibri" w:eastAsia="Calibri" w:cs="Lohit Devanagari"/>
      <w:color w:val="auto"/>
      <w:kern w:val="0"/>
      <w:sz w:val="22"/>
      <w:szCs w:val="21"/>
      <w:lang w:val="ru-RU" w:eastAsia="en-US" w:bidi="ar-SA"/>
    </w:rPr>
  </w:style>
  <w:style w:type="paragraph" w:styleId="Style21" w:customStyle="1">
    <w:name w:val="Объект без заливки"/>
    <w:basedOn w:val="Normal"/>
    <w:qFormat/>
    <w:pPr>
      <w:spacing w:lineRule="atLeast" w:line="200"/>
    </w:pPr>
    <w:rPr>
      <w:rFonts w:ascii="Lohit Devanagari" w:hAnsi="Lohit Devanagari"/>
      <w:sz w:val="36"/>
    </w:rPr>
  </w:style>
  <w:style w:type="paragraph" w:styleId="Style22" w:customStyle="1">
    <w:name w:val="Объект без заливки и линий"/>
    <w:basedOn w:val="Normal"/>
    <w:qFormat/>
    <w:pPr>
      <w:spacing w:lineRule="atLeast" w:line="200"/>
    </w:pPr>
    <w:rPr>
      <w:rFonts w:ascii="Lohit Devanagari" w:hAnsi="Lohit Devanagari"/>
      <w:sz w:val="36"/>
    </w:rPr>
  </w:style>
  <w:style w:type="paragraph" w:styleId="A4" w:customStyle="1">
    <w:name w:val="A4"/>
    <w:basedOn w:val="PlainText"/>
    <w:qFormat/>
    <w:pPr/>
    <w:rPr>
      <w:rFonts w:ascii="Noto Sans" w:hAnsi="Noto Sans"/>
      <w:sz w:val="36"/>
    </w:rPr>
  </w:style>
  <w:style w:type="paragraph" w:styleId="PlainText">
    <w:name w:val="Plain Text"/>
    <w:basedOn w:val="Caption111"/>
    <w:qFormat/>
    <w:pPr/>
    <w:rPr/>
  </w:style>
  <w:style w:type="paragraph" w:styleId="41" w:customStyle="1">
    <w:name w:val="Заглавие А4"/>
    <w:basedOn w:val="A4"/>
    <w:qFormat/>
    <w:pPr/>
    <w:rPr>
      <w:sz w:val="87"/>
    </w:rPr>
  </w:style>
  <w:style w:type="paragraph" w:styleId="42" w:customStyle="1">
    <w:name w:val="Заголовок А4"/>
    <w:basedOn w:val="A4"/>
    <w:qFormat/>
    <w:pPr/>
    <w:rPr>
      <w:sz w:val="48"/>
    </w:rPr>
  </w:style>
  <w:style w:type="paragraph" w:styleId="43" w:customStyle="1">
    <w:name w:val="Текст А4"/>
    <w:basedOn w:val="A4"/>
    <w:qFormat/>
    <w:pPr/>
    <w:rPr/>
  </w:style>
  <w:style w:type="paragraph" w:styleId="A0" w:customStyle="1">
    <w:name w:val="A0"/>
    <w:basedOn w:val="PlainText"/>
    <w:qFormat/>
    <w:pPr/>
    <w:rPr>
      <w:rFonts w:ascii="Noto Sans" w:hAnsi="Noto Sans"/>
      <w:sz w:val="95"/>
    </w:rPr>
  </w:style>
  <w:style w:type="paragraph" w:styleId="0" w:customStyle="1">
    <w:name w:val="Заглавие А0"/>
    <w:basedOn w:val="A0"/>
    <w:qFormat/>
    <w:pPr/>
    <w:rPr>
      <w:sz w:val="191"/>
    </w:rPr>
  </w:style>
  <w:style w:type="paragraph" w:styleId="01" w:customStyle="1">
    <w:name w:val="Заголовок А0"/>
    <w:basedOn w:val="A0"/>
    <w:qFormat/>
    <w:pPr/>
    <w:rPr>
      <w:sz w:val="143"/>
    </w:rPr>
  </w:style>
  <w:style w:type="paragraph" w:styleId="02" w:customStyle="1">
    <w:name w:val="Текст А0"/>
    <w:basedOn w:val="A0"/>
    <w:qFormat/>
    <w:pPr/>
    <w:rPr/>
  </w:style>
  <w:style w:type="paragraph" w:styleId="Style23" w:customStyle="1">
    <w:name w:val="Графика"/>
    <w:qFormat/>
    <w:pPr>
      <w:widowControl/>
      <w:bidi w:val="0"/>
      <w:spacing w:before="0" w:after="0"/>
      <w:jc w:val="left"/>
    </w:pPr>
    <w:rPr>
      <w:rFonts w:ascii="Liberation Sans" w:hAnsi="Liberation Sans" w:eastAsia="Open Sans" w:cs="Noto Sans"/>
      <w:color w:val="auto"/>
      <w:kern w:val="0"/>
      <w:sz w:val="36"/>
      <w:szCs w:val="24"/>
      <w:lang w:val="ru-RU" w:eastAsia="zh-CN" w:bidi="ar-SA"/>
    </w:rPr>
  </w:style>
  <w:style w:type="paragraph" w:styleId="Style24" w:customStyle="1">
    <w:name w:val="Фигуры"/>
    <w:basedOn w:val="Style23"/>
    <w:qFormat/>
    <w:pPr/>
    <w:rPr>
      <w:b/>
      <w:sz w:val="28"/>
    </w:rPr>
  </w:style>
  <w:style w:type="paragraph" w:styleId="Style25" w:customStyle="1">
    <w:name w:val="Заливка"/>
    <w:basedOn w:val="Style24"/>
    <w:qFormat/>
    <w:pPr/>
    <w:rPr/>
  </w:style>
  <w:style w:type="paragraph" w:styleId="Style26" w:customStyle="1">
    <w:name w:val="Заливка синим"/>
    <w:basedOn w:val="Style25"/>
    <w:qFormat/>
    <w:pPr/>
    <w:rPr>
      <w:color w:val="FFFFFF"/>
    </w:rPr>
  </w:style>
  <w:style w:type="paragraph" w:styleId="Style27" w:customStyle="1">
    <w:name w:val="Заливка зелёным"/>
    <w:basedOn w:val="Style25"/>
    <w:qFormat/>
    <w:pPr/>
    <w:rPr>
      <w:color w:val="FFFFFF"/>
    </w:rPr>
  </w:style>
  <w:style w:type="paragraph" w:styleId="Style28" w:customStyle="1">
    <w:name w:val="Заливка красным"/>
    <w:basedOn w:val="Style25"/>
    <w:qFormat/>
    <w:pPr/>
    <w:rPr>
      <w:color w:val="FFFFFF"/>
    </w:rPr>
  </w:style>
  <w:style w:type="paragraph" w:styleId="Style29" w:customStyle="1">
    <w:name w:val="Заливка жёлтым"/>
    <w:basedOn w:val="Style25"/>
    <w:qFormat/>
    <w:pPr/>
    <w:rPr>
      <w:color w:val="FFFFFF"/>
    </w:rPr>
  </w:style>
  <w:style w:type="paragraph" w:styleId="Style30" w:customStyle="1">
    <w:name w:val="Контур"/>
    <w:basedOn w:val="Style24"/>
    <w:qFormat/>
    <w:pPr/>
    <w:rPr/>
  </w:style>
  <w:style w:type="paragraph" w:styleId="Style31" w:customStyle="1">
    <w:name w:val="Контур синий"/>
    <w:basedOn w:val="Style30"/>
    <w:qFormat/>
    <w:pPr/>
    <w:rPr>
      <w:color w:val="355269"/>
    </w:rPr>
  </w:style>
  <w:style w:type="paragraph" w:styleId="Style32" w:customStyle="1">
    <w:name w:val="Контур зелёный"/>
    <w:basedOn w:val="Style30"/>
    <w:qFormat/>
    <w:pPr/>
    <w:rPr>
      <w:color w:val="127622"/>
    </w:rPr>
  </w:style>
  <w:style w:type="paragraph" w:styleId="Style33" w:customStyle="1">
    <w:name w:val="Контур красный"/>
    <w:basedOn w:val="Style30"/>
    <w:qFormat/>
    <w:pPr/>
    <w:rPr>
      <w:color w:val="C9211E"/>
    </w:rPr>
  </w:style>
  <w:style w:type="paragraph" w:styleId="Style34" w:customStyle="1">
    <w:name w:val="Контур жёлтый"/>
    <w:basedOn w:val="Style30"/>
    <w:qFormat/>
    <w:pPr/>
    <w:rPr>
      <w:color w:val="B47804"/>
    </w:rPr>
  </w:style>
  <w:style w:type="paragraph" w:styleId="Style35" w:customStyle="1">
    <w:name w:val="Линии"/>
    <w:basedOn w:val="Style23"/>
    <w:qFormat/>
    <w:pPr/>
    <w:rPr/>
  </w:style>
  <w:style w:type="paragraph" w:styleId="Style36" w:customStyle="1">
    <w:name w:val="Стрелки"/>
    <w:basedOn w:val="Style35"/>
    <w:qFormat/>
    <w:pPr/>
    <w:rPr/>
  </w:style>
  <w:style w:type="paragraph" w:styleId="Style37" w:customStyle="1">
    <w:name w:val="Штриховая линия"/>
    <w:basedOn w:val="Style35"/>
    <w:qFormat/>
    <w:pPr/>
    <w:rPr/>
  </w:style>
  <w:style w:type="paragraph" w:styleId="LTGliederung1" w:customStyle="1">
    <w:name w:val="Титульный слайд~LT~Gliederung 1"/>
    <w:qFormat/>
    <w:pPr>
      <w:widowControl/>
      <w:bidi w:val="0"/>
      <w:spacing w:before="283" w:after="0"/>
      <w:jc w:val="left"/>
    </w:pPr>
    <w:rPr>
      <w:rFonts w:ascii="Lohit Devanagari" w:hAnsi="Lohit Devanagari" w:eastAsia="Open Sans" w:cs="Noto Sans"/>
      <w:color w:val="auto"/>
      <w:kern w:val="0"/>
      <w:sz w:val="64"/>
      <w:szCs w:val="24"/>
      <w:lang w:val="ru-RU" w:eastAsia="zh-CN" w:bidi="ar-SA"/>
    </w:rPr>
  </w:style>
  <w:style w:type="paragraph" w:styleId="LTGliederung2" w:customStyle="1">
    <w:name w:val="Титульный слайд~LT~Gliederung 2"/>
    <w:basedOn w:val="LTGliederung1"/>
    <w:qFormat/>
    <w:pPr>
      <w:spacing w:before="227" w:after="0"/>
    </w:pPr>
    <w:rPr>
      <w:sz w:val="56"/>
    </w:rPr>
  </w:style>
  <w:style w:type="paragraph" w:styleId="LTGliederung3" w:customStyle="1">
    <w:name w:val="Титульный слайд~LT~Gliederung 3"/>
    <w:basedOn w:val="LTGliederung2"/>
    <w:qFormat/>
    <w:pPr>
      <w:spacing w:before="170" w:after="0"/>
    </w:pPr>
    <w:rPr>
      <w:sz w:val="48"/>
    </w:rPr>
  </w:style>
  <w:style w:type="paragraph" w:styleId="LTGliederung4" w:customStyle="1">
    <w:name w:val="Титульный слайд~LT~Gliederung 4"/>
    <w:basedOn w:val="LTGliederung3"/>
    <w:qFormat/>
    <w:pPr>
      <w:spacing w:before="113" w:after="0"/>
    </w:pPr>
    <w:rPr>
      <w:sz w:val="40"/>
    </w:rPr>
  </w:style>
  <w:style w:type="paragraph" w:styleId="LTGliederung5" w:customStyle="1">
    <w:name w:val="Титульный слайд~LT~Gliederung 5"/>
    <w:basedOn w:val="LTGliederung4"/>
    <w:qFormat/>
    <w:pPr>
      <w:spacing w:before="57" w:after="0"/>
    </w:pPr>
    <w:rPr/>
  </w:style>
  <w:style w:type="paragraph" w:styleId="LTGliederung6" w:customStyle="1">
    <w:name w:val="Титульный слайд~LT~Gliederung 6"/>
    <w:basedOn w:val="LTGliederung5"/>
    <w:qFormat/>
    <w:pPr/>
    <w:rPr/>
  </w:style>
  <w:style w:type="paragraph" w:styleId="LTGliederung7" w:customStyle="1">
    <w:name w:val="Титульный слайд~LT~Gliederung 7"/>
    <w:basedOn w:val="LTGliederung6"/>
    <w:qFormat/>
    <w:pPr/>
    <w:rPr/>
  </w:style>
  <w:style w:type="paragraph" w:styleId="LTGliederung8" w:customStyle="1">
    <w:name w:val="Титульный слайд~LT~Gliederung 8"/>
    <w:basedOn w:val="LTGliederung7"/>
    <w:qFormat/>
    <w:pPr/>
    <w:rPr/>
  </w:style>
  <w:style w:type="paragraph" w:styleId="LTGliederung9" w:customStyle="1">
    <w:name w:val="Титульный слайд~LT~Gliederung 9"/>
    <w:basedOn w:val="LTGliederung8"/>
    <w:qFormat/>
    <w:pPr/>
    <w:rPr/>
  </w:style>
  <w:style w:type="paragraph" w:styleId="LTTitel" w:customStyle="1">
    <w:name w:val="Титульный слайд~LT~Titel"/>
    <w:qFormat/>
    <w:pPr>
      <w:widowControl/>
      <w:bidi w:val="0"/>
      <w:spacing w:before="0" w:after="0"/>
      <w:jc w:val="center"/>
    </w:pPr>
    <w:rPr>
      <w:rFonts w:ascii="Lohit Devanagari" w:hAnsi="Lohit Devanagari" w:eastAsia="Open Sans" w:cs="Noto Sans"/>
      <w:color w:val="auto"/>
      <w:kern w:val="0"/>
      <w:sz w:val="88"/>
      <w:szCs w:val="24"/>
      <w:lang w:val="ru-RU" w:eastAsia="zh-CN" w:bidi="ar-SA"/>
    </w:rPr>
  </w:style>
  <w:style w:type="paragraph" w:styleId="LTUntertitel" w:customStyle="1">
    <w:name w:val="Титульный слайд~LT~Untertitel"/>
    <w:qFormat/>
    <w:pPr>
      <w:widowControl/>
      <w:bidi w:val="0"/>
      <w:spacing w:before="0" w:after="0"/>
      <w:jc w:val="center"/>
    </w:pPr>
    <w:rPr>
      <w:rFonts w:ascii="Lohit Devanagari" w:hAnsi="Lohit Devanagari" w:eastAsia="Open Sans" w:cs="Noto Sans"/>
      <w:color w:val="auto"/>
      <w:kern w:val="0"/>
      <w:sz w:val="64"/>
      <w:szCs w:val="24"/>
      <w:lang w:val="ru-RU" w:eastAsia="zh-CN" w:bidi="ar-SA"/>
    </w:rPr>
  </w:style>
  <w:style w:type="paragraph" w:styleId="LTNotizen" w:customStyle="1">
    <w:name w:val="Титульный слайд~LT~Notizen"/>
    <w:qFormat/>
    <w:pPr>
      <w:widowControl/>
      <w:bidi w:val="0"/>
      <w:spacing w:before="0" w:after="0"/>
      <w:ind w:hanging="340" w:left="340"/>
      <w:jc w:val="left"/>
    </w:pPr>
    <w:rPr>
      <w:rFonts w:ascii="Lohit Devanagari" w:hAnsi="Lohit Devanagari" w:eastAsia="Open Sans" w:cs="Noto Sans"/>
      <w:color w:val="auto"/>
      <w:kern w:val="0"/>
      <w:sz w:val="40"/>
      <w:szCs w:val="24"/>
      <w:lang w:val="ru-RU" w:eastAsia="zh-CN" w:bidi="ar-SA"/>
    </w:rPr>
  </w:style>
  <w:style w:type="paragraph" w:styleId="LTHintergrundobjekte" w:customStyle="1">
    <w:name w:val="Титульный слайд~LT~Hintergrundobjekte"/>
    <w:qFormat/>
    <w:pPr>
      <w:widowControl/>
      <w:bidi w:val="0"/>
      <w:spacing w:before="0" w:after="0"/>
      <w:jc w:val="left"/>
    </w:pPr>
    <w:rPr>
      <w:rFonts w:ascii="Liberation Serif" w:hAnsi="Liberation Serif" w:eastAsia="Open Sans" w:cs="Noto Sans"/>
      <w:color w:val="auto"/>
      <w:kern w:val="0"/>
      <w:sz w:val="24"/>
      <w:szCs w:val="24"/>
      <w:lang w:val="ru-RU" w:eastAsia="zh-CN" w:bidi="ar-SA"/>
    </w:rPr>
  </w:style>
  <w:style w:type="paragraph" w:styleId="LTHintergrund" w:customStyle="1">
    <w:name w:val="Титульный слайд~LT~Hintergrund"/>
    <w:qFormat/>
    <w:pPr>
      <w:widowControl/>
      <w:bidi w:val="0"/>
      <w:spacing w:before="0" w:after="0"/>
      <w:jc w:val="left"/>
    </w:pPr>
    <w:rPr>
      <w:rFonts w:ascii="Liberation Serif" w:hAnsi="Liberation Serif" w:eastAsia="Open Sans" w:cs="Noto Sans"/>
      <w:color w:val="auto"/>
      <w:kern w:val="0"/>
      <w:sz w:val="24"/>
      <w:szCs w:val="24"/>
      <w:lang w:val="ru-RU" w:eastAsia="zh-CN" w:bidi="ar-SA"/>
    </w:rPr>
  </w:style>
  <w:style w:type="paragraph" w:styleId="Default" w:customStyle="1">
    <w:name w:val="default"/>
    <w:qFormat/>
    <w:pPr>
      <w:widowControl/>
      <w:bidi w:val="0"/>
      <w:spacing w:before="0" w:after="0"/>
      <w:jc w:val="left"/>
    </w:pPr>
    <w:rPr>
      <w:rFonts w:ascii="Lohit Devanagari" w:hAnsi="Lohit Devanagari" w:eastAsia="Open Sans" w:cs="Noto Sans"/>
      <w:color w:val="auto"/>
      <w:kern w:val="0"/>
      <w:sz w:val="36"/>
      <w:szCs w:val="24"/>
      <w:lang w:val="ru-RU" w:eastAsia="zh-CN" w:bidi="ar-SA"/>
    </w:rPr>
  </w:style>
  <w:style w:type="paragraph" w:styleId="Bg-none" w:customStyle="1">
    <w:name w:val="bg-none"/>
    <w:basedOn w:val="Default"/>
    <w:qFormat/>
    <w:pPr/>
    <w:rPr/>
  </w:style>
  <w:style w:type="paragraph" w:styleId="Gray" w:customStyle="1">
    <w:name w:val="gray"/>
    <w:basedOn w:val="Default"/>
    <w:qFormat/>
    <w:pPr/>
    <w:rPr/>
  </w:style>
  <w:style w:type="paragraph" w:styleId="Dark-gray" w:customStyle="1">
    <w:name w:val="dark-gray"/>
    <w:basedOn w:val="Default"/>
    <w:qFormat/>
    <w:pPr/>
    <w:rPr/>
  </w:style>
  <w:style w:type="paragraph" w:styleId="Black" w:customStyle="1">
    <w:name w:val="black"/>
    <w:basedOn w:val="Default"/>
    <w:qFormat/>
    <w:pPr/>
    <w:rPr>
      <w:color w:val="FFFFFF"/>
    </w:rPr>
  </w:style>
  <w:style w:type="paragraph" w:styleId="Black-with-border" w:customStyle="1">
    <w:name w:val="black-with-border"/>
    <w:basedOn w:val="Default"/>
    <w:qFormat/>
    <w:pPr/>
    <w:rPr>
      <w:color w:val="FFFFFF"/>
    </w:rPr>
  </w:style>
  <w:style w:type="paragraph" w:styleId="Gray-with-border" w:customStyle="1">
    <w:name w:val="gray-with-border"/>
    <w:basedOn w:val="Default"/>
    <w:qFormat/>
    <w:pPr/>
    <w:rPr/>
  </w:style>
  <w:style w:type="paragraph" w:styleId="White" w:customStyle="1">
    <w:name w:val="white"/>
    <w:basedOn w:val="Default"/>
    <w:qFormat/>
    <w:pPr/>
    <w:rPr/>
  </w:style>
  <w:style w:type="paragraph" w:styleId="White-with-border" w:customStyle="1">
    <w:name w:val="white-with-border"/>
    <w:basedOn w:val="Default"/>
    <w:qFormat/>
    <w:pPr/>
    <w:rPr/>
  </w:style>
  <w:style w:type="paragraph" w:styleId="Blue-title" w:customStyle="1">
    <w:name w:val="blue-title"/>
    <w:basedOn w:val="Default"/>
    <w:qFormat/>
    <w:pPr/>
    <w:rPr>
      <w:color w:val="FFFFFF"/>
    </w:rPr>
  </w:style>
  <w:style w:type="paragraph" w:styleId="Blue-title-with-border" w:customStyle="1">
    <w:name w:val="blue-title-with-border"/>
    <w:basedOn w:val="Default"/>
    <w:qFormat/>
    <w:pPr/>
    <w:rPr>
      <w:color w:val="FFFFFF"/>
    </w:rPr>
  </w:style>
  <w:style w:type="paragraph" w:styleId="Blue-banded" w:customStyle="1">
    <w:name w:val="blue-banded"/>
    <w:basedOn w:val="Default"/>
    <w:qFormat/>
    <w:pPr/>
    <w:rPr/>
  </w:style>
  <w:style w:type="paragraph" w:styleId="Blue-normal" w:customStyle="1">
    <w:name w:val="blue-normal"/>
    <w:basedOn w:val="Default"/>
    <w:qFormat/>
    <w:pPr/>
    <w:rPr/>
  </w:style>
  <w:style w:type="paragraph" w:styleId="Orange-title" w:customStyle="1">
    <w:name w:val="orange-title"/>
    <w:basedOn w:val="Default"/>
    <w:qFormat/>
    <w:pPr/>
    <w:rPr>
      <w:color w:val="FFFFFF"/>
    </w:rPr>
  </w:style>
  <w:style w:type="paragraph" w:styleId="Orange-title-with-border" w:customStyle="1">
    <w:name w:val="orange-title-with-border"/>
    <w:basedOn w:val="Default"/>
    <w:qFormat/>
    <w:pPr/>
    <w:rPr>
      <w:color w:val="FFFFFF"/>
    </w:rPr>
  </w:style>
  <w:style w:type="paragraph" w:styleId="Orange-banded" w:customStyle="1">
    <w:name w:val="orange-banded"/>
    <w:basedOn w:val="Default"/>
    <w:qFormat/>
    <w:pPr/>
    <w:rPr/>
  </w:style>
  <w:style w:type="paragraph" w:styleId="Orange-normal" w:customStyle="1">
    <w:name w:val="orange-normal"/>
    <w:basedOn w:val="Default"/>
    <w:qFormat/>
    <w:pPr/>
    <w:rPr/>
  </w:style>
  <w:style w:type="paragraph" w:styleId="Teal-title" w:customStyle="1">
    <w:name w:val="teal-title"/>
    <w:basedOn w:val="Default"/>
    <w:qFormat/>
    <w:pPr/>
    <w:rPr>
      <w:color w:val="FFFFFF"/>
    </w:rPr>
  </w:style>
  <w:style w:type="paragraph" w:styleId="Teal-title-with-border" w:customStyle="1">
    <w:name w:val="teal-title-with-border"/>
    <w:basedOn w:val="Default"/>
    <w:qFormat/>
    <w:pPr/>
    <w:rPr>
      <w:color w:val="FFFFFF"/>
    </w:rPr>
  </w:style>
  <w:style w:type="paragraph" w:styleId="Teal-banded" w:customStyle="1">
    <w:name w:val="teal-banded"/>
    <w:basedOn w:val="Default"/>
    <w:qFormat/>
    <w:pPr/>
    <w:rPr/>
  </w:style>
  <w:style w:type="paragraph" w:styleId="Teal-normal" w:customStyle="1">
    <w:name w:val="teal-normal"/>
    <w:basedOn w:val="Default"/>
    <w:qFormat/>
    <w:pPr/>
    <w:rPr/>
  </w:style>
  <w:style w:type="paragraph" w:styleId="Magenta-title" w:customStyle="1">
    <w:name w:val="magenta-title"/>
    <w:basedOn w:val="Default"/>
    <w:qFormat/>
    <w:pPr/>
    <w:rPr>
      <w:color w:val="FFFFFF"/>
    </w:rPr>
  </w:style>
  <w:style w:type="paragraph" w:styleId="Magenta-title-with-border" w:customStyle="1">
    <w:name w:val="magenta-title-with-border"/>
    <w:basedOn w:val="Default"/>
    <w:qFormat/>
    <w:pPr/>
    <w:rPr>
      <w:color w:val="FFFFFF"/>
    </w:rPr>
  </w:style>
  <w:style w:type="paragraph" w:styleId="Magenta-banded" w:customStyle="1">
    <w:name w:val="magenta-banded"/>
    <w:basedOn w:val="Default"/>
    <w:qFormat/>
    <w:pPr/>
    <w:rPr/>
  </w:style>
  <w:style w:type="paragraph" w:styleId="Magenta-normal" w:customStyle="1">
    <w:name w:val="magenta-normal"/>
    <w:basedOn w:val="Default"/>
    <w:qFormat/>
    <w:pPr/>
    <w:rPr/>
  </w:style>
  <w:style w:type="paragraph" w:styleId="Style38" w:customStyle="1">
    <w:name w:val="Объекты фона"/>
    <w:qFormat/>
    <w:pPr>
      <w:widowControl/>
      <w:bidi w:val="0"/>
      <w:spacing w:before="0" w:after="0"/>
      <w:jc w:val="left"/>
    </w:pPr>
    <w:rPr>
      <w:rFonts w:ascii="Liberation Serif" w:hAnsi="Liberation Serif" w:eastAsia="Open Sans" w:cs="Noto Sans"/>
      <w:color w:val="auto"/>
      <w:kern w:val="0"/>
      <w:sz w:val="24"/>
      <w:szCs w:val="24"/>
      <w:lang w:val="ru-RU" w:eastAsia="zh-CN" w:bidi="ar-SA"/>
    </w:rPr>
  </w:style>
  <w:style w:type="paragraph" w:styleId="Style39" w:customStyle="1">
    <w:name w:val="Фон"/>
    <w:qFormat/>
    <w:pPr>
      <w:widowControl/>
      <w:bidi w:val="0"/>
      <w:spacing w:before="0" w:after="0"/>
      <w:jc w:val="left"/>
    </w:pPr>
    <w:rPr>
      <w:rFonts w:ascii="Liberation Serif" w:hAnsi="Liberation Serif" w:eastAsia="Open Sans" w:cs="Noto Sans"/>
      <w:color w:val="auto"/>
      <w:kern w:val="0"/>
      <w:sz w:val="24"/>
      <w:szCs w:val="24"/>
      <w:lang w:val="ru-RU" w:eastAsia="zh-CN" w:bidi="ar-SA"/>
    </w:rPr>
  </w:style>
  <w:style w:type="paragraph" w:styleId="Style40" w:customStyle="1">
    <w:name w:val="Примечания"/>
    <w:qFormat/>
    <w:pPr>
      <w:widowControl/>
      <w:bidi w:val="0"/>
      <w:spacing w:before="0" w:after="0"/>
      <w:ind w:hanging="340" w:left="340"/>
      <w:jc w:val="left"/>
    </w:pPr>
    <w:rPr>
      <w:rFonts w:ascii="Lohit Devanagari" w:hAnsi="Lohit Devanagari" w:eastAsia="Open Sans" w:cs="Noto Sans"/>
      <w:color w:val="auto"/>
      <w:kern w:val="0"/>
      <w:sz w:val="40"/>
      <w:szCs w:val="24"/>
      <w:lang w:val="ru-RU" w:eastAsia="zh-CN" w:bidi="ar-SA"/>
    </w:rPr>
  </w:style>
  <w:style w:type="paragraph" w:styleId="15" w:customStyle="1">
    <w:name w:val="Структура 1"/>
    <w:qFormat/>
    <w:pPr>
      <w:widowControl/>
      <w:bidi w:val="0"/>
      <w:spacing w:before="283" w:after="0"/>
      <w:jc w:val="left"/>
    </w:pPr>
    <w:rPr>
      <w:rFonts w:ascii="Lohit Devanagari" w:hAnsi="Lohit Devanagari" w:eastAsia="Open Sans" w:cs="Noto Sans"/>
      <w:color w:val="auto"/>
      <w:kern w:val="0"/>
      <w:sz w:val="64"/>
      <w:szCs w:val="24"/>
      <w:lang w:val="ru-RU" w:eastAsia="zh-CN" w:bidi="ar-SA"/>
    </w:rPr>
  </w:style>
  <w:style w:type="paragraph" w:styleId="24" w:customStyle="1">
    <w:name w:val="Структура 2"/>
    <w:basedOn w:val="15"/>
    <w:qFormat/>
    <w:pPr>
      <w:spacing w:before="227" w:after="0"/>
    </w:pPr>
    <w:rPr>
      <w:sz w:val="56"/>
    </w:rPr>
  </w:style>
  <w:style w:type="paragraph" w:styleId="31" w:customStyle="1">
    <w:name w:val="Структура 3"/>
    <w:basedOn w:val="24"/>
    <w:qFormat/>
    <w:pPr>
      <w:spacing w:before="170" w:after="0"/>
    </w:pPr>
    <w:rPr>
      <w:sz w:val="48"/>
    </w:rPr>
  </w:style>
  <w:style w:type="paragraph" w:styleId="44" w:customStyle="1">
    <w:name w:val="Структура 4"/>
    <w:basedOn w:val="31"/>
    <w:qFormat/>
    <w:pPr>
      <w:spacing w:before="113" w:after="0"/>
    </w:pPr>
    <w:rPr>
      <w:sz w:val="40"/>
    </w:rPr>
  </w:style>
  <w:style w:type="paragraph" w:styleId="51" w:customStyle="1">
    <w:name w:val="Структура 5"/>
    <w:basedOn w:val="44"/>
    <w:qFormat/>
    <w:pPr>
      <w:spacing w:before="57" w:after="0"/>
    </w:pPr>
    <w:rPr/>
  </w:style>
  <w:style w:type="paragraph" w:styleId="61" w:customStyle="1">
    <w:name w:val="Структура 6"/>
    <w:basedOn w:val="51"/>
    <w:qFormat/>
    <w:pPr/>
    <w:rPr/>
  </w:style>
  <w:style w:type="paragraph" w:styleId="71" w:customStyle="1">
    <w:name w:val="Структура 7"/>
    <w:basedOn w:val="61"/>
    <w:qFormat/>
    <w:pPr/>
    <w:rPr/>
  </w:style>
  <w:style w:type="paragraph" w:styleId="81" w:customStyle="1">
    <w:name w:val="Структура 8"/>
    <w:basedOn w:val="71"/>
    <w:qFormat/>
    <w:pPr/>
    <w:rPr/>
  </w:style>
  <w:style w:type="paragraph" w:styleId="91" w:customStyle="1">
    <w:name w:val="Структура 9"/>
    <w:basedOn w:val="81"/>
    <w:qFormat/>
    <w:pPr/>
    <w:rPr/>
  </w:style>
  <w:style w:type="paragraph" w:styleId="Style41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42" w:customStyle="1">
    <w:name w:val="Заголовок таблицы"/>
    <w:basedOn w:val="Style41"/>
    <w:qFormat/>
    <w:pPr>
      <w:jc w:val="center"/>
    </w:pPr>
    <w:rPr>
      <w:b/>
      <w:bCs/>
    </w:rPr>
  </w:style>
  <w:style w:type="paragraph" w:styleId="Style43" w:customStyle="1">
    <w:name w:val="Текст в заданном формате"/>
    <w:basedOn w:val="Normal"/>
    <w:qFormat/>
    <w:pPr/>
    <w:rPr>
      <w:rFonts w:ascii="Iosevka Term SS03" w:hAnsi="Iosevka Term SS03" w:eastAsia="Liberation Mono" w:cs="Iosevka Term SS03"/>
    </w:rPr>
  </w:style>
  <w:style w:type="paragraph" w:styleId="Style44" w:customStyle="1">
    <w:name w:val="Для оглавления"/>
    <w:basedOn w:val="Heading1"/>
    <w:qFormat/>
    <w:pPr>
      <w:keepLines/>
      <w:tabs>
        <w:tab w:val="clear" w:pos="720"/>
        <w:tab w:val="left" w:pos="360" w:leader="none"/>
      </w:tabs>
      <w:spacing w:lineRule="auto" w:line="276" w:before="240" w:after="120"/>
      <w:jc w:val="center"/>
    </w:pPr>
    <w:rPr>
      <w:rFonts w:eastAsia="Arial" w:cs="Times New Roman"/>
      <w:bCs/>
      <w:sz w:val="28"/>
      <w:szCs w:val="28"/>
    </w:rPr>
  </w:style>
  <w:style w:type="paragraph" w:styleId="Indexheading2" w:customStyle="1">
    <w:name w:val="index heading2"/>
    <w:qFormat/>
    <w:pPr>
      <w:keepNext w:val="true"/>
      <w:widowControl/>
      <w:bidi w:val="0"/>
      <w:spacing w:before="240" w:after="120"/>
      <w:jc w:val="left"/>
    </w:pPr>
    <w:rPr>
      <w:rFonts w:ascii="Open Sans" w:hAnsi="Open Sans" w:eastAsia="WenQuanYi Micro Hei" w:cs="Lohit Devanagari"/>
      <w:color w:val="auto"/>
      <w:kern w:val="0"/>
      <w:sz w:val="28"/>
      <w:szCs w:val="28"/>
      <w:lang w:val="ru-RU" w:eastAsia="ru-RU" w:bidi="ar-SA"/>
    </w:rPr>
  </w:style>
  <w:style w:type="paragraph" w:styleId="Caption2" w:customStyle="1">
    <w:name w:val="caption2"/>
    <w:basedOn w:val="Normal"/>
    <w:qFormat/>
    <w:pPr>
      <w:spacing w:before="120" w:after="120"/>
    </w:pPr>
    <w:rPr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852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53">
    <w:name w:val="Table Grid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customStyle="1" w:styleId="854">
    <w:name w:val="Table Grid Light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5">
    <w:name w:val="Plain Table 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2F2F2" w:fill="FFFFFF" w:themeFill="text1" w:themeFillTint="0"/>
      </w:tcPr>
    </w:tblStylePr>
    <w:tblStylePr w:type="band1Vert">
      <w:tblPr/>
      <w:tcPr>
        <w:shd w:val="clear" w:color="F2F2F2" w:fill="FFFFFF" w:themeFill="text1" w:themeFillTint="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styleId="856">
    <w:name w:val="Plain Table 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styleId="857">
    <w:name w:val="Plain Table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F2F2" w:fill="FFFFFF" w:themeFill="text1" w:themeFillTint="0"/>
      </w:tcPr>
    </w:tblStylePr>
    <w:tblStylePr w:type="band1Vert">
      <w:rPr>
        <w:sz w:val="22"/>
      </w:rPr>
      <w:tblPr/>
      <w:tcPr>
        <w:shd w:val="clear" w:color="F2F2F2" w:fill="FFFFFF" w:themeFill="text1" w:themeFillTint="0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styleId="858">
    <w:name w:val="Plain Table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F2F2" w:fill="FFFFFF" w:themeFill="text1" w:themeFillTint="0"/>
      </w:tcPr>
    </w:tblStylePr>
    <w:tblStylePr w:type="band1Vert">
      <w:rPr>
        <w:sz w:val="22"/>
      </w:rPr>
      <w:tblPr/>
      <w:tcPr>
        <w:shd w:val="clear" w:color="F2F2F2" w:fill="FFFFFF" w:themeFill="text1" w:themeFillTint="0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859">
    <w:name w:val="Plain Table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F2F2" w:fill="FFFFFF" w:themeFill="text1" w:themeFillTint="0"/>
      </w:tcPr>
    </w:tblStylePr>
    <w:tblStylePr w:type="band1Vert">
      <w:rPr>
        <w:sz w:val="22"/>
      </w:rPr>
      <w:tblPr/>
      <w:tcPr>
        <w:shd w:val="clear" w:color="F2F2F2" w:fill="FFFFFF" w:themeFill="text1" w:themeFillTint="0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60">
    <w:name w:val="Grid Table 1 Light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1">
    <w:name w:val="Grid Table 1 Light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2">
    <w:name w:val="Grid Table 1 Light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C0504D" w:themeColor="accent2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3">
    <w:name w:val="Grid Table 1 Light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9BBB59" w:themeColor="accent3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4">
    <w:name w:val="Grid Table 1 Light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8064A2" w:themeColor="accent4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5">
    <w:name w:val="Grid Table 1 Light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66">
    <w:name w:val="Grid Table 1 Light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867">
    <w:name w:val="Grid Table 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8">
    <w:name w:val="Grid Table 2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9">
    <w:name w:val="Grid Table 2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0">
    <w:name w:val="Grid Table 2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1">
    <w:name w:val="Grid Table 2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2">
    <w:name w:val="Grid Table 2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3">
    <w:name w:val="Grid Table 2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4">
    <w:name w:val="Grid Table 3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5">
    <w:name w:val="Grid Table 3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6">
    <w:name w:val="Grid Table 3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7">
    <w:name w:val="Grid Table 3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8">
    <w:name w:val="Grid Table 3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79">
    <w:name w:val="Grid Table 3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80">
    <w:name w:val="Grid Table 3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1">
    <w:name w:val="Grid Table 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882">
    <w:name w:val="Grid Table 4 - Accent 1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CE6F2" w:fill="DCE6F2" w:themeFill="accent1" w:themeFillTint="32"/>
      </w:tcPr>
    </w:tblStylePr>
    <w:tblStylePr w:type="band1Vert">
      <w:rPr>
        <w:sz w:val="22"/>
      </w:rPr>
      <w:tblPr/>
      <w:tcPr>
        <w:shd w:val="clear" w:color="DCE6F2" w:fill="DCE6F2" w:themeFill="accent1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  <w:shd w:val="clear" w:color="5D8AC2" w:fill="5D8AC2" w:themeFill="accent1" w:themeFillTint="e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F81BD" w:themeColor="accent1" w:sz="4" w:space="0"/>
        </w:tcBorders>
      </w:tcPr>
    </w:tblStylePr>
  </w:style>
  <w:style w:type="table" w:customStyle="1" w:styleId="883">
    <w:name w:val="Grid Table 4 - Accent 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C0504D" w:themeColor="accent2" w:sz="4" w:space="0"/>
        </w:tcBorders>
      </w:tcPr>
    </w:tblStylePr>
  </w:style>
  <w:style w:type="table" w:customStyle="1" w:styleId="884">
    <w:name w:val="Grid Table 4 - Accent 3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  <w:shd w:val="clear" w:color="9ABB59" w:fill="9ABB59" w:themeFill="accent3" w:themeFillTint="fe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BBB59" w:themeColor="accent3" w:sz="4" w:space="0"/>
        </w:tcBorders>
      </w:tcPr>
    </w:tblStylePr>
  </w:style>
  <w:style w:type="table" w:customStyle="1" w:styleId="885">
    <w:name w:val="Grid Table 4 - Accent 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8064A2" w:themeColor="accent4" w:sz="4" w:space="0"/>
        </w:tcBorders>
      </w:tcPr>
    </w:tblStylePr>
  </w:style>
  <w:style w:type="table" w:customStyle="1" w:styleId="886">
    <w:name w:val="Grid Table 4 - Accent 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</w:tcBorders>
      </w:tcPr>
    </w:tblStylePr>
  </w:style>
  <w:style w:type="table" w:customStyle="1" w:styleId="887">
    <w:name w:val="Grid Table 4 - Accent 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</w:tcBorders>
      </w:tcPr>
    </w:tblStylePr>
  </w:style>
  <w:style w:type="table" w:styleId="888">
    <w:name w:val="Grid Table 5 Dark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8A8A8A" w:fill="8A8A8A" w:themeFill="text1" w:themeFillTint="75"/>
      </w:tcPr>
    </w:tblStylePr>
    <w:tblStylePr w:type="band1Vert">
      <w:tblPr/>
      <w:tcPr>
        <w:shd w:val="clear" w:color="8A8A8A" w:fill="8A8A8A" w:themeFill="text1" w:themeFillTint="75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</w:style>
  <w:style w:type="table" w:customStyle="1" w:styleId="889">
    <w:name w:val="Grid Table 5 Dark- Accent 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AEC4E0" w:fill="AEC4E0" w:themeFill="accent1" w:themeFillTint="75"/>
      </w:tcPr>
    </w:tblStylePr>
    <w:tblStylePr w:type="band1Vert">
      <w:tblPr/>
      <w:tcPr>
        <w:shd w:val="clear" w:color="AEC4E0" w:fill="AEC4E0" w:themeFill="accent1" w:themeFillTint="75"/>
      </w:tcPr>
    </w:tblStylePr>
    <w:tblStylePr w:type="firstCol">
      <w:rPr>
        <w:b/>
        <w:sz w:val="22"/>
      </w:rPr>
      <w:tblPr/>
      <w:tcPr>
        <w:shd w:val="clear" w:color="4F81BD" w:fill="4F81BD" w:themeFill="accent1"/>
      </w:tcPr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890">
    <w:name w:val="Grid Table 5 Dark - Accent 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E2AEAD" w:fill="E2AEAD" w:themeFill="accent2" w:themeFillTint="75"/>
      </w:tcPr>
    </w:tblStylePr>
    <w:tblStylePr w:type="band1Vert">
      <w:tblPr/>
      <w:tcPr>
        <w:shd w:val="clear" w:color="E2AEAD" w:fill="E2AEAD" w:themeFill="accent2" w:themeFillTint="75"/>
      </w:tcPr>
    </w:tblStylePr>
    <w:tblStylePr w:type="firstCol">
      <w:rPr>
        <w:b/>
        <w:sz w:val="22"/>
      </w:rPr>
      <w:tblPr/>
      <w:tcPr>
        <w:shd w:val="clear" w:color="C0504D" w:fill="C0504D" w:themeFill="accent2"/>
      </w:tcPr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  <w:sz w:val="22"/>
      </w:rPr>
      <w:tblPr/>
      <w:tcPr>
        <w:shd w:val="clear" w:color="C0504D" w:fill="C0504D" w:themeFill="accent2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</w:style>
  <w:style w:type="table" w:customStyle="1" w:styleId="891">
    <w:name w:val="Grid Table 5 Dark - Accent 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D0DFB2" w:fill="D0DFB2" w:themeFill="accent3" w:themeFillTint="75"/>
      </w:tcPr>
    </w:tblStylePr>
    <w:tblStylePr w:type="band1Vert">
      <w:tblPr/>
      <w:tcPr>
        <w:shd w:val="clear" w:color="D0DFB2" w:fill="D0DFB2" w:themeFill="accent3" w:themeFillTint="75"/>
      </w:tcPr>
    </w:tblStylePr>
    <w:tblStylePr w:type="firstCol">
      <w:rPr>
        <w:b/>
        <w:sz w:val="22"/>
      </w:rPr>
      <w:tblPr/>
      <w:tcPr>
        <w:shd w:val="clear" w:color="9BBB59" w:fill="9BBB59" w:themeFill="accent3"/>
      </w:tcPr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  <w:sz w:val="22"/>
      </w:rPr>
      <w:tblPr/>
      <w:tcPr>
        <w:shd w:val="clear" w:color="9BBB59" w:fill="9BBB59" w:themeFill="accent3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</w:style>
  <w:style w:type="table" w:customStyle="1" w:styleId="892">
    <w:name w:val="Grid Table 5 Dark- Accent 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C4B7D4" w:fill="C4B7D4" w:themeFill="accent4" w:themeFillTint="75"/>
      </w:tcPr>
    </w:tblStylePr>
    <w:tblStylePr w:type="band1Vert">
      <w:tblPr/>
      <w:tcPr>
        <w:shd w:val="clear" w:color="C4B7D4" w:fill="C4B7D4" w:themeFill="accent4" w:themeFillTint="75"/>
      </w:tcPr>
    </w:tblStylePr>
    <w:tblStylePr w:type="firstCol">
      <w:rPr>
        <w:b/>
        <w:sz w:val="22"/>
      </w:rPr>
      <w:tblPr/>
      <w:tcPr>
        <w:shd w:val="clear" w:color="8064A2" w:fill="8064A2" w:themeFill="accent4"/>
      </w:tcPr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  <w:sz w:val="22"/>
      </w:rPr>
      <w:tblPr/>
      <w:tcPr>
        <w:shd w:val="clear" w:color="8064A2" w:fill="8064A2" w:themeFill="accent4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</w:style>
  <w:style w:type="table" w:customStyle="1" w:styleId="893">
    <w:name w:val="Grid Table 5 Dark - Accent 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ACD8E4" w:fill="ACD8E4" w:themeFill="accent5" w:themeFillTint="7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firstCol">
      <w:rPr>
        <w:b/>
        <w:sz w:val="22"/>
      </w:rPr>
      <w:tblPr/>
      <w:tcPr>
        <w:shd w:val="clear" w:color="4BACC6" w:fill="4BACC6" w:themeFill="accent5"/>
      </w:tcPr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  <w:sz w:val="22"/>
      </w:rPr>
      <w:tblPr/>
      <w:tcPr>
        <w:shd w:val="clear" w:color="4BACC6" w:fill="4BACC6" w:themeFill="accent5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</w:style>
  <w:style w:type="table" w:customStyle="1" w:styleId="894">
    <w:name w:val="Grid Table 5 Dark - Accent 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FBCEAA" w:fill="FBCEAA" w:themeFill="accent6" w:themeFillTint="75"/>
      </w:tcPr>
    </w:tblStylePr>
    <w:tblStylePr w:type="band1Vert">
      <w:tblPr/>
      <w:tcPr>
        <w:shd w:val="clear" w:color="FBCEAA" w:fill="FBCEAA" w:themeFill="accent6" w:themeFillTint="75"/>
      </w:tcPr>
    </w:tblStylePr>
    <w:tblStylePr w:type="firstCol">
      <w:rPr>
        <w:b/>
        <w:sz w:val="22"/>
      </w:rPr>
      <w:tblPr/>
      <w:tcPr>
        <w:shd w:val="clear" w:color="F79646" w:fill="F79646" w:themeFill="accent6"/>
      </w:tcPr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  <w:sz w:val="22"/>
      </w:rPr>
      <w:tblPr/>
      <w:tcPr>
        <w:shd w:val="clear" w:color="F79646" w:fill="F79646" w:themeFill="accent6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</w:style>
  <w:style w:type="table" w:styleId="895">
    <w:name w:val="Grid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1Vert">
      <w:tblPr/>
      <w:tcPr>
        <w:shd w:val="clear" w:color="CBCBCB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</w:style>
  <w:style w:type="table" w:customStyle="1" w:styleId="896">
    <w:name w:val="Grid Table 6 Colorful - Accent 1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rPr>
        <w:b/>
        <w:color w:themeColor="accent1" w:themeTint="80" w:themeShade="95"/>
      </w:rPr>
      <w:tblPr/>
    </w:tblStylePr>
    <w:tblStylePr w:type="firstRow">
      <w:rPr>
        <w:b/>
        <w:color w:themeColor="accent1" w:themeTint="80" w:themeShade="95"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themeColor="accent1" w:themeTint="80" w:themeShade="95"/>
      </w:rPr>
      <w:tblPr/>
    </w:tblStylePr>
    <w:tblStylePr w:type="lastRow">
      <w:rPr>
        <w:b/>
        <w:color w:themeColor="accent1" w:themeTint="80" w:themeShade="95"/>
      </w:rPr>
      <w:tblPr/>
    </w:tblStylePr>
  </w:style>
  <w:style w:type="table" w:customStyle="1" w:styleId="897">
    <w:name w:val="Grid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</w:tblStylePr>
  </w:style>
  <w:style w:type="table" w:customStyle="1" w:styleId="898">
    <w:name w:val="Grid Table 6 Colorful - Accent 3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rPr>
        <w:b/>
        <w:color w:themeColor="accent3" w:themeTint="fe" w:themeShade="95"/>
      </w:rPr>
      <w:tblPr/>
    </w:tblStylePr>
    <w:tblStylePr w:type="firstRow">
      <w:rPr>
        <w:b/>
        <w:color w:themeColor="accent3" w:themeTint="fe" w:themeShade="95"/>
      </w:rPr>
      <w:tblPr/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themeColor="accent3" w:themeTint="fe" w:themeShade="95"/>
      </w:rPr>
      <w:tblPr/>
    </w:tblStylePr>
    <w:tblStylePr w:type="lastRow">
      <w:rPr>
        <w:b/>
        <w:color w:themeColor="accent3" w:themeTint="fe" w:themeShade="95"/>
      </w:rPr>
      <w:tblPr/>
    </w:tblStylePr>
  </w:style>
  <w:style w:type="table" w:customStyle="1" w:styleId="899">
    <w:name w:val="Grid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</w:tblStylePr>
  </w:style>
  <w:style w:type="table" w:customStyle="1" w:styleId="900">
    <w:name w:val="Grid Table 6 Colorful - Accent 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customStyle="1" w:styleId="901">
    <w:name w:val="Grid Table 6 Colorful - Accent 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styleId="902">
    <w:name w:val="Grid Table 7 Colorfu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F2F2F2" w:fill="FFFFFF" w:themeFill="text1" w:themeFillTint="0"/>
      </w:tcPr>
    </w:tblStylePr>
    <w:tblStylePr w:type="band1Vert">
      <w:tblPr/>
      <w:tcPr>
        <w:shd w:val="clear" w:color="F2F2F2" w:fill="FFFFFF" w:themeFill="text1" w:themeFillTint="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  <w:shd w:val="clear" w:color="FFFFFF" w:fill="auto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3">
    <w:name w:val="Grid Table 7 Colorful - Accent 1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b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1" w:themeTint="80" w:themeShade="95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4">
    <w:name w:val="Grid Table 7 Colorful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4" w:space="0"/>
        </w:tcBorders>
        <w:shd w:val="clear" w:color="FFFFFF" w:fill="auto"/>
      </w:tcPr>
    </w:tblStylePr>
    <w:tblStylePr w:type="firstRow">
      <w:rPr>
        <w:b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C0504D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5">
    <w:name w:val="Grid Table 7 Colorful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4" w:space="0"/>
        </w:tcBorders>
        <w:shd w:val="clear" w:color="FFFFFF" w:fill="auto"/>
      </w:tcPr>
    </w:tblStylePr>
    <w:tblStylePr w:type="firstRow">
      <w:rPr>
        <w:b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single" w:color="9BBB5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3" w:themeTint="fe" w:themeShade="95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6">
    <w:name w:val="Grid Table 7 Colorful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4" w:space="0"/>
        </w:tcBorders>
        <w:shd w:val="clear" w:color="FFFFFF" w:fill="auto"/>
      </w:tcPr>
    </w:tblStylePr>
    <w:tblStylePr w:type="firstRow">
      <w:rPr>
        <w:b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8064A2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7">
    <w:name w:val="Grid Table 7 Colorful - Accent 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pPr>
        <w:jc w:val="right"/>
      </w:pPr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4" w:space="0"/>
        </w:tcBorders>
        <w:shd w:val="clear" w:color="FFFFFF" w:fill="auto"/>
      </w:tcPr>
    </w:tblStylePr>
    <w:tblStylePr w:type="firstRow">
      <w:rPr>
        <w:b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single" w:color="4BACC6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5" w:themeShade="95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08">
    <w:name w:val="Grid Table 7 Colorful - Accent 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6" w:themeShade="95"/>
        <w:sz w:val="22"/>
      </w:rPr>
      <w:tblPr/>
    </w:tblStylePr>
    <w:tblStylePr w:type="firstCol">
      <w:pPr>
        <w:jc w:val="right"/>
      </w:pPr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4" w:space="0"/>
        </w:tcBorders>
        <w:shd w:val="clear" w:color="FFFFFF" w:fill="auto"/>
      </w:tcPr>
    </w:tblStylePr>
    <w:tblStylePr w:type="firstRow">
      <w:rPr>
        <w:b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single" w:color="F79646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6" w:themeShade="95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styleId="909">
    <w:name w:val="List Table 1 Light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0">
    <w:name w:val="List Table 1 Light - Accent 1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1">
    <w:name w:val="List Table 1 Light - Accent 2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2">
    <w:name w:val="List Table 1 Light - Accent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3">
    <w:name w:val="List Table 1 Light - Accent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4">
    <w:name w:val="List Table 1 Light - Accent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15">
    <w:name w:val="List Table 1 Light - Accent 6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customStyle="1" w:styleId="917">
    <w:name w:val="List Table 2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customStyle="1" w:styleId="918">
    <w:name w:val="List Table 2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customStyle="1" w:styleId="919">
    <w:name w:val="List Table 2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customStyle="1" w:styleId="920">
    <w:name w:val="List Table 2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customStyle="1" w:styleId="921">
    <w:name w:val="List Table 2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customStyle="1" w:styleId="922">
    <w:name w:val="List Table 2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923">
    <w:name w:val="List Table 3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4">
    <w:name w:val="List Table 3 - Accent 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5">
    <w:name w:val="List Table 3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sz w:val="22"/>
      </w:rPr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6">
    <w:name w:val="List Table 3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sz w:val="22"/>
      </w:rPr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3D69B" w:fill="C3D69B" w:themeFill="accent3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7">
    <w:name w:val="List Table 3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sz w:val="22"/>
      </w:rPr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8">
    <w:name w:val="List Table 3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sz w:val="22"/>
      </w:rPr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2CCDC" w:fill="92CCDC" w:themeFill="accent5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9">
    <w:name w:val="List Table 3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sz w:val="22"/>
      </w:rPr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AC090" w:fill="FAC090" w:themeFill="accent6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930">
    <w:name w:val="List Table 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1">
    <w:name w:val="List Table 4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2">
    <w:name w:val="List Table 4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3">
    <w:name w:val="List Table 4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4">
    <w:name w:val="List Table 4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5">
    <w:name w:val="List Table 4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36">
    <w:name w:val="List Table 4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937">
    <w:name w:val="List Table 5 Dark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Col">
      <w:tblPr/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38">
    <w:name w:val="List Table 5 Dark - Accent 1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39">
    <w:name w:val="List Table 5 Dark - Accent 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C0504D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Col">
      <w:tblPr/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40">
    <w:name w:val="List Table 5 Dark - Accent 3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9BBB59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41">
    <w:name w:val="List Table 5 Dark - Accent 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8064A2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42">
    <w:name w:val="List Table 5 Dark - Accent 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4BACC6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43">
    <w:name w:val="List Table 5 Dark - Accent 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F79646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styleId="944">
    <w:name w:val="List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text1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945">
    <w:name w:val="List Table 6 Colorful - Accent 1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rPr>
        <w:b/>
        <w:color w:themeColor="accent1" w:themeShade="95"/>
      </w:rPr>
      <w:tblPr/>
    </w:tblStylePr>
    <w:tblStylePr w:type="firstRow">
      <w:rPr>
        <w:b/>
        <w:color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themeColor="accent1" w:themeShade="95"/>
      </w:rPr>
      <w:tblPr/>
    </w:tblStylePr>
    <w:tblStylePr w:type="lastRow">
      <w:rPr>
        <w:b/>
        <w:color w:themeColor="accent1" w:themeShade="95"/>
      </w:rPr>
      <w:tblPr/>
      <w:tcPr>
        <w:tcBorders>
          <w:top w:val="single" w:color="4F81BD" w:themeColor="accent1" w:sz="4" w:space="0"/>
        </w:tcBorders>
      </w:tcPr>
    </w:tblStylePr>
  </w:style>
  <w:style w:type="table" w:customStyle="1" w:styleId="946">
    <w:name w:val="List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  <w:tcPr>
        <w:tcBorders>
          <w:top w:val="single" w:color="C0504D" w:themeColor="accent2" w:sz="4" w:space="0"/>
        </w:tcBorders>
      </w:tcPr>
    </w:tblStylePr>
  </w:style>
  <w:style w:type="table" w:customStyle="1" w:styleId="947">
    <w:name w:val="List Table 6 Colorful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rPr>
        <w:b/>
        <w:color w:themeColor="accent3" w:themeTint="98" w:themeShade="95"/>
      </w:rPr>
      <w:tblPr/>
    </w:tblStylePr>
    <w:tblStylePr w:type="firstRow">
      <w:rPr>
        <w:b/>
        <w:color w:themeColor="accent3" w:themeTint="98" w:themeShade="95"/>
      </w:rPr>
      <w:tblPr/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themeColor="accent3" w:themeTint="98" w:themeShade="95"/>
      </w:rPr>
      <w:tblPr/>
    </w:tblStylePr>
    <w:tblStylePr w:type="lastRow">
      <w:rPr>
        <w:b/>
        <w:color w:themeColor="accent3" w:themeTint="98" w:themeShade="95"/>
      </w:rPr>
      <w:tblPr/>
      <w:tcPr>
        <w:tcBorders>
          <w:top w:val="single" w:color="9BBB59" w:themeColor="accent3" w:sz="4" w:space="0"/>
        </w:tcBorders>
      </w:tcPr>
    </w:tblStylePr>
  </w:style>
  <w:style w:type="table" w:customStyle="1" w:styleId="948">
    <w:name w:val="List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  <w:tcPr>
        <w:tcBorders>
          <w:top w:val="single" w:color="8064A2" w:themeColor="accent4" w:sz="4" w:space="0"/>
        </w:tcBorders>
      </w:tcPr>
    </w:tblStylePr>
  </w:style>
  <w:style w:type="table" w:customStyle="1" w:styleId="949">
    <w:name w:val="List Table 6 Colorful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rPr>
        <w:b/>
        <w:color w:themeColor="accent5" w:themeTint="9a" w:themeShade="95"/>
      </w:rPr>
      <w:tblPr/>
    </w:tblStylePr>
    <w:tblStylePr w:type="firstRow">
      <w:rPr>
        <w:b/>
        <w:color w:themeColor="accent5" w:themeTint="9a" w:themeShade="95"/>
      </w:rPr>
      <w:tblPr/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themeColor="accent5" w:themeTint="9a" w:themeShade="95"/>
      </w:rPr>
      <w:tblPr/>
    </w:tblStylePr>
    <w:tblStylePr w:type="lastRow">
      <w:rPr>
        <w:b/>
        <w:color w:themeColor="accent5" w:themeTint="9a" w:themeShade="95"/>
      </w:rPr>
      <w:tblPr/>
      <w:tcPr>
        <w:tcBorders>
          <w:top w:val="single" w:color="4BACC6" w:themeColor="accent5" w:sz="4" w:space="0"/>
        </w:tcBorders>
      </w:tcPr>
    </w:tblStylePr>
  </w:style>
  <w:style w:type="table" w:customStyle="1" w:styleId="950">
    <w:name w:val="List Table 6 Colorful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rPr>
        <w:b/>
        <w:color w:themeColor="accent6" w:themeTint="98" w:themeShade="95"/>
      </w:rPr>
      <w:tblPr/>
    </w:tblStylePr>
    <w:tblStylePr w:type="firstRow">
      <w:rPr>
        <w:b/>
        <w:color w:themeColor="accent6" w:themeTint="98" w:themeShade="95"/>
      </w:rPr>
      <w:tblPr/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themeColor="accent6" w:themeTint="98" w:themeShade="95"/>
      </w:rPr>
      <w:tblPr/>
    </w:tblStylePr>
    <w:tblStylePr w:type="lastRow">
      <w:rPr>
        <w:b/>
        <w:color w:themeColor="accent6" w:themeTint="98" w:themeShade="95"/>
      </w:rPr>
      <w:tblPr/>
      <w:tcPr>
        <w:tcBorders>
          <w:top w:val="single" w:color="F79646" w:themeColor="accent6" w:sz="4" w:space="0"/>
        </w:tcBorders>
      </w:tcPr>
    </w:tblStylePr>
  </w:style>
  <w:style w:type="table" w:styleId="951">
    <w:name w:val="List Table 7 Colorfu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  <w:shd w:val="clear" w:color="FFFFFF" w:fill="auto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2">
    <w:name w:val="List Table 7 Colorful - Accent 1"/>
    <w:uiPriority w:val="99"/>
    <w:tblPr>
      <w:tblStyleRowBandSize w:val="1"/>
      <w:tblStyleColBandSize w:val="1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pPr>
        <w:jc w:val="right"/>
      </w:pPr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1" w:themeShade="95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3">
    <w:name w:val="List Table 7 Colorful - Accent 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4" w:space="0"/>
        </w:tcBorders>
        <w:shd w:val="clear" w:color="FFFFFF" w:fill="auto"/>
      </w:tcPr>
    </w:tblStylePr>
    <w:tblStylePr w:type="firstRow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C0504D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4">
    <w:name w:val="List Table 7 Colorful - Accent 3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4" w:space="0"/>
        </w:tcBorders>
        <w:shd w:val="clear" w:color="FFFFFF" w:fill="auto"/>
      </w:tcPr>
    </w:tblStylePr>
    <w:tblStylePr w:type="firstRow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single" w:color="9BBB5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3" w:themeTint="98" w:themeShade="95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5">
    <w:name w:val="List Table 7 Colorful - Accent 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4" w:space="0"/>
        </w:tcBorders>
        <w:shd w:val="clear" w:color="FFFFFF" w:fill="auto"/>
      </w:tcPr>
    </w:tblStylePr>
    <w:tblStylePr w:type="firstRow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8064A2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6">
    <w:name w:val="List Table 7 Colorful - Accent 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4" w:space="0"/>
        </w:tcBorders>
        <w:shd w:val="clear" w:color="FFFFFF" w:fill="auto"/>
      </w:tcPr>
    </w:tblStylePr>
    <w:tblStylePr w:type="firstRow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single" w:color="4BACC6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5" w:themeTint="9a" w:themeShade="95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7">
    <w:name w:val="List Table 7 Colorful - Accent 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4" w:space="0"/>
        </w:tcBorders>
        <w:shd w:val="clear" w:color="FFFFFF" w:fill="auto"/>
      </w:tcPr>
    </w:tblStylePr>
    <w:tblStylePr w:type="firstRow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single" w:color="F79646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6" w:themeTint="98" w:themeShade="95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58">
    <w:name w:val="Lined - Accent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F2F2" w:fill="FFFFFF" w:themeFill="text1" w:themeFillTint="0"/>
      </w:tcPr>
    </w:tblStylePr>
    <w:tblStylePr w:type="band2Vert">
      <w:rPr>
        <w:sz w:val="22"/>
      </w:rPr>
      <w:tblPr/>
      <w:tcPr>
        <w:shd w:val="clear" w:color="F2F2F2" w:fill="FFFFFF" w:themeFill="text1" w:themeFillTint="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959">
    <w:name w:val="Lined - Accent 1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960">
    <w:name w:val="Lined - Accent 2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961">
    <w:name w:val="Lined - Accent 3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962">
    <w:name w:val="Lined - Accent 4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963">
    <w:name w:val="Lined - Accent 5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964">
    <w:name w:val="Lined - Accent 6"/>
    <w:uiPriority w:val="99"/>
    <w:rPr>
      <w:lang w:eastAsia="ru-RU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965">
    <w:name w:val="Bordered &amp; Lined - Accent"/>
    <w:uiPriority w:val="99"/>
    <w:rPr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F2F2" w:fill="FFFFFF" w:themeFill="text1" w:themeFillTint="0"/>
      </w:tcPr>
    </w:tblStylePr>
    <w:tblStylePr w:type="band2Vert">
      <w:rPr>
        <w:sz w:val="22"/>
      </w:rPr>
      <w:tblPr/>
      <w:tcPr>
        <w:shd w:val="clear" w:color="F2F2F2" w:fill="FFFFFF" w:themeFill="text1" w:themeFillTint="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966">
    <w:name w:val="Bordered &amp; Lined - Accent 1"/>
    <w:uiPriority w:val="99"/>
    <w:rPr>
      <w:lang w:eastAsia="ru-RU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967">
    <w:name w:val="Bordered &amp; Lined - Accent 2"/>
    <w:uiPriority w:val="99"/>
    <w:rPr>
      <w:lang w:eastAsia="ru-RU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968">
    <w:name w:val="Bordered &amp; Lined - Accent 3"/>
    <w:uiPriority w:val="99"/>
    <w:rPr>
      <w:lang w:eastAsia="ru-RU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969">
    <w:name w:val="Bordered &amp; Lined - Accent 4"/>
    <w:uiPriority w:val="99"/>
    <w:rPr>
      <w:lang w:eastAsia="ru-RU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970">
    <w:name w:val="Bordered &amp; Lined - Accent 5"/>
    <w:uiPriority w:val="99"/>
    <w:rPr>
      <w:lang w:eastAsia="ru-RU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971">
    <w:name w:val="Bordered &amp; Lined - Accent 6"/>
    <w:uiPriority w:val="99"/>
    <w:rPr>
      <w:lang w:eastAsia="ru-RU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972">
    <w:name w:val="Bordered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text1" w:sz="12" w:space="0"/>
        </w:tcBorders>
      </w:tcPr>
    </w:tblStylePr>
  </w:style>
  <w:style w:type="table" w:customStyle="1" w:styleId="973">
    <w:name w:val="Bordered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lastRow">
      <w:rPr>
        <w:sz w:val="22"/>
      </w:rPr>
      <w:tblPr/>
      <w:tcPr>
        <w:tcBorders>
          <w:top w:val="single" w:color="4F81BD" w:themeColor="accent1" w:sz="12" w:space="0"/>
        </w:tcBorders>
      </w:tcPr>
    </w:tblStylePr>
  </w:style>
  <w:style w:type="table" w:customStyle="1" w:styleId="974">
    <w:name w:val="Bordered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C0504D" w:themeColor="accent2" w:sz="12" w:space="0"/>
        </w:tcBorders>
      </w:tcPr>
    </w:tblStylePr>
    <w:tblStylePr w:type="lastCol">
      <w:rPr>
        <w:sz w:val="22"/>
      </w:rPr>
      <w:tblPr/>
      <w:tcPr>
        <w:tcBorders>
          <w:left w:val="single" w:color="C0504D" w:themeColor="accent2" w:sz="12" w:space="0"/>
        </w:tcBorders>
      </w:tcPr>
    </w:tblStylePr>
    <w:tblStylePr w:type="lastRow">
      <w:rPr>
        <w:sz w:val="22"/>
      </w:rPr>
      <w:tblPr/>
      <w:tcPr>
        <w:tcBorders>
          <w:top w:val="single" w:color="C0504D" w:themeColor="accent2" w:sz="12" w:space="0"/>
        </w:tcBorders>
      </w:tcPr>
    </w:tblStylePr>
  </w:style>
  <w:style w:type="table" w:customStyle="1" w:styleId="975">
    <w:name w:val="Bordered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9BBB59" w:themeColor="accent3" w:sz="12" w:space="0"/>
        </w:tcBorders>
      </w:tcPr>
    </w:tblStylePr>
    <w:tblStylePr w:type="lastCol">
      <w:rPr>
        <w:sz w:val="22"/>
      </w:rPr>
      <w:tblPr/>
      <w:tcPr>
        <w:tcBorders>
          <w:left w:val="single" w:color="9BBB59" w:themeColor="accent3" w:sz="12" w:space="0"/>
        </w:tcBorders>
      </w:tcPr>
    </w:tblStylePr>
    <w:tblStylePr w:type="lastRow">
      <w:rPr>
        <w:sz w:val="22"/>
      </w:rPr>
      <w:tblPr/>
      <w:tcPr>
        <w:tcBorders>
          <w:top w:val="single" w:color="9BBB59" w:themeColor="accent3" w:sz="12" w:space="0"/>
        </w:tcBorders>
      </w:tcPr>
    </w:tblStylePr>
  </w:style>
  <w:style w:type="table" w:customStyle="1" w:styleId="976">
    <w:name w:val="Bordered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8064A2" w:themeColor="accent4" w:sz="12" w:space="0"/>
        </w:tcBorders>
      </w:tcPr>
    </w:tblStylePr>
    <w:tblStylePr w:type="lastCol">
      <w:rPr>
        <w:sz w:val="22"/>
      </w:rPr>
      <w:tblPr/>
      <w:tcPr>
        <w:tcBorders>
          <w:left w:val="single" w:color="8064A2" w:themeColor="accent4" w:sz="12" w:space="0"/>
        </w:tcBorders>
      </w:tcPr>
    </w:tblStylePr>
    <w:tblStylePr w:type="lastRow">
      <w:rPr>
        <w:sz w:val="22"/>
      </w:rPr>
      <w:tblPr/>
      <w:tcPr>
        <w:tcBorders>
          <w:top w:val="single" w:color="8064A2" w:themeColor="accent4" w:sz="12" w:space="0"/>
        </w:tcBorders>
      </w:tcPr>
    </w:tblStylePr>
  </w:style>
  <w:style w:type="table" w:customStyle="1" w:styleId="977">
    <w:name w:val="Bordered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sz w:val="22"/>
      </w:rPr>
      <w:tblPr/>
      <w:tcPr>
        <w:tcBorders>
          <w:left w:val="single" w:color="4BACC6" w:themeColor="accent5" w:sz="12" w:space="0"/>
        </w:tcBorders>
      </w:tcPr>
    </w:tblStylePr>
    <w:tblStylePr w:type="lastRow">
      <w:rPr>
        <w:sz w:val="22"/>
      </w:rPr>
      <w:tblPr/>
      <w:tcPr>
        <w:tcBorders>
          <w:top w:val="single" w:color="4BACC6" w:themeColor="accent5" w:sz="12" w:space="0"/>
        </w:tcBorders>
      </w:tcPr>
    </w:tblStylePr>
  </w:style>
  <w:style w:type="table" w:customStyle="1" w:styleId="978">
    <w:name w:val="Bordered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sz w:val="22"/>
      </w:rPr>
      <w:tblPr/>
      <w:tcPr>
        <w:tcBorders>
          <w:left w:val="single" w:color="F79646" w:themeColor="accent6" w:sz="12" w:space="0"/>
        </w:tcBorders>
      </w:tcPr>
    </w:tblStylePr>
    <w:tblStylePr w:type="lastRow">
      <w:rPr>
        <w:sz w:val="22"/>
      </w:rPr>
      <w:tblPr/>
      <w:tcPr>
        <w:tcBorders>
          <w:top w:val="single" w:color="F79646" w:themeColor="accent6" w:sz="12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LibreOffice/7.6.7.2$Linux_X86_64 LibreOffice_project/60$Build-2</Application>
  <AppVersion>15.0000</AppVersion>
  <Pages>9</Pages>
  <Words>1790</Words>
  <Characters>12705</Characters>
  <CharactersWithSpaces>14276</CharactersWithSpaces>
  <Paragraphs>253</Paragraphs>
  <Company>DZHMAO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2025-04-30T07:23:00Z</dcterms:created>
  <dc:creator>Galina Argicheva</dc:creator>
  <dc:description/>
  <dc:language>ru-RU</dc:language>
  <cp:lastModifiedBy/>
  <dcterms:modified xsi:type="dcterms:W3CDTF">2026-02-04T12:21:25Z</dcterms:modified>
  <cp:revision>200</cp:revision>
  <dc:subject/>
  <dc:title>Унифицированная форма № Т-9</dc:title>
  <cp:version>983040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