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5"/>
          <w:lang w:eastAsia="ru-RU"/>
        </w:rPr>
        <w:t xml:space="preserve">КУ «Центр обеспечения безопасности жизнедеятельности и призыва граждан на военную службу»</w:t>
      </w:r>
      <w:r/>
    </w:p>
    <w:p>
      <w:pPr>
        <w:jc w:val="center"/>
        <w:spacing w:line="240" w:lineRule="auto"/>
      </w:pPr>
      <w:r/>
      <w:r/>
    </w:p>
    <w:p>
      <w:pPr>
        <w:jc w:val="center"/>
        <w:spacing w:line="240" w:lineRule="auto"/>
      </w:pPr>
      <w:r>
        <w:rPr>
          <w:lang w:eastAsia="ru-RU"/>
        </w:rPr>
      </w:r>
      <w:r/>
    </w:p>
    <w:p>
      <w:pPr>
        <w:jc w:val="center"/>
        <w:spacing w:line="240" w:lineRule="auto"/>
        <w:rPr>
          <w:rFonts w:ascii="PT Serif" w:hAnsi="PT Serif" w:cs="PT Serif"/>
          <w:b/>
          <w:color w:val="000000" w:themeColor="text1"/>
          <w:sz w:val="16"/>
          <w:szCs w:val="16"/>
        </w:rPr>
      </w:pPr>
      <w:r>
        <w:rPr>
          <w:rFonts w:ascii="PT Serif" w:hAnsi="PT Serif" w:cs="PT Serif"/>
          <w:b/>
          <w:color w:val="000000" w:themeColor="text1"/>
          <w:sz w:val="16"/>
          <w:szCs w:val="16"/>
        </w:rPr>
      </w:r>
      <w:r>
        <w:rPr>
          <w:rFonts w:ascii="PT Serif" w:hAnsi="PT Serif" w:cs="PT Serif"/>
          <w:b/>
          <w:color w:val="000000" w:themeColor="text1"/>
          <w:sz w:val="16"/>
          <w:szCs w:val="16"/>
        </w:rPr>
      </w:r>
      <w:r>
        <w:rPr>
          <w:rFonts w:ascii="PT Serif" w:hAnsi="PT Serif" w:cs="PT Serif"/>
          <w:b/>
          <w:color w:val="000000" w:themeColor="text1"/>
          <w:sz w:val="16"/>
          <w:szCs w:val="16"/>
        </w:rPr>
      </w:r>
    </w:p>
    <w:tbl>
      <w:tblPr>
        <w:tblW w:w="924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015"/>
        <w:gridCol w:w="5232"/>
      </w:tblGrid>
      <w:tr>
        <w:tblPrEx/>
        <w:trPr/>
        <w:tc>
          <w:tcPr>
            <w:tcW w:w="4015" w:type="dxa"/>
            <w:textDirection w:val="lrTb"/>
            <w:noWrap w:val="false"/>
          </w:tcPr>
          <w:p>
            <w:pPr>
              <w:ind w:hanging="2"/>
              <w:spacing w:line="240" w:lineRule="auto"/>
              <w:outlineLvl w:val="0"/>
            </w:pPr>
            <w:r>
              <w:rPr>
                <w:rFonts w:ascii="PT Serif" w:hAnsi="PT Serif" w:eastAsia="PT Serif" w:cs="PT Serif"/>
                <w:color w:val="bfbfbf" w:themeColor="background1" w:themeShade="BF"/>
                <w:position w:val="-1"/>
                <w:sz w:val="24"/>
                <w:szCs w:val="24"/>
                <w:lang w:eastAsia="ru-RU"/>
              </w:rPr>
              <w:t xml:space="preserve">[Дата документа]</w:t>
            </w:r>
            <w:r/>
          </w:p>
          <w:p>
            <w:pPr>
              <w:ind w:hanging="2"/>
              <w:spacing w:line="240" w:lineRule="auto"/>
              <w:rPr>
                <w:rFonts w:ascii="PT Serif" w:hAnsi="PT Serif" w:cs="PT Serif"/>
                <w:color w:val="bfbfbf" w:themeColor="background1" w:themeShade="BF"/>
                <w:sz w:val="24"/>
                <w:szCs w:val="24"/>
              </w:rPr>
              <w:outlineLvl w:val="0"/>
            </w:pPr>
            <w:r>
              <w:rPr>
                <w:rFonts w:ascii="PT Serif" w:hAnsi="PT Serif" w:cs="PT Serif"/>
                <w:color w:val="bfbfbf" w:themeColor="background1" w:themeShade="BF"/>
                <w:sz w:val="24"/>
                <w:szCs w:val="24"/>
              </w:rPr>
            </w:r>
            <w:r>
              <w:rPr>
                <w:rFonts w:ascii="PT Serif" w:hAnsi="PT Serif" w:cs="PT Serif"/>
                <w:color w:val="bfbfbf" w:themeColor="background1" w:themeShade="BF"/>
                <w:sz w:val="24"/>
                <w:szCs w:val="24"/>
              </w:rPr>
            </w:r>
            <w:r>
              <w:rPr>
                <w:rFonts w:ascii="PT Serif" w:hAnsi="PT Serif" w:cs="PT Serif"/>
                <w:color w:val="bfbfbf" w:themeColor="background1" w:themeShade="BF"/>
                <w:sz w:val="24"/>
                <w:szCs w:val="24"/>
              </w:rPr>
            </w:r>
          </w:p>
        </w:tc>
        <w:tc>
          <w:tcPr>
            <w:tcW w:w="5231" w:type="dxa"/>
            <w:textDirection w:val="lrTb"/>
            <w:noWrap w:val="false"/>
          </w:tcPr>
          <w:p>
            <w:pPr>
              <w:ind w:hanging="2"/>
              <w:jc w:val="right"/>
              <w:spacing w:line="240" w:lineRule="auto"/>
              <w:outlineLvl w:val="0"/>
            </w:pPr>
            <w:r>
              <w:rPr>
                <w:rFonts w:ascii="PT Serif" w:hAnsi="PT Serif" w:eastAsia="PT Serif" w:cs="PT Serif"/>
                <w:color w:val="bfbfbf" w:themeColor="background1" w:themeShade="BF"/>
                <w:position w:val="-1"/>
                <w:sz w:val="24"/>
                <w:szCs w:val="24"/>
                <w:lang w:eastAsia="ru-RU"/>
              </w:rPr>
              <w:t xml:space="preserve">[Номер документа]</w:t>
            </w:r>
            <w:r/>
          </w:p>
        </w:tc>
      </w:tr>
    </w:tbl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color w:val="c00000"/>
          <w:position w:val="-1"/>
          <w:sz w:val="28"/>
          <w:szCs w:val="28"/>
          <w:highlight w:val="none"/>
          <w:lang w:eastAsia="ru-RU"/>
        </w:rPr>
      </w:r>
      <w:r>
        <w:rPr>
          <w:rFonts w:ascii="PT Serif" w:hAnsi="PT Serif" w:eastAsia="PT Serif" w:cs="PT Serif"/>
          <w:b/>
          <w:color w:val="c00000"/>
          <w:position w:val="-1"/>
          <w:sz w:val="28"/>
          <w:szCs w:val="28"/>
          <w:highlight w:val="none"/>
          <w:lang w:eastAsia="ru-RU"/>
        </w:rPr>
      </w:r>
      <w:r/>
    </w:p>
    <w:p>
      <w:pPr>
        <w:jc w:val="center"/>
        <w:spacing w:line="240" w:lineRule="auto"/>
        <w:rPr>
          <w:rFonts w:ascii="PT Serif" w:hAnsi="PT Serif" w:eastAsia="PT Serif" w:cs="PT Serif"/>
          <w:b/>
          <w:bCs/>
          <w:color w:val="c00000"/>
          <w:position w:val="-1"/>
          <w:sz w:val="28"/>
          <w:szCs w:val="28"/>
          <w:highlight w:val="none"/>
          <w:lang w:eastAsia="ru-RU"/>
        </w:rPr>
      </w:pPr>
      <w:r>
        <w:rPr>
          <w:rFonts w:ascii="PT Serif" w:hAnsi="PT Serif" w:eastAsia="PT Serif" w:cs="PT Serif"/>
          <w:b/>
          <w:color w:val="c00000"/>
          <w:position w:val="-1"/>
          <w:sz w:val="28"/>
          <w:szCs w:val="28"/>
          <w:highlight w:val="none"/>
          <w:lang w:eastAsia="ru-RU"/>
        </w:rPr>
      </w:r>
      <w:r>
        <w:rPr>
          <w:rFonts w:ascii="PT Serif" w:hAnsi="PT Serif" w:eastAsia="PT Serif" w:cs="PT Serif"/>
          <w:b/>
          <w:color w:val="c00000"/>
          <w:position w:val="-1"/>
          <w:sz w:val="28"/>
          <w:szCs w:val="28"/>
          <w:highlight w:val="none"/>
          <w:lang w:eastAsia="ru-RU"/>
        </w:rPr>
      </w:r>
      <w:r>
        <w:rPr>
          <w:rFonts w:ascii="PT Serif" w:hAnsi="PT Serif" w:eastAsia="PT Serif" w:cs="PT Serif"/>
          <w:b/>
          <w:bCs/>
          <w:color w:val="c00000"/>
          <w:position w:val="-1"/>
          <w:sz w:val="28"/>
          <w:szCs w:val="28"/>
          <w:highlight w:val="none"/>
          <w:lang w:eastAsia="ru-RU"/>
        </w:rPr>
      </w:r>
    </w:p>
    <w:p>
      <w:pPr>
        <w:jc w:val="center"/>
        <w:spacing w:line="240" w:lineRule="auto"/>
        <w:rPr>
          <w:rFonts w:ascii="PT Serif" w:hAnsi="PT Serif" w:eastAsia="PT Serif" w:cs="PT Serif"/>
          <w:b/>
          <w:bCs/>
          <w:color w:val="c00000"/>
          <w:position w:val="-1"/>
          <w:sz w:val="28"/>
          <w:szCs w:val="28"/>
          <w:highlight w:val="none"/>
          <w:lang w:eastAsia="ru-RU"/>
        </w:rPr>
      </w:pPr>
      <w:r>
        <w:rPr>
          <w:rFonts w:ascii="PT Serif" w:hAnsi="PT Serif" w:eastAsia="PT Serif" w:cs="PT Serif"/>
          <w:b/>
          <w:color w:val="c00000"/>
          <w:position w:val="-1"/>
          <w:sz w:val="28"/>
          <w:szCs w:val="28"/>
          <w:lang w:eastAsia="ru-RU"/>
        </w:rPr>
        <w:t xml:space="preserve">ПРОГНОЗ</w:t>
      </w:r>
      <w:r>
        <w:rPr>
          <w:rFonts w:ascii="PT Serif" w:hAnsi="PT Serif" w:eastAsia="PT Serif" w:cs="PT Serif"/>
          <w:b/>
          <w:bCs/>
          <w:color w:val="c00000"/>
          <w:position w:val="-1"/>
          <w:sz w:val="28"/>
          <w:szCs w:val="28"/>
          <w:highlight w:val="none"/>
          <w:lang w:eastAsia="ru-RU"/>
        </w:rPr>
      </w:r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color w:val="1f3864" w:themeColor="accent5" w:themeShade="80"/>
          <w:position w:val="-1"/>
          <w:sz w:val="28"/>
          <w:szCs w:val="28"/>
          <w:lang w:eastAsia="ru-RU"/>
        </w:rPr>
        <w:t xml:space="preserve">чрезвычайных ситуаций</w: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color w:val="1f3864" w:themeColor="accent5" w:themeShade="80"/>
          <w:position w:val="-1"/>
          <w:sz w:val="28"/>
          <w:szCs w:val="28"/>
          <w:lang w:eastAsia="ru-RU"/>
        </w:rPr>
        <w:t xml:space="preserve">на территории Ханты-Мансийского автономного округа - Югры</w: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bCs/>
          <w:color w:val="1f3864" w:themeColor="accent5" w:themeShade="80"/>
          <w:position w:val="-1"/>
          <w:sz w:val="28"/>
          <w:szCs w:val="28"/>
          <w:u w:val="single"/>
          <w:lang w:eastAsia="ru-RU"/>
        </w:rPr>
        <w:t xml:space="preserve">в осенне-зимний период 2025-2026 гг.</w:t>
      </w:r>
      <w:r/>
    </w:p>
    <w:p>
      <w:pPr>
        <w:contextualSpacing/>
        <w:jc w:val="both"/>
        <w:spacing w:line="240" w:lineRule="auto"/>
        <w:rPr>
          <w:rFonts w:ascii="PT Serif" w:hAnsi="PT Serif" w:cs="PT Serif"/>
          <w:bCs/>
          <w:color w:val="000000" w:themeColor="text1"/>
          <w:u w:val="single"/>
        </w:rPr>
      </w:pPr>
      <w:r>
        <w:rPr>
          <w:rFonts w:ascii="PT Serif" w:hAnsi="PT Serif" w:cs="PT Serif"/>
          <w:bCs/>
          <w:color w:val="000000" w:themeColor="text1"/>
          <w:u w:val="single"/>
        </w:rPr>
      </w:r>
      <w:r>
        <w:rPr>
          <w:rFonts w:ascii="PT Serif" w:hAnsi="PT Serif" w:cs="PT Serif"/>
          <w:bCs/>
          <w:color w:val="000000" w:themeColor="text1"/>
          <w:u w:val="single"/>
        </w:rPr>
      </w:r>
      <w:r>
        <w:rPr>
          <w:rFonts w:ascii="PT Serif" w:hAnsi="PT Serif" w:cs="PT Serif"/>
          <w:bCs/>
          <w:color w:val="000000" w:themeColor="text1"/>
          <w:u w:val="single"/>
        </w:rPr>
      </w:r>
    </w:p>
    <w:p>
      <w:pPr>
        <w:pStyle w:val="896"/>
        <w:numPr>
          <w:ilvl w:val="0"/>
          <w:numId w:val="2"/>
        </w:numPr>
        <w:ind w:left="0" w:firstLine="993"/>
        <w:jc w:val="both"/>
        <w:spacing w:line="240" w:lineRule="auto"/>
      </w:pP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</w:rPr>
        <w:t xml:space="preserve">Основные параметры режима ЧС в прогнозируемый период:</w:t>
      </w:r>
      <w:r/>
    </w:p>
    <w:p>
      <w:pPr>
        <w:pStyle w:val="896"/>
        <w:numPr>
          <w:ilvl w:val="3"/>
          <w:numId w:val="2"/>
        </w:numPr>
        <w:ind w:left="0" w:firstLine="709"/>
        <w:jc w:val="both"/>
        <w:spacing w:line="240" w:lineRule="auto"/>
        <w:tabs>
          <w:tab w:val="left" w:pos="992" w:leader="none"/>
        </w:tabs>
      </w:pP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Занимаемое место в разрезе года по многолетней статистике чрезвычайных ситуаций</w:t>
      </w:r>
      <w:r/>
    </w:p>
    <w:p>
      <w:pPr>
        <w:pStyle w:val="896"/>
        <w:ind w:left="0" w:firstLine="709"/>
        <w:jc w:val="both"/>
        <w:spacing w:before="240" w:after="0"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Возникновение </w:t>
      </w:r>
      <w:r>
        <w:rPr>
          <w:rFonts w:ascii="PT Serif" w:hAnsi="PT Serif" w:eastAsia="PT Serif" w:cs="PT Serif"/>
          <w:b/>
          <w:color w:val="000000" w:themeColor="text1"/>
          <w:sz w:val="28"/>
          <w:szCs w:val="28"/>
        </w:rPr>
        <w:t xml:space="preserve">природных чрезвычайных ситуаций в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период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– не характерно.</w:t>
      </w:r>
      <w:r/>
    </w:p>
    <w:p>
      <w:pPr>
        <w:pStyle w:val="896"/>
        <w:ind w:left="0" w:firstLine="709"/>
        <w:jc w:val="both"/>
        <w:spacing w:line="240" w:lineRule="auto"/>
      </w:pPr>
      <w:r>
        <w:rPr>
          <w:rFonts w:ascii="PT Serif" w:hAnsi="PT Serif" w:eastAsia="PT Serif" w:cs="PT Serif"/>
          <w:sz w:val="28"/>
          <w:szCs w:val="28"/>
        </w:rPr>
        <w:t xml:space="preserve">Источниками </w:t>
      </w:r>
      <w:r>
        <w:rPr>
          <w:rFonts w:ascii="PT Serif" w:hAnsi="PT Serif" w:eastAsia="PT Serif" w:cs="PT Serif"/>
          <w:b/>
          <w:bCs/>
          <w:sz w:val="28"/>
          <w:szCs w:val="28"/>
        </w:rPr>
        <w:t xml:space="preserve">техногенных</w:t>
      </w:r>
      <w:r>
        <w:rPr>
          <w:rFonts w:ascii="PT Serif" w:hAnsi="PT Serif" w:eastAsia="PT Serif" w:cs="PT Serif"/>
          <w:b/>
          <w:sz w:val="28"/>
          <w:szCs w:val="28"/>
        </w:rPr>
        <w:t xml:space="preserve"> чрезвычайных ситуаций в</w:t>
      </w:r>
      <w:r>
        <w:rPr>
          <w:rFonts w:ascii="PT Serif" w:hAnsi="PT Serif" w:eastAsia="PT Serif" w:cs="PT Serif"/>
          <w:b/>
          <w:color w:val="000000" w:themeColor="text1"/>
          <w:sz w:val="28"/>
          <w:szCs w:val="28"/>
        </w:rPr>
        <w:t xml:space="preserve">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период</w:t>
      </w:r>
      <w:r>
        <w:rPr>
          <w:rFonts w:ascii="PT Serif" w:hAnsi="PT Serif" w:eastAsia="PT Serif" w:cs="PT Serif"/>
          <w:b/>
          <w:sz w:val="28"/>
          <w:szCs w:val="28"/>
        </w:rPr>
        <w:t xml:space="preserve">, </w:t>
      </w:r>
      <w:r>
        <w:rPr>
          <w:rFonts w:ascii="PT Serif" w:hAnsi="PT Serif" w:eastAsia="PT Serif" w:cs="PT Serif"/>
          <w:sz w:val="28"/>
          <w:szCs w:val="28"/>
        </w:rPr>
        <w:t xml:space="preserve">на территории автономного округа, в основном </w:t>
      </w:r>
      <w:r>
        <w:rPr>
          <w:rFonts w:ascii="PT Serif" w:hAnsi="PT Serif" w:eastAsia="PT Serif" w:cs="PT Serif"/>
          <w:sz w:val="28"/>
          <w:szCs w:val="28"/>
        </w:rPr>
        <w:t xml:space="preserve">являются: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ДТП</w:t>
      </w:r>
      <w:r>
        <w:rPr>
          <w:rFonts w:ascii="PT Serif" w:hAnsi="PT Serif" w:eastAsia="PT Serif" w:cs="PT Serif"/>
          <w:b/>
          <w:bCs/>
          <w:i/>
          <w:iCs/>
          <w:sz w:val="28"/>
          <w:szCs w:val="28"/>
        </w:rPr>
        <w:t xml:space="preserve"> </w:t>
      </w:r>
      <w:r>
        <w:rPr>
          <w:rFonts w:ascii="PT Serif" w:hAnsi="PT Serif" w:eastAsia="PT Serif" w:cs="PT Serif"/>
          <w:sz w:val="28"/>
          <w:szCs w:val="28"/>
        </w:rPr>
        <w:t xml:space="preserve">(вероятность 0,8, сезон 2024-25гг. - 0 ЧС),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происшествия на воздушном транспорте</w:t>
      </w:r>
      <w:r>
        <w:rPr>
          <w:rFonts w:ascii="PT Serif" w:hAnsi="PT Serif" w:eastAsia="PT Serif" w:cs="PT Serif"/>
          <w:b/>
          <w:i/>
          <w:sz w:val="28"/>
          <w:szCs w:val="28"/>
        </w:rPr>
        <w:t xml:space="preserve"> </w:t>
      </w:r>
      <w:r>
        <w:rPr>
          <w:rFonts w:ascii="PT Serif" w:hAnsi="PT Serif" w:eastAsia="PT Serif" w:cs="PT Serif"/>
          <w:sz w:val="28"/>
          <w:szCs w:val="28"/>
        </w:rPr>
        <w:t xml:space="preserve">(вероятность 0,</w:t>
      </w:r>
      <w:r>
        <w:rPr>
          <w:rFonts w:ascii="PT Serif" w:hAnsi="PT Serif" w:eastAsia="PT Serif" w:cs="PT Serif"/>
          <w:sz w:val="28"/>
          <w:szCs w:val="28"/>
        </w:rPr>
        <w:t xml:space="preserve">3, сезон</w:t>
      </w:r>
      <w:r>
        <w:rPr>
          <w:rFonts w:ascii="PT Serif" w:hAnsi="PT Serif" w:eastAsia="PT Serif" w:cs="PT Serif"/>
          <w:sz w:val="28"/>
          <w:szCs w:val="28"/>
        </w:rPr>
        <w:t xml:space="preserve"> 2024-25гг. - 0 ЧС),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происшествия на объектах и системах магистральных трубопроводов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(вероятность 0,3, </w:t>
      </w:r>
      <w:r>
        <w:rPr>
          <w:rFonts w:ascii="PT Serif" w:hAnsi="PT Serif" w:eastAsia="PT Serif" w:cs="PT Serif"/>
          <w:sz w:val="28"/>
          <w:szCs w:val="28"/>
        </w:rPr>
        <w:t xml:space="preserve">сезон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2</w:t>
      </w:r>
      <w:r>
        <w:rPr>
          <w:rFonts w:ascii="PT Serif" w:hAnsi="PT Serif" w:eastAsia="PT Serif" w:cs="PT Serif"/>
          <w:sz w:val="28"/>
          <w:szCs w:val="28"/>
        </w:rPr>
        <w:t xml:space="preserve">024-25гг. - 0 ЧС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) и</w:t>
      </w:r>
      <w:r>
        <w:rPr>
          <w:rFonts w:ascii="PT Serif" w:hAnsi="PT Serif" w:eastAsia="PT Serif" w:cs="PT Serif"/>
          <w:sz w:val="28"/>
          <w:szCs w:val="28"/>
        </w:rPr>
        <w:t xml:space="preserve"> </w:t>
      </w:r>
      <w:r>
        <w:rPr>
          <w:rFonts w:ascii="PT Serif" w:hAnsi="PT Serif" w:eastAsia="PT Serif" w:cs="PT Serif"/>
          <w:b/>
          <w:i/>
          <w:color w:val="000000" w:themeColor="text1"/>
          <w:sz w:val="28"/>
        </w:rPr>
        <w:t xml:space="preserve">внезапное обрушение зданий, сооружений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(вероятность 0,2, </w:t>
      </w:r>
      <w:r>
        <w:rPr>
          <w:rFonts w:ascii="PT Serif" w:hAnsi="PT Serif" w:eastAsia="PT Serif" w:cs="PT Serif"/>
          <w:sz w:val="28"/>
          <w:szCs w:val="28"/>
        </w:rPr>
        <w:t xml:space="preserve">сезон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2</w:t>
      </w:r>
      <w:r>
        <w:rPr>
          <w:rFonts w:ascii="PT Serif" w:hAnsi="PT Serif" w:eastAsia="PT Serif" w:cs="PT Serif"/>
          <w:sz w:val="28"/>
          <w:szCs w:val="28"/>
        </w:rPr>
        <w:t xml:space="preserve">024-25гг. - 0 </w:t>
      </w:r>
      <w:r>
        <w:rPr>
          <w:rFonts w:ascii="PT Serif" w:hAnsi="PT Serif" w:eastAsia="PT Serif" w:cs="PT Serif"/>
          <w:sz w:val="28"/>
          <w:szCs w:val="28"/>
        </w:rPr>
        <w:t xml:space="preserve">ЧС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) </w:t>
      </w:r>
      <w:r>
        <w:rPr>
          <w:rFonts w:ascii="PT Serif" w:hAnsi="PT Serif" w:eastAsia="PT Serif" w:cs="PT Serif"/>
          <w:sz w:val="28"/>
          <w:szCs w:val="28"/>
        </w:rPr>
        <w:t xml:space="preserve">–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рис.1.</w:t>
      </w:r>
      <w:r/>
    </w:p>
    <w:p>
      <w:pPr>
        <w:jc w:val="center"/>
        <w:spacing w:line="24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95112" cy="1988288"/>
                <wp:effectExtent l="19050" t="19050" r="0" b="0"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19422" cy="1996487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1F4F79"/>
                          </a:solidFill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4.18pt;height:156.56pt;mso-wrap-distance-left:0.00pt;mso-wrap-distance-top:0.00pt;mso-wrap-distance-right:0.00pt;mso-wrap-distance-bottom:0.00pt;" strokecolor="#1F4F79" strokeweight="0.50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96"/>
        <w:ind w:left="0"/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Рис.1. Количество техногенных ЧС по месяцам года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 (за сезоны 2015-2025)</w:t>
      </w:r>
      <w:r/>
    </w:p>
    <w:p>
      <w:pPr>
        <w:pStyle w:val="896"/>
        <w:ind w:left="1069"/>
        <w:spacing w:line="240" w:lineRule="auto"/>
        <w:rPr>
          <w:rFonts w:ascii="PT Serif" w:hAnsi="PT Serif" w:eastAsia="PT Serif" w:cs="PT Serif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4"/>
          <w:szCs w:val="24"/>
          <w:lang w:eastAsia="ru-RU"/>
        </w:rPr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4"/>
          <w:szCs w:val="24"/>
          <w:lang w:eastAsia="ru-RU"/>
        </w:rPr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4"/>
          <w:szCs w:val="24"/>
          <w:lang w:eastAsia="ru-RU"/>
        </w:rPr>
      </w:r>
    </w:p>
    <w:p>
      <w:pPr>
        <w:pStyle w:val="896"/>
        <w:numPr>
          <w:ilvl w:val="3"/>
          <w:numId w:val="2"/>
        </w:numPr>
        <w:ind w:left="0" w:firstLine="709"/>
        <w:jc w:val="both"/>
        <w:spacing w:line="240" w:lineRule="auto"/>
        <w:tabs>
          <w:tab w:val="left" w:pos="992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В среднем происходящее количество природных и техногенных чрезвычайных ситуаций за сезон</w:t>
      </w:r>
      <w:r/>
    </w:p>
    <w:p>
      <w:pPr>
        <w:pStyle w:val="896"/>
        <w:ind w:left="0" w:firstLine="709"/>
        <w:jc w:val="both"/>
        <w:spacing w:line="240" w:lineRule="auto"/>
      </w:pPr>
      <w:r>
        <w:rPr>
          <w:rFonts w:ascii="PT Serif" w:hAnsi="PT Serif" w:eastAsia="PT Serif" w:cs="PT Serif"/>
          <w:sz w:val="28"/>
          <w:szCs w:val="28"/>
        </w:rPr>
        <w:t xml:space="preserve">В среднем происходящее количество </w:t>
      </w:r>
      <w:r>
        <w:rPr>
          <w:rFonts w:ascii="PT Serif" w:hAnsi="PT Serif" w:eastAsia="PT Serif" w:cs="PT Serif"/>
          <w:b/>
          <w:bCs/>
          <w:sz w:val="28"/>
          <w:szCs w:val="28"/>
        </w:rPr>
        <w:t xml:space="preserve">техногенных</w:t>
      </w:r>
      <w:r>
        <w:rPr>
          <w:rFonts w:ascii="PT Serif" w:hAnsi="PT Serif" w:eastAsia="PT Serif" w:cs="PT Serif"/>
          <w:sz w:val="28"/>
          <w:szCs w:val="28"/>
        </w:rPr>
        <w:t xml:space="preserve"> чрезвычайных ситуаций в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период</w:t>
      </w:r>
      <w:r>
        <w:rPr>
          <w:rFonts w:ascii="PT Serif" w:hAnsi="PT Serif" w:eastAsia="PT Serif" w:cs="PT Serif"/>
          <w:b/>
          <w:sz w:val="28"/>
          <w:szCs w:val="28"/>
        </w:rPr>
        <w:t xml:space="preserve"> </w:t>
      </w:r>
      <w:r>
        <w:rPr>
          <w:rFonts w:ascii="PT Serif" w:hAnsi="PT Serif" w:eastAsia="PT Serif" w:cs="PT Serif"/>
          <w:sz w:val="28"/>
          <w:szCs w:val="28"/>
        </w:rPr>
        <w:t xml:space="preserve">– </w:t>
      </w:r>
      <w:r>
        <w:rPr>
          <w:rFonts w:ascii="PT Serif" w:hAnsi="PT Serif" w:eastAsia="PT Serif" w:cs="PT Serif"/>
          <w:b/>
          <w:bCs/>
          <w:sz w:val="28"/>
          <w:szCs w:val="28"/>
        </w:rPr>
        <w:t xml:space="preserve">1,6</w:t>
      </w:r>
      <w:r>
        <w:rPr>
          <w:rFonts w:ascii="PT Serif" w:hAnsi="PT Serif" w:eastAsia="PT Serif" w:cs="PT Serif"/>
          <w:sz w:val="28"/>
          <w:szCs w:val="28"/>
        </w:rPr>
        <w:t xml:space="preserve"> </w:t>
      </w:r>
      <w:r>
        <w:rPr>
          <w:rFonts w:ascii="PT Serif" w:hAnsi="PT Serif" w:eastAsia="PT Serif" w:cs="PT Serif"/>
          <w:i/>
          <w:sz w:val="28"/>
          <w:szCs w:val="28"/>
        </w:rPr>
        <w:t xml:space="preserve">(</w:t>
      </w:r>
      <w:r>
        <w:rPr>
          <w:rFonts w:ascii="PT Serif" w:hAnsi="PT Serif" w:eastAsia="PT Serif" w:cs="PT Serif"/>
          <w:i/>
          <w:iCs/>
          <w:color w:val="000000" w:themeColor="text1"/>
          <w:sz w:val="28"/>
          <w:szCs w:val="28"/>
        </w:rPr>
        <w:t xml:space="preserve">ДТП</w:t>
      </w:r>
      <w:r>
        <w:rPr>
          <w:rFonts w:ascii="PT Serif" w:hAnsi="PT Serif" w:eastAsia="PT Serif" w:cs="PT Serif"/>
          <w:i/>
          <w:iCs/>
          <w:sz w:val="28"/>
          <w:szCs w:val="28"/>
        </w:rPr>
        <w:t xml:space="preserve"> -</w:t>
      </w:r>
      <w:r>
        <w:rPr>
          <w:rFonts w:ascii="PT Serif" w:hAnsi="PT Serif" w:eastAsia="PT Serif" w:cs="PT Serif"/>
          <w:sz w:val="28"/>
          <w:szCs w:val="28"/>
        </w:rPr>
        <w:t xml:space="preserve"> 0,8, 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происшествия на 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воздушном транспорте - </w:t>
      </w:r>
      <w:r>
        <w:rPr>
          <w:rFonts w:ascii="PT Serif" w:hAnsi="PT Serif" w:eastAsia="PT Serif" w:cs="PT Serif"/>
          <w:sz w:val="28"/>
          <w:szCs w:val="28"/>
        </w:rPr>
        <w:t xml:space="preserve">0,3, 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происшествия на объектах и системах магистральных трубопроводов - </w:t>
      </w:r>
      <w:r>
        <w:rPr>
          <w:rFonts w:ascii="PT Serif" w:hAnsi="PT Serif" w:eastAsia="PT Serif" w:cs="PT Serif"/>
          <w:sz w:val="28"/>
          <w:szCs w:val="28"/>
        </w:rPr>
        <w:t xml:space="preserve">0,3, </w:t>
      </w:r>
      <w:r>
        <w:rPr>
          <w:rFonts w:ascii="PT Serif" w:hAnsi="PT Serif" w:eastAsia="PT Serif" w:cs="PT Serif"/>
          <w:i/>
          <w:color w:val="000000" w:themeColor="text1"/>
          <w:sz w:val="28"/>
        </w:rPr>
        <w:t xml:space="preserve">внезапное обрушение зданий, сооружений</w:t>
      </w:r>
      <w:r>
        <w:rPr>
          <w:rFonts w:ascii="PT Serif" w:hAnsi="PT Serif" w:eastAsia="PT Serif" w:cs="PT Serif"/>
          <w:b/>
          <w:i/>
          <w:color w:val="000000" w:themeColor="text1"/>
          <w:sz w:val="28"/>
        </w:rPr>
        <w:t xml:space="preserve"> 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- </w:t>
      </w:r>
      <w:r>
        <w:rPr>
          <w:rFonts w:ascii="PT Serif" w:hAnsi="PT Serif" w:eastAsia="PT Serif" w:cs="PT Serif"/>
          <w:sz w:val="28"/>
          <w:szCs w:val="28"/>
        </w:rPr>
        <w:t xml:space="preserve">0,2); возникновение </w:t>
      </w:r>
      <w:r>
        <w:rPr>
          <w:rFonts w:ascii="PT Serif" w:hAnsi="PT Serif" w:eastAsia="PT Serif" w:cs="PT Serif"/>
          <w:b/>
          <w:bCs/>
          <w:sz w:val="28"/>
          <w:szCs w:val="28"/>
        </w:rPr>
        <w:t xml:space="preserve">природных</w:t>
      </w:r>
      <w:r>
        <w:rPr>
          <w:rFonts w:ascii="PT Serif" w:hAnsi="PT Serif" w:eastAsia="PT Serif" w:cs="PT Serif"/>
          <w:sz w:val="28"/>
          <w:szCs w:val="28"/>
        </w:rPr>
        <w:t xml:space="preserve"> чрезвычайных ситуаций для сезона – </w:t>
      </w:r>
      <w:r>
        <w:rPr>
          <w:rFonts w:ascii="PT Serif" w:hAnsi="PT Serif" w:eastAsia="PT Serif" w:cs="PT Serif"/>
          <w:b/>
          <w:bCs/>
          <w:sz w:val="28"/>
          <w:szCs w:val="28"/>
        </w:rPr>
        <w:t xml:space="preserve">не характерно.</w:t>
      </w:r>
      <w:r/>
    </w:p>
    <w:p>
      <w:pPr>
        <w:pStyle w:val="896"/>
        <w:numPr>
          <w:ilvl w:val="3"/>
          <w:numId w:val="2"/>
        </w:numPr>
        <w:ind w:left="0" w:firstLine="709"/>
        <w:jc w:val="both"/>
        <w:spacing w:line="240" w:lineRule="auto"/>
        <w:tabs>
          <w:tab w:val="left" w:pos="992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Максимумы параметров угроз чрезвычайных ситуаций в разрезе года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 </w:t>
      </w:r>
      <w:r/>
    </w:p>
    <w:p>
      <w:pPr>
        <w:pStyle w:val="896"/>
        <w:ind w:left="0"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Источниками </w:t>
      </w:r>
      <w:r>
        <w:rPr>
          <w:rFonts w:ascii="PT Serif" w:hAnsi="PT Serif" w:eastAsia="PT Serif" w:cs="PT Serif"/>
          <w:b/>
          <w:color w:val="000000" w:themeColor="text1"/>
          <w:sz w:val="28"/>
          <w:szCs w:val="28"/>
        </w:rPr>
        <w:t xml:space="preserve">природных чрезвычайных ситуаций,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на территории автономного округа, в разрезе года, в основном являются: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природные пожары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(вероятность – 0,2, 2024 год – 1 ЧС) и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половодье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(вероятность – 0,2, 2024 год – 1 ЧС). Источниками </w:t>
      </w:r>
      <w:r>
        <w:rPr>
          <w:rFonts w:ascii="PT Serif" w:hAnsi="PT Serif" w:eastAsia="PT Serif" w:cs="PT Serif"/>
          <w:b/>
          <w:color w:val="000000" w:themeColor="text1"/>
          <w:sz w:val="28"/>
          <w:szCs w:val="28"/>
        </w:rPr>
        <w:t xml:space="preserve">техногенных чрезвычайных ситуаций,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на территории автономного округа, в разрезе года, в основном являются: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ДТП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(вероятность 0,7, 2024 год – 1 ЧС),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происшествия на воздушном транспорте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(вероятность 0,5, 2024 год – 0 ЧС),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происшествия на объектах и системах магистральных трубопроводов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(вероятность 0,3, 2024 год – 0 ЧС),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происшествия на водном транспорте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(вероятность 0,2, 2024 год – 0 ЧС), </w:t>
      </w:r>
      <w:r>
        <w:rPr>
          <w:rFonts w:ascii="PT Serif" w:hAnsi="PT Serif" w:eastAsia="PT Serif" w:cs="PT Serif"/>
          <w:b/>
          <w:i/>
          <w:color w:val="000000" w:themeColor="text1"/>
          <w:sz w:val="28"/>
        </w:rPr>
        <w:t xml:space="preserve">внезапное обрушение зданий, сооружений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(вероятность 0,2, 2024 год – 0 ЧС),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происшествия на</w:t>
      </w:r>
      <w:r>
        <w:rPr>
          <w:rFonts w:ascii="PT Serif" w:hAnsi="PT Serif" w:eastAsia="PT Serif" w:cs="PT Serif"/>
          <w:b/>
          <w:color w:val="000000" w:themeColor="text1"/>
          <w:sz w:val="28"/>
          <w:szCs w:val="28"/>
        </w:rPr>
        <w:t xml:space="preserve"> </w:t>
      </w:r>
      <w:r>
        <w:rPr>
          <w:rFonts w:ascii="PT Serif" w:hAnsi="PT Serif" w:eastAsia="PT Serif" w:cs="PT Serif"/>
          <w:b/>
          <w:i/>
          <w:color w:val="000000" w:themeColor="text1"/>
          <w:sz w:val="28"/>
        </w:rPr>
        <w:t xml:space="preserve">железнодорожном транспорте</w:t>
      </w:r>
      <w:r>
        <w:rPr>
          <w:rFonts w:ascii="PT Serif" w:hAnsi="PT Serif" w:eastAsia="PT Serif" w:cs="PT Serif"/>
          <w:i/>
          <w:color w:val="000000" w:themeColor="text1"/>
          <w:sz w:val="28"/>
        </w:rPr>
        <w:t xml:space="preserve">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(вероятность 0,1, 2024 год – 0 ЧС)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.</w:t>
      </w:r>
      <w:r/>
    </w:p>
    <w:p>
      <w:pPr>
        <w:pStyle w:val="896"/>
        <w:numPr>
          <w:ilvl w:val="3"/>
          <w:numId w:val="2"/>
        </w:numPr>
        <w:ind w:left="0" w:firstLine="709"/>
        <w:jc w:val="both"/>
        <w:spacing w:line="240" w:lineRule="auto"/>
        <w:tabs>
          <w:tab w:val="left" w:pos="992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Сезонное увеличение параметров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 угроз чрезвычайных ситуаций </w:t>
      </w:r>
      <w:r/>
    </w:p>
    <w:p>
      <w:pPr>
        <w:pStyle w:val="896"/>
        <w:ind w:left="0"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  <w:lang w:eastAsia="ru-RU"/>
        </w:rPr>
        <w:t xml:space="preserve">В 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период 2025-2026гг.,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увеличения параметров угроз чрезвычайных ситуаций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</w:rPr>
        <w:t xml:space="preserve">не ожидается</w:t>
      </w:r>
      <w:r>
        <w:rPr>
          <w:rFonts w:ascii="PT Serif" w:hAnsi="PT Serif" w:eastAsia="PT Serif" w:cs="PT Serif"/>
          <w:i/>
          <w:sz w:val="28"/>
          <w:szCs w:val="28"/>
        </w:rPr>
        <w:t xml:space="preserve">.</w:t>
      </w:r>
      <w:r/>
    </w:p>
    <w:p>
      <w:pPr>
        <w:pStyle w:val="896"/>
        <w:numPr>
          <w:ilvl w:val="3"/>
          <w:numId w:val="2"/>
        </w:numPr>
        <w:ind w:left="0" w:firstLine="709"/>
        <w:spacing w:line="240" w:lineRule="auto"/>
        <w:tabs>
          <w:tab w:val="left" w:pos="992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Влияние аномальных климатических условий</w:t>
      </w:r>
      <w:r/>
    </w:p>
    <w:p>
      <w:pPr>
        <w:pStyle w:val="896"/>
        <w:ind w:left="0" w:firstLine="709"/>
        <w:jc w:val="both"/>
        <w:spacing w:after="0"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Аномальных климатических условий в 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период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2025-2026 гг. 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–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</w:rPr>
        <w:t xml:space="preserve">не ожидается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.</w:t>
      </w:r>
      <w:r/>
    </w:p>
    <w:p>
      <w:pPr>
        <w:pStyle w:val="896"/>
        <w:ind w:left="0" w:firstLine="709"/>
        <w:jc w:val="both"/>
        <w:spacing w:after="0"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Для осенне-зимнего периода на территории ХМАО-Югры характерны опасные явления погоды, такие как: усиление ветра, туманы, снегопады, гололед, налипание мокрого снега, гололедица и снежный накат, метели, сильные морозы.</w:t>
      </w:r>
      <w:r/>
    </w:p>
    <w:p>
      <w:pPr>
        <w:pStyle w:val="896"/>
        <w:ind w:left="0" w:firstLine="709"/>
        <w:jc w:val="both"/>
        <w:spacing w:after="0"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Прогноз на осенне-зимний период (октябрь - март) ФГБУ "Гидрометцентр России"</w:t>
      </w:r>
      <w:r>
        <w:rPr>
          <w:rFonts w:ascii="PT Serif" w:hAnsi="PT Serif" w:eastAsia="PT Serif" w:cs="PT Serif"/>
          <w:i/>
          <w:iCs/>
          <w:color w:val="000000" w:themeColor="text1"/>
          <w:sz w:val="28"/>
          <w:szCs w:val="28"/>
        </w:rPr>
        <w:t xml:space="preserve"> (табл.1).</w:t>
      </w:r>
      <w:r/>
    </w:p>
    <w:p>
      <w:pPr>
        <w:pageBreakBefore/>
        <w:rPr>
          <w:b/>
          <w:bCs/>
          <w:i/>
          <w:sz w:val="16"/>
          <w:szCs w:val="16"/>
        </w:rPr>
      </w:pPr>
      <w:r>
        <w:rPr>
          <w:b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Таблица 1. Прогноз на осенне-зимний период 2025-2026 гг.*</w:t>
      </w:r>
      <w:r/>
    </w:p>
    <w:tbl>
      <w:tblPr>
        <w:tblW w:w="8941" w:type="dxa"/>
        <w:jc w:val="center"/>
        <w:tblLayout w:type="fixed"/>
        <w:tblLook w:val="0000" w:firstRow="0" w:lastRow="0" w:firstColumn="0" w:lastColumn="0" w:noHBand="0" w:noVBand="0"/>
      </w:tblPr>
      <w:tblGrid>
        <w:gridCol w:w="1867"/>
        <w:gridCol w:w="4253"/>
        <w:gridCol w:w="1417"/>
        <w:gridCol w:w="1404"/>
      </w:tblGrid>
      <w:tr>
        <w:tblPrEx/>
        <w:trPr>
          <w:cantSplit/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Месяцы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Прогноз аномалии температуры воздуха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Климатическая норма, </w:t>
            </w:r>
            <w:r>
              <w:rPr>
                <w:rFonts w:ascii="PT Serif" w:hAnsi="PT Serif" w:eastAsia="PT Serif" w:cs="PT Serif"/>
                <w:b/>
                <w:bCs/>
                <w:sz w:val="20"/>
                <w:szCs w:val="20"/>
                <w:vertAlign w:val="superscript"/>
              </w:rPr>
              <w:t xml:space="preserve">о</w:t>
            </w:r>
            <w:r>
              <w:rPr>
                <w:rFonts w:ascii="PT Serif" w:hAnsi="PT Serif" w:eastAsia="PT Serif" w:cs="PT Serif"/>
                <w:b/>
                <w:bCs/>
                <w:sz w:val="20"/>
                <w:szCs w:val="20"/>
              </w:rPr>
              <w:t xml:space="preserve">С</w:t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vMerge w:val="continue"/>
            <w:textDirection w:val="lrTb"/>
            <w:noWrap w:val="false"/>
          </w:tcPr>
          <w:p>
            <w:pPr>
              <w:pStyle w:val="80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от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до</w:t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Октябрь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Прогноз на осенне-зимний период (октябрь - март) ФГБУ "Гидрометцентр России" опубликует в третьей декаде сентября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+ 0,2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  1,9</w:t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Ноябрь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  9,0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-13,0</w:t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Декабрь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-15,0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-19,0</w:t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Январь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-18,0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-23,0</w:t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Февраль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-16,0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-21,0</w:t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Март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  7,0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-11,0</w:t>
            </w:r>
            <w:r/>
          </w:p>
        </w:tc>
      </w:tr>
    </w:tbl>
    <w:p>
      <w:pPr>
        <w:spacing w:line="240" w:lineRule="auto"/>
      </w:pPr>
      <w:r>
        <w:rPr>
          <w:rFonts w:ascii="PT Serif" w:hAnsi="PT Serif" w:eastAsia="PT Serif" w:cs="PT Serif"/>
          <w:i/>
          <w:color w:val="000000" w:themeColor="text1"/>
          <w:sz w:val="20"/>
          <w:szCs w:val="28"/>
        </w:rPr>
        <w:t xml:space="preserve">* по данным Гидрометцентра России</w:t>
      </w:r>
      <w:r>
        <w:rPr>
          <w:rFonts w:ascii="PT Serif" w:hAnsi="PT Serif" w:eastAsia="PT Serif" w:cs="PT Serif"/>
          <w:i/>
          <w:iCs/>
          <w:color w:val="000000" w:themeColor="text1"/>
          <w:sz w:val="20"/>
          <w:szCs w:val="28"/>
        </w:rPr>
        <w:t xml:space="preserve">.</w:t>
      </w:r>
      <w:r/>
    </w:p>
    <w:p>
      <w:pPr>
        <w:spacing w:line="240" w:lineRule="auto"/>
      </w:pPr>
      <w:r/>
      <w:r/>
    </w:p>
    <w:p>
      <w:pPr>
        <w:pStyle w:val="896"/>
        <w:numPr>
          <w:ilvl w:val="0"/>
          <w:numId w:val="2"/>
        </w:numPr>
        <w:ind w:left="0" w:firstLine="993"/>
        <w:jc w:val="both"/>
        <w:spacing w:line="240" w:lineRule="auto"/>
      </w:pPr>
      <w:r>
        <w:rPr>
          <w:rFonts w:ascii="PT Serif" w:hAnsi="PT Serif" w:eastAsia="PT Serif" w:cs="PT Serif"/>
          <w:b/>
          <w:color w:val="000000" w:themeColor="text1"/>
          <w:sz w:val="28"/>
          <w:szCs w:val="28"/>
        </w:rPr>
        <w:t xml:space="preserve">Параметры прогноза возможных ЧС на территории ХМАО Югры на предстоящий сезон: 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</w:pP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Прогноз солнечной активности и геомагнитной обстановки 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(по данным ИЗМИРАН). </w:t>
      </w:r>
      <w:r/>
    </w:p>
    <w:p>
      <w:pPr>
        <w:pStyle w:val="896"/>
        <w:ind w:left="0" w:firstLine="709"/>
        <w:jc w:val="both"/>
        <w:spacing w:after="0"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Ожидается, что </w:t>
      </w:r>
      <w:r>
        <w:rPr>
          <w:rFonts w:ascii="PT Serif" w:hAnsi="PT Serif" w:eastAsia="PT Serif" w:cs="PT Serif"/>
          <w:i/>
          <w:color w:val="000000" w:themeColor="text1"/>
          <w:sz w:val="28"/>
          <w:szCs w:val="28"/>
        </w:rPr>
        <w:t xml:space="preserve">в 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период 2025-2026гг.</w:t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  <w:t xml:space="preserve"> солнечная активность будет меняться от низкой до высокой, а геомагнитная обстановка – от спокойной до возникновения магнитных бурь.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возникновения ЧС и происшествий, связанных с подтоплением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Возникновения ЧС и происшествий, связанных с подтоплением населенных пунктов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возникновения ЧС и происшествий, связанных с подтоплением населенных пунктов, участков транспортных коммуникаций и прилегающих территорий, находящихся в пониженных участках местности в результате развития первичных ледовых явлений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Возникновения ЧС и происшествий, связанных с подтоплением населенных пунктов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u w:val="single"/>
          <w:lang w:eastAsia="ru-RU"/>
        </w:rPr>
        <w:t xml:space="preserve">В 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период 2025-2026гг.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, на территории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 автономного округа, количество планируемых к открытию ледовых переправ составит в пределах 85 – 90 единиц, автозимников в пределах 55 – 60 единиц.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Установление льда, на большинстве водных объектов автономного округа, будет происходить с уровнями воды, несколько выше среднемноголетних значений этого периода.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На магистральных реках Обь и Иртыш появление плавучего льда и ледообразование ожидается близким к среднемноголетним срокам </w:t>
      </w:r>
      <w:r>
        <w:rPr>
          <w:rFonts w:ascii="PT Serif" w:hAnsi="PT Serif" w:eastAsia="PT Serif" w:cs="PT Serif"/>
          <w:i/>
          <w:iCs/>
          <w:color w:val="000000" w:themeColor="text1"/>
          <w:position w:val="-1"/>
          <w:sz w:val="28"/>
          <w:szCs w:val="28"/>
        </w:rPr>
        <w:t xml:space="preserve">(табл. 2).</w:t>
      </w:r>
      <w:r/>
    </w:p>
    <w:p>
      <w:pPr>
        <w:ind w:firstLine="709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Таблица 2. Многолетние характеристики сроков появления плавучего льда</w:t>
      </w:r>
      <w:r/>
    </w:p>
    <w:tbl>
      <w:tblPr>
        <w:tblW w:w="7901" w:type="dxa"/>
        <w:jc w:val="center"/>
        <w:tblLayout w:type="fixed"/>
        <w:tblLook w:val="0000" w:firstRow="0" w:lastRow="0" w:firstColumn="0" w:lastColumn="0" w:noHBand="0" w:noVBand="0"/>
      </w:tblPr>
      <w:tblGrid>
        <w:gridCol w:w="585"/>
        <w:gridCol w:w="1859"/>
        <w:gridCol w:w="2056"/>
        <w:gridCol w:w="1025"/>
        <w:gridCol w:w="1243"/>
        <w:gridCol w:w="1133"/>
      </w:tblGrid>
      <w:tr>
        <w:tblPrEx/>
        <w:trPr>
          <w:jc w:val="center"/>
          <w:trHeight w:val="17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№</w:t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Река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Пункт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Многолетние сроки появления плавучего льда</w:t>
            </w:r>
            <w:r/>
          </w:p>
        </w:tc>
      </w:tr>
      <w:tr>
        <w:tblPrEx/>
        <w:trPr>
          <w:jc w:val="center"/>
          <w:trHeight w:val="17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2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ранняя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2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средняя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поздняя</w:t>
            </w:r>
            <w:r/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Обь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Нижневартовск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13.10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18.11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-«-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Сургут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01.11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18.11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-«-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Нефтеюганск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15.10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-«-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Сытомино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14.10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-«-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Октябрьское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01.11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18.11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Иртыш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Демьянское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17.10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31.10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26.11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-«-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Ханты-Мансийск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15.10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06.11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22.11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Вах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Ларьяк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02.10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09.11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-«-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Ваховск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04.10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08.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Б.Юган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Таурово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07.10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18.11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-«-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Угут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07.10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.10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Конда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Кондинское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07.10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27.10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16.11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  <w:trHeight w:val="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Северная Сосьва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56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Берёзово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10.10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25.10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18.11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line="240" w:lineRule="auto"/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</w:r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Процесс ледообразования на реках будет сопровождаться повышением уровней воды в пределах 0,5–1,5 м, обусловленных характерным стеснением живого сечения русел.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Опасных гидрологических явлений и связанных с ними угроз БЖД и ЧС в период появления плавучего льда и ледообразования не ожидается.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Прогноз рисков возникновения ЧС и происшествий, обусловленных провалами людей и техники под лед водоемов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Возникновение происшествий, обусловленных провалами людей и техники под лед водоемов,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Происшествия на водных объектах, связанные с провалами людей и техники под лед, наиболее вероятны в начальный период ледообразования (ноябрь–декабрь) и в период закрытия ледовых переправ.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</w:rPr>
        <w:t xml:space="preserve">В осенне-зимний период 2025-2026 гг.,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на территории автономного округа, прогнозируется возникновение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</w:rPr>
        <w:t xml:space="preserve"> 6-10 несчастных случаев, по факту нарушения правил охраны жизни людей на водных объектах,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 связанных с гибелью людей (среднемноголетнее количество – 7,8 случаев) </w:t>
      </w:r>
      <w:r>
        <w:rPr>
          <w:rFonts w:ascii="PT Serif" w:hAnsi="PT Serif" w:eastAsia="PT Serif" w:cs="PT Serif"/>
          <w:i/>
          <w:iCs/>
          <w:color w:val="000000" w:themeColor="text1"/>
          <w:position w:val="-1"/>
          <w:sz w:val="28"/>
          <w:szCs w:val="28"/>
        </w:rPr>
        <w:t xml:space="preserve">- рис. 2.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Основные причины – несоблюдение те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</w:rPr>
        <w:t xml:space="preserve">хники безопасности при нахождении на водных объектах территории автономного округа, рыбная ловля, нарушение запрета выхода маломерных судов в период ледообразования, при несанкционированном выходе на ледяной покров возможны провалы людей и техники под лед.</w:t>
      </w:r>
      <w:r/>
    </w:p>
    <w:p>
      <w:pPr>
        <w:ind w:firstLine="709"/>
        <w:jc w:val="both"/>
        <w:spacing w:line="240" w:lineRule="auto"/>
        <w:rPr>
          <w:rFonts w:ascii="PT Serif" w:hAnsi="PT Serif" w:eastAsia="PT Serif" w:cs="PT Serif"/>
          <w:color w:val="000000" w:themeColor="text1"/>
          <w:sz w:val="16"/>
          <w:szCs w:val="16"/>
        </w:rPr>
      </w:pPr>
      <w:r>
        <w:rPr>
          <w:rFonts w:ascii="PT Serif" w:hAnsi="PT Serif" w:eastAsia="PT Serif" w:cs="PT Serif"/>
          <w:color w:val="000000" w:themeColor="text1"/>
          <w:sz w:val="16"/>
          <w:szCs w:val="16"/>
        </w:rPr>
      </w:r>
      <w:r>
        <w:rPr>
          <w:rFonts w:ascii="PT Serif" w:hAnsi="PT Serif" w:eastAsia="PT Serif" w:cs="PT Serif"/>
          <w:color w:val="000000" w:themeColor="text1"/>
          <w:sz w:val="16"/>
          <w:szCs w:val="16"/>
        </w:rPr>
      </w:r>
      <w:r>
        <w:rPr>
          <w:rFonts w:ascii="PT Serif" w:hAnsi="PT Serif" w:eastAsia="PT Serif" w:cs="PT Serif"/>
          <w:color w:val="000000" w:themeColor="text1"/>
          <w:sz w:val="16"/>
          <w:szCs w:val="16"/>
        </w:rPr>
      </w:r>
    </w:p>
    <w:p>
      <w:pPr>
        <w:jc w:val="both"/>
        <w:spacing w:line="24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085" cy="2081530"/>
                <wp:effectExtent l="0" t="0" r="0" b="0"/>
                <wp:docPr id="2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60085" cy="20815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1F4F79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3.55pt;height:163.90pt;mso-wrap-distance-left:0.00pt;mso-wrap-distance-top:0.00pt;mso-wrap-distance-right:0.00pt;mso-wrap-distance-bottom:0.00pt;" strokecolor="#1F4F79" strokeweight="0.50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Рис.2. Среднемесячное количество происшествий на водных объектах </w: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по месяцам года (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2020-2025)</w:t>
      </w:r>
      <w:r/>
    </w:p>
    <w:p>
      <w:pPr>
        <w:jc w:val="center"/>
        <w:spacing w:line="240" w:lineRule="auto"/>
        <w:rPr>
          <w:rFonts w:ascii="PT Serif" w:hAnsi="PT Serif" w:eastAsia="PT Serif" w:cs="PT Serif"/>
          <w:color w:val="000000" w:themeColor="text1"/>
          <w:sz w:val="16"/>
          <w:szCs w:val="16"/>
        </w:rPr>
      </w:pPr>
      <w:r>
        <w:rPr>
          <w:rFonts w:ascii="PT Serif" w:hAnsi="PT Serif" w:eastAsia="PT Serif" w:cs="PT Serif"/>
          <w:color w:val="000000" w:themeColor="text1"/>
          <w:sz w:val="16"/>
          <w:szCs w:val="16"/>
        </w:rPr>
      </w:r>
      <w:r>
        <w:rPr>
          <w:rFonts w:ascii="PT Serif" w:hAnsi="PT Serif" w:eastAsia="PT Serif" w:cs="PT Serif"/>
          <w:color w:val="000000" w:themeColor="text1"/>
          <w:sz w:val="16"/>
          <w:szCs w:val="16"/>
        </w:rPr>
      </w:r>
      <w:r>
        <w:rPr>
          <w:rFonts w:ascii="PT Serif" w:hAnsi="PT Serif" w:eastAsia="PT Serif" w:cs="PT Serif"/>
          <w:color w:val="000000" w:themeColor="text1"/>
          <w:sz w:val="16"/>
          <w:szCs w:val="16"/>
        </w:rPr>
      </w:r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возникновения ЧС и происшествий, обусловленных высокими уровнями грунтовых вод </w:t>
      </w:r>
      <w:r/>
    </w:p>
    <w:p>
      <w:pPr>
        <w:ind w:left="1" w:firstLine="708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ЧС и происшествий, обусловленных высокими уровнями грунтовых вод,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pStyle w:val="896"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Положение уровня грунтовых вод, на территории автономного округа, ожидается близкое к средней многолетней глубине. 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возникновения ЧС и происшествий, обусловленных активизацией оползневых процессов</w:t>
      </w:r>
      <w:r/>
    </w:p>
    <w:p>
      <w:pPr>
        <w:ind w:left="1" w:firstLine="708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Геологическая обстановка на территории автономного округа удовлетворительная. Проявлений опасных экзогенных геологических процессов,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возникновения ЧС и происшествий, обусловленных авариями на электроэнергетических системах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 </w:t>
      </w:r>
      <w:r/>
    </w:p>
    <w:p>
      <w:pPr>
        <w:ind w:left="1" w:firstLine="708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Возникновение аварий,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возникновения ЧС и происшествий, обусловленных авариями на коммунальных системах жизнеобеспечения </w:t>
      </w:r>
      <w:r/>
    </w:p>
    <w:p>
      <w:pPr>
        <w:ind w:left="1" w:firstLine="708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Возникновение аварий,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увеличения количества техногенных пожаров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Возникновение пожаров,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ind w:left="1" w:firstLine="703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Техногенные пожары в зданиях и сооружениях жилого, социально-бытового и культурного назначения, на территории автономного округа ожидаются на уровне среднемноголетних значений </w:t>
      </w:r>
      <w:r>
        <w:rPr>
          <w:rFonts w:ascii="PT Serif" w:hAnsi="PT Serif" w:eastAsia="PT Serif" w:cs="PT Serif"/>
          <w:i/>
          <w:color w:val="000000" w:themeColor="text1"/>
          <w:position w:val="-1"/>
          <w:sz w:val="28"/>
          <w:szCs w:val="28"/>
          <w:lang w:eastAsia="ru-RU"/>
        </w:rPr>
        <w:t xml:space="preserve">(табл. 3, рис.3).</w:t>
      </w:r>
      <w:r/>
    </w:p>
    <w:p>
      <w:pPr>
        <w:ind w:left="1" w:firstLine="703"/>
        <w:jc w:val="both"/>
        <w:spacing w:line="240" w:lineRule="auto"/>
      </w:pPr>
      <w:r>
        <w:rPr>
          <w:rFonts w:ascii="PT Serif" w:hAnsi="PT Serif" w:eastAsia="PT Serif" w:cs="PT Serif"/>
          <w:bCs/>
          <w:iCs/>
          <w:sz w:val="28"/>
          <w:szCs w:val="28"/>
          <w:lang w:eastAsia="ru-RU" w:bidi="hi-IN"/>
        </w:rPr>
        <w:t xml:space="preserve">За 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color w:val="000000" w:themeColor="text1"/>
          <w:sz w:val="28"/>
          <w:szCs w:val="28"/>
          <w:u w:val="single"/>
        </w:rPr>
        <w:t xml:space="preserve"> период 2025-2026гг.</w:t>
      </w:r>
      <w:r>
        <w:rPr>
          <w:rFonts w:ascii="PT Serif" w:hAnsi="PT Serif" w:eastAsia="PT Serif" w:cs="PT Serif"/>
          <w:b/>
          <w:bCs/>
          <w:iCs/>
          <w:sz w:val="28"/>
          <w:szCs w:val="28"/>
          <w:lang w:eastAsia="ru-RU" w:bidi="hi-IN"/>
        </w:rPr>
        <w:t xml:space="preserve">,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 на территории автономного округа, прогнозируется возникновение около 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1000-1100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 техногенных пожаров.</w:t>
      </w:r>
      <w:r/>
    </w:p>
    <w:p>
      <w:pPr>
        <w:ind w:firstLine="361"/>
        <w:jc w:val="center"/>
        <w:spacing w:line="240" w:lineRule="auto"/>
        <w:rPr>
          <w:rFonts w:ascii="PT Serif" w:hAnsi="PT Serif" w:cs="PT Serif"/>
          <w:b/>
          <w:i/>
          <w:color w:val="000000" w:themeColor="text1"/>
          <w:sz w:val="16"/>
          <w:szCs w:val="24"/>
        </w:rPr>
      </w:pPr>
      <w:r>
        <w:rPr>
          <w:rFonts w:ascii="PT Serif" w:hAnsi="PT Serif" w:cs="PT Serif"/>
          <w:b/>
          <w:i/>
          <w:color w:val="000000" w:themeColor="text1"/>
          <w:sz w:val="16"/>
          <w:szCs w:val="24"/>
        </w:rPr>
      </w:r>
      <w:r>
        <w:rPr>
          <w:rFonts w:ascii="PT Serif" w:hAnsi="PT Serif" w:cs="PT Serif"/>
          <w:b/>
          <w:i/>
          <w:color w:val="000000" w:themeColor="text1"/>
          <w:sz w:val="16"/>
          <w:szCs w:val="24"/>
        </w:rPr>
      </w:r>
      <w:r>
        <w:rPr>
          <w:rFonts w:ascii="PT Serif" w:hAnsi="PT Serif" w:cs="PT Serif"/>
          <w:b/>
          <w:i/>
          <w:color w:val="000000" w:themeColor="text1"/>
          <w:sz w:val="16"/>
          <w:szCs w:val="24"/>
        </w:rPr>
      </w:r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Таблица 3. Среднемноголетнее количество техногенных пожаров </w: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(октябрь-март, 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за сезоны 2020-2025)</w:t>
      </w:r>
      <w:r/>
    </w:p>
    <w:tbl>
      <w:tblPr>
        <w:tblW w:w="7400" w:type="dxa"/>
        <w:jc w:val="center"/>
        <w:tblLayout w:type="fixed"/>
        <w:tblLook w:val="0000" w:firstRow="0" w:lastRow="0" w:firstColumn="0" w:lastColumn="0" w:noHBand="0" w:noVBand="0"/>
      </w:tblPr>
      <w:tblGrid>
        <w:gridCol w:w="2277"/>
        <w:gridCol w:w="1478"/>
        <w:gridCol w:w="2168"/>
        <w:gridCol w:w="1477"/>
      </w:tblGrid>
      <w:tr>
        <w:tblPrEx/>
        <w:trPr>
          <w:jc w:val="center"/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Районы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количество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ind w:left="-3" w:hanging="16"/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Городские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ind w:left="-10" w:hanging="50"/>
              <w:jc w:val="center"/>
              <w:spacing w:line="240" w:lineRule="auto"/>
            </w:pPr>
            <w:r/>
            <w:bookmarkStart w:id="0" w:name="OLE_LINK3"/>
            <w:r/>
            <w:bookmarkStart w:id="1" w:name="OLE_LINK2"/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количество</w:t>
            </w:r>
            <w:bookmarkEnd w:id="0"/>
            <w:r/>
            <w:bookmarkEnd w:id="1"/>
            <w:r/>
            <w:r/>
          </w:p>
        </w:tc>
      </w:tr>
      <w:tr>
        <w:tblPrEx/>
        <w:trPr>
          <w:jc w:val="center"/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Белоярский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Когалым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29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Березовский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Лангепас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Кондинский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Мегион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23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Нефтеюганский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Нефтеюганск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40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Нижневартовский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Нижневартовск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161</w:t>
            </w:r>
            <w:r/>
          </w:p>
        </w:tc>
      </w:tr>
      <w:tr>
        <w:tblPrEx/>
        <w:trPr>
          <w:jc w:val="center"/>
          <w:trHeight w:val="1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Октябрьский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Нягань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48</w:t>
            </w:r>
            <w:r/>
          </w:p>
        </w:tc>
      </w:tr>
      <w:tr>
        <w:tblPrEx/>
        <w:trPr>
          <w:jc w:val="center"/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Советский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Покачи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Сургутский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Пыть-Ях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Ханты-Мансийский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Радужный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</w:t>
            </w:r>
            <w:r/>
          </w:p>
        </w:tc>
      </w:tr>
      <w:tr>
        <w:tblPrEx/>
        <w:trPr>
          <w:jc w:val="center"/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Сургут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215</w:t>
            </w:r>
            <w:r/>
          </w:p>
        </w:tc>
      </w:tr>
      <w:tr>
        <w:tblPrEx/>
        <w:trPr>
          <w:jc w:val="center"/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Урай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27</w:t>
            </w:r>
            <w:r/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Ханты-Мансийск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44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Югорск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Итого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1076</w:t>
            </w:r>
            <w:r/>
          </w:p>
        </w:tc>
      </w:tr>
    </w:tbl>
    <w:p>
      <w:pPr>
        <w:spacing w:line="240" w:lineRule="auto"/>
      </w:pPr>
      <w:r/>
      <w:r/>
    </w:p>
    <w:p>
      <w:pPr>
        <w:jc w:val="center"/>
        <w:spacing w:line="24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085" cy="2075815"/>
                <wp:effectExtent l="0" t="0" r="0" b="0"/>
                <wp:docPr id="3" name="Изображение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085" cy="20758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1F4F79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3.55pt;height:163.45pt;mso-wrap-distance-left:0.00pt;mso-wrap-distance-top:0.00pt;mso-wrap-distance-right:0.00pt;mso-wrap-distance-bottom:0.00pt;" strokecolor="#1F4F79" strokeweight="0.50pt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Рис.3. Среднемесячное количество техногенных пожаров по месяцам года (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2020-2025)</w:t>
      </w:r>
      <w:r/>
    </w:p>
    <w:p>
      <w:pPr>
        <w:contextualSpacing/>
        <w:ind w:left="709"/>
        <w:jc w:val="both"/>
        <w:spacing w:line="240" w:lineRule="auto"/>
        <w:widowControl w:val="off"/>
        <w:tabs>
          <w:tab w:val="left" w:pos="1134" w:leader="none"/>
        </w:tabs>
        <w:rPr>
          <w:rFonts w:ascii="PT Serif" w:hAnsi="PT Serif" w:cs="PT Serif"/>
          <w:color w:val="000000" w:themeColor="text1"/>
          <w:sz w:val="16"/>
          <w:szCs w:val="16"/>
        </w:rPr>
      </w:pPr>
      <w:r>
        <w:rPr>
          <w:rFonts w:ascii="PT Serif" w:hAnsi="PT Serif" w:cs="PT Serif"/>
          <w:color w:val="000000" w:themeColor="text1"/>
          <w:sz w:val="16"/>
          <w:szCs w:val="16"/>
        </w:rPr>
      </w:r>
      <w:r>
        <w:rPr>
          <w:rFonts w:ascii="PT Serif" w:hAnsi="PT Serif" w:cs="PT Serif"/>
          <w:color w:val="000000" w:themeColor="text1"/>
          <w:sz w:val="16"/>
          <w:szCs w:val="16"/>
        </w:rPr>
      </w:r>
      <w:r>
        <w:rPr>
          <w:rFonts w:ascii="PT Serif" w:hAnsi="PT Serif" w:cs="PT Serif"/>
          <w:color w:val="000000" w:themeColor="text1"/>
          <w:sz w:val="16"/>
          <w:szCs w:val="16"/>
        </w:rPr>
      </w:r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возникновения ЧС и происшествий, обусловленных обрушением конструкций зданий и сооружений 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Cs/>
          <w:sz w:val="28"/>
          <w:szCs w:val="28"/>
          <w:lang w:eastAsia="ru-RU" w:bidi="hi-IN"/>
        </w:rPr>
        <w:t xml:space="preserve">В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 период 2025-2026 гг.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, с вероятностью Р=0,2,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на территории автономного округа, 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возможно возникновение 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происшествия, обусловленного обрушением конструкций зданий и сооружений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,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 достигающего критериев чрезвычайной ситуации локального значения.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 </w:t>
      </w:r>
      <w:r/>
    </w:p>
    <w:p>
      <w:pPr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Cs/>
          <w:sz w:val="28"/>
          <w:szCs w:val="28"/>
          <w:lang w:eastAsia="ru-RU" w:bidi="hi-IN"/>
        </w:rPr>
        <w:t xml:space="preserve">В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 период 2025-2026 гг.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, с вероятностью Р=0,8,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на территории автономного округа, 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возможно возникновение ДТП,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 достигающего критериев чрезвычайной ситуации локального значения.</w:t>
      </w:r>
      <w:r/>
    </w:p>
    <w:p>
      <w:pPr>
        <w:ind w:left="1" w:firstLine="706"/>
        <w:jc w:val="both"/>
        <w:spacing w:line="240" w:lineRule="auto"/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ДТП на автодорогах автономного округа, ожидаются около среднемноголетних значений </w:t>
      </w:r>
      <w:r>
        <w:rPr>
          <w:rFonts w:ascii="PT Serif" w:hAnsi="PT Serif" w:eastAsia="PT Serif" w:cs="PT Serif"/>
          <w:i/>
          <w:color w:val="000000" w:themeColor="text1"/>
          <w:position w:val="-1"/>
          <w:sz w:val="28"/>
          <w:szCs w:val="28"/>
          <w:lang w:eastAsia="ru-RU"/>
        </w:rPr>
        <w:t xml:space="preserve">(табл. 4, рис.4).</w:t>
      </w:r>
      <w:r/>
    </w:p>
    <w:p>
      <w:pPr>
        <w:ind w:left="1" w:firstLine="706"/>
        <w:jc w:val="both"/>
        <w:spacing w:line="240" w:lineRule="auto"/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На автотрассах округа прогнозируется возникновение 150-180 ДТП, наиболее опасные участки:</w:t>
      </w:r>
      <w:r/>
    </w:p>
    <w:p>
      <w:pPr>
        <w:ind w:left="1" w:firstLine="708"/>
        <w:jc w:val="both"/>
        <w:spacing w:line="240" w:lineRule="auto"/>
        <w:outlineLvl w:val="0"/>
      </w:pP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u w:val="single"/>
          <w:lang w:eastAsia="ru-RU"/>
        </w:rPr>
        <w:t xml:space="preserve">Федеральные автодороги:</w:t>
      </w:r>
      <w:r/>
    </w:p>
    <w:p>
      <w:pPr>
        <w:ind w:left="1" w:firstLine="706"/>
        <w:jc w:val="both"/>
        <w:spacing w:line="240" w:lineRule="auto"/>
        <w:tabs>
          <w:tab w:val="left" w:pos="567" w:leader="none"/>
          <w:tab w:val="left" w:pos="4007" w:leader="none"/>
        </w:tabs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- 743 км Р-404 – район н.п.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Каркатеевы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 (Нефтеюганский район);</w:t>
      </w:r>
      <w:r/>
    </w:p>
    <w:p>
      <w:pPr>
        <w:ind w:left="1" w:firstLine="706"/>
        <w:jc w:val="both"/>
        <w:spacing w:line="240" w:lineRule="auto"/>
        <w:tabs>
          <w:tab w:val="left" w:pos="567" w:leader="none"/>
          <w:tab w:val="left" w:pos="4007" w:leader="none"/>
        </w:tabs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- 773-774 км Р-404 – район н.п.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Пойковский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 (Нефтеюганский район);</w:t>
      </w:r>
      <w:r/>
    </w:p>
    <w:p>
      <w:pPr>
        <w:ind w:left="1" w:firstLine="706"/>
        <w:jc w:val="both"/>
        <w:spacing w:line="240" w:lineRule="auto"/>
        <w:tabs>
          <w:tab w:val="left" w:pos="567" w:leader="none"/>
          <w:tab w:val="left" w:pos="4007" w:leader="none"/>
        </w:tabs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- 19-20 км «Подъезд к г. Сургут» 2 км от поворота на п.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Сингапай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(Нефтеюганский район).</w:t>
      </w:r>
      <w:r/>
    </w:p>
    <w:p>
      <w:pPr>
        <w:ind w:left="1" w:firstLine="708"/>
        <w:jc w:val="both"/>
        <w:spacing w:line="240" w:lineRule="auto"/>
        <w:outlineLvl w:val="0"/>
      </w:pP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u w:val="single"/>
          <w:lang w:eastAsia="ru-RU"/>
        </w:rPr>
        <w:t xml:space="preserve">Территориальные автодороги:</w:t>
      </w:r>
      <w:r/>
    </w:p>
    <w:p>
      <w:pPr>
        <w:ind w:left="-2" w:firstLine="708"/>
        <w:jc w:val="both"/>
        <w:spacing w:line="240" w:lineRule="auto"/>
        <w:tabs>
          <w:tab w:val="left" w:pos="567" w:leader="none"/>
          <w:tab w:val="left" w:pos="4007" w:leader="none"/>
        </w:tabs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- 57 км г. Сургут – г. Нефтеюганск (Сургутский район);</w:t>
      </w:r>
      <w:r/>
    </w:p>
    <w:p>
      <w:pPr>
        <w:ind w:left="-2" w:firstLine="708"/>
        <w:jc w:val="both"/>
        <w:spacing w:line="240" w:lineRule="auto"/>
        <w:tabs>
          <w:tab w:val="left" w:pos="567" w:leader="none"/>
          <w:tab w:val="left" w:pos="4007" w:leader="none"/>
        </w:tabs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- 6 км г. Нефтеюганск – левый берег р. Обь (Нефтеюганский район);</w:t>
      </w:r>
      <w:r/>
    </w:p>
    <w:p>
      <w:pPr>
        <w:ind w:left="-2" w:firstLine="708"/>
        <w:jc w:val="both"/>
        <w:spacing w:line="240" w:lineRule="auto"/>
        <w:tabs>
          <w:tab w:val="left" w:pos="567" w:leader="none"/>
          <w:tab w:val="left" w:pos="4007" w:leader="none"/>
        </w:tabs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- 10 км г. Нижневартовск – г. Радужный (Нижневартовский район);</w:t>
      </w:r>
      <w:r/>
    </w:p>
    <w:p>
      <w:pPr>
        <w:ind w:left="1" w:firstLine="706"/>
        <w:jc w:val="both"/>
        <w:spacing w:line="240" w:lineRule="auto"/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Общее количество: 6 опасных участков дорог в 3 районах округа.</w:t>
      </w:r>
      <w:r/>
    </w:p>
    <w:p>
      <w:pPr>
        <w:ind w:left="1" w:firstLine="706"/>
        <w:jc w:val="both"/>
        <w:spacing w:line="240" w:lineRule="auto"/>
        <w:tabs>
          <w:tab w:val="left" w:pos="567" w:leader="none"/>
          <w:tab w:val="left" w:pos="4007" w:leader="none"/>
        </w:tabs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Большая часть ДТП прогнозируется на улично-дорожной сети городов и населенных пунктов: Нижневартовск, Сургут, Ханты-Мансийск, Нефтеюганск, Нягань, Пыть-Ях, Радужный. </w:t>
      </w:r>
      <w:r/>
    </w:p>
    <w:p>
      <w:pPr>
        <w:ind w:left="1" w:firstLine="706"/>
        <w:jc w:val="both"/>
        <w:spacing w:line="240" w:lineRule="auto"/>
        <w:tabs>
          <w:tab w:val="left" w:pos="567" w:leader="none"/>
          <w:tab w:val="left" w:pos="4007" w:leader="none"/>
        </w:tabs>
      </w:pP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В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 период 2025-2026 гг.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,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 на территории автономного округа, прогнозируется возникновение около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 500-600 ДТП.</w:t>
      </w:r>
      <w:r/>
    </w:p>
    <w:p>
      <w:pPr>
        <w:ind w:firstLine="542"/>
        <w:jc w:val="center"/>
        <w:spacing w:line="240" w:lineRule="auto"/>
        <w:rPr>
          <w:rFonts w:ascii="PT Serif" w:hAnsi="PT Serif" w:cs="PT Serif"/>
          <w:b/>
          <w:i/>
          <w:color w:val="000000" w:themeColor="text1"/>
          <w:sz w:val="16"/>
          <w:szCs w:val="16"/>
        </w:rPr>
      </w:pPr>
      <w:r>
        <w:rPr>
          <w:rFonts w:ascii="PT Serif" w:hAnsi="PT Serif" w:cs="PT Serif"/>
          <w:b/>
          <w:i/>
          <w:color w:val="000000" w:themeColor="text1"/>
          <w:sz w:val="16"/>
          <w:szCs w:val="16"/>
        </w:rPr>
      </w:r>
      <w:r>
        <w:rPr>
          <w:rFonts w:ascii="PT Serif" w:hAnsi="PT Serif" w:cs="PT Serif"/>
          <w:b/>
          <w:i/>
          <w:color w:val="000000" w:themeColor="text1"/>
          <w:sz w:val="16"/>
          <w:szCs w:val="16"/>
        </w:rPr>
      </w:r>
      <w:r>
        <w:rPr>
          <w:rFonts w:ascii="PT Serif" w:hAnsi="PT Serif" w:cs="PT Serif"/>
          <w:b/>
          <w:i/>
          <w:color w:val="000000" w:themeColor="text1"/>
          <w:sz w:val="16"/>
          <w:szCs w:val="16"/>
        </w:rPr>
      </w:r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Таблица 4. Среднемноголетнее количество ДТП </w: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(октябрь-март, 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за сезоны 2020-2025)</w:t>
      </w:r>
      <w:r/>
    </w:p>
    <w:tbl>
      <w:tblPr>
        <w:tblW w:w="7400" w:type="dxa"/>
        <w:jc w:val="center"/>
        <w:tblLayout w:type="fixed"/>
        <w:tblLook w:val="0000" w:firstRow="0" w:lastRow="0" w:firstColumn="0" w:lastColumn="0" w:noHBand="0" w:noVBand="0"/>
      </w:tblPr>
      <w:tblGrid>
        <w:gridCol w:w="2277"/>
        <w:gridCol w:w="1478"/>
        <w:gridCol w:w="2168"/>
        <w:gridCol w:w="1477"/>
      </w:tblGrid>
      <w:tr>
        <w:tblPrEx/>
        <w:trPr>
          <w:jc w:val="center"/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Районы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количество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ind w:left="-3" w:hanging="16"/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Городские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ind w:left="-10" w:hanging="50"/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количество</w:t>
            </w:r>
            <w:r/>
          </w:p>
        </w:tc>
      </w:tr>
      <w:tr>
        <w:tblPrEx/>
        <w:trPr>
          <w:jc w:val="center"/>
          <w:trHeight w:val="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Белоярский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Когалым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Березовский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Лангепас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Кондинский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Мегион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Нефтеюганский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Нефтеюганск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29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Нижневартовский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Нижневартовск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79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Октябрьский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Нягань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/>
          </w:p>
        </w:tc>
      </w:tr>
      <w:tr>
        <w:tblPrEx/>
        <w:trPr>
          <w:jc w:val="center"/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Советский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Покачи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Сургутский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Пыть-Ях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</w:t>
            </w:r>
            <w:r/>
          </w:p>
        </w:tc>
      </w:tr>
      <w:tr>
        <w:tblPrEx/>
        <w:trPr>
          <w:jc w:val="center"/>
          <w:trHeight w:val="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spacing w:line="57" w:lineRule="atLeast"/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  <w:t xml:space="preserve">Ханты-Мансийский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Радужный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/>
          </w:p>
        </w:tc>
      </w:tr>
      <w:tr>
        <w:tblPrEx/>
        <w:trPr>
          <w:jc w:val="center"/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Сургут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127</w:t>
            </w:r>
            <w:r/>
          </w:p>
        </w:tc>
      </w:tr>
      <w:tr>
        <w:tblPrEx/>
        <w:trPr>
          <w:jc w:val="center"/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Урай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/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Ханты-Мансийск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38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  <w:r>
              <w:rPr>
                <w:rFonts w:ascii="PT Serif" w:hAnsi="PT Serif" w:cs="PT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Югорск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Итого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PT Serif" w:hAnsi="PT Serif" w:eastAsia="PT Serif" w:cs="PT Serif"/>
                <w:b/>
                <w:bCs/>
                <w:color w:val="000000" w:themeColor="text1"/>
                <w:position w:val="-1"/>
                <w:sz w:val="20"/>
                <w:szCs w:val="20"/>
              </w:rPr>
              <w:t xml:space="preserve">622</w:t>
            </w:r>
            <w:r/>
          </w:p>
        </w:tc>
      </w:tr>
    </w:tbl>
    <w:p>
      <w:pPr>
        <w:jc w:val="center"/>
        <w:spacing w:line="240" w:lineRule="auto"/>
        <w:rPr>
          <w:rFonts w:ascii="PT Serif" w:hAnsi="PT Serif" w:eastAsia="PT Serif" w:cs="PT Serif"/>
          <w:b/>
          <w:bCs/>
          <w:i/>
          <w:color w:val="000000" w:themeColor="text1"/>
          <w:sz w:val="16"/>
          <w:szCs w:val="16"/>
        </w:rPr>
      </w:pPr>
      <w:r>
        <w:rPr>
          <w:rFonts w:ascii="PT Serif" w:hAnsi="PT Serif" w:eastAsia="PT Serif" w:cs="PT Serif"/>
          <w:b/>
          <w:bCs/>
          <w:i/>
          <w:color w:val="000000" w:themeColor="text1"/>
          <w:sz w:val="16"/>
          <w:szCs w:val="16"/>
        </w:rPr>
      </w:r>
      <w:r>
        <w:rPr>
          <w:rFonts w:ascii="PT Serif" w:hAnsi="PT Serif" w:eastAsia="PT Serif" w:cs="PT Serif"/>
          <w:b/>
          <w:bCs/>
          <w:i/>
          <w:color w:val="000000" w:themeColor="text1"/>
          <w:sz w:val="16"/>
          <w:szCs w:val="16"/>
        </w:rPr>
      </w:r>
      <w:r>
        <w:rPr>
          <w:rFonts w:ascii="PT Serif" w:hAnsi="PT Serif" w:eastAsia="PT Serif" w:cs="PT Serif"/>
          <w:b/>
          <w:bCs/>
          <w:i/>
          <w:color w:val="000000" w:themeColor="text1"/>
          <w:sz w:val="16"/>
          <w:szCs w:val="16"/>
        </w:rPr>
      </w:r>
    </w:p>
    <w:p>
      <w:pPr>
        <w:jc w:val="center"/>
        <w:spacing w:line="24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085" cy="2090420"/>
                <wp:effectExtent l="0" t="0" r="0" b="0"/>
                <wp:docPr id="4" name="Изображение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60085" cy="20904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1F4F79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3.55pt;height:164.60pt;mso-wrap-distance-left:0.00pt;mso-wrap-distance-top:0.00pt;mso-wrap-distance-right:0.00pt;mso-wrap-distance-bottom:0.00pt;" strokecolor="#1F4F79" strokeweight="0.50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position w:val="-1"/>
          <w:sz w:val="24"/>
          <w:szCs w:val="24"/>
          <w:lang w:eastAsia="ru-RU"/>
        </w:rPr>
        <w:t xml:space="preserve">Рис.4. Среднемесячное количество ДТП по месяцам года (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4"/>
          <w:szCs w:val="24"/>
          <w:lang w:eastAsia="ru-RU"/>
        </w:rPr>
        <w:t xml:space="preserve">2020-2025)</w:t>
      </w:r>
      <w:r/>
    </w:p>
    <w:p>
      <w:pPr>
        <w:ind w:left="1" w:firstLine="706"/>
        <w:jc w:val="both"/>
        <w:spacing w:line="240" w:lineRule="auto"/>
        <w:rPr>
          <w:rFonts w:ascii="PT Serif" w:hAnsi="PT Serif" w:cs="PT Serif"/>
          <w:color w:val="000000" w:themeColor="text1"/>
          <w:sz w:val="16"/>
          <w:szCs w:val="16"/>
        </w:rPr>
        <w:outlineLvl w:val="0"/>
      </w:pPr>
      <w:r>
        <w:rPr>
          <w:rFonts w:ascii="PT Serif" w:hAnsi="PT Serif" w:cs="PT Serif"/>
          <w:color w:val="000000" w:themeColor="text1"/>
          <w:sz w:val="16"/>
          <w:szCs w:val="16"/>
        </w:rPr>
      </w:r>
      <w:r>
        <w:rPr>
          <w:rFonts w:ascii="PT Serif" w:hAnsi="PT Serif" w:cs="PT Serif"/>
          <w:color w:val="000000" w:themeColor="text1"/>
          <w:sz w:val="16"/>
          <w:szCs w:val="16"/>
        </w:rPr>
      </w:r>
      <w:r>
        <w:rPr>
          <w:rFonts w:ascii="PT Serif" w:hAnsi="PT Serif" w:cs="PT Serif"/>
          <w:color w:val="000000" w:themeColor="text1"/>
          <w:sz w:val="16"/>
          <w:szCs w:val="16"/>
        </w:rPr>
      </w:r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</w:t>
      </w:r>
      <w:r/>
    </w:p>
    <w:p>
      <w:pPr>
        <w:ind w:left="1" w:firstLine="706"/>
        <w:jc w:val="both"/>
        <w:spacing w:line="240" w:lineRule="auto"/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Увеличение ДТП в утренние и вечерние часы в связи с туманами на автодорогах автономного округа, ожидаются преимущественно в Сургутском, Нижневартовском и Нефтеюганском районах, в том числе на наиболее опасных участках автодорог.</w:t>
      </w:r>
      <w:r/>
    </w:p>
    <w:p>
      <w:pPr>
        <w:pStyle w:val="896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8" w:leader="none"/>
          <w:tab w:val="left" w:pos="851" w:leader="none"/>
          <w:tab w:val="left" w:pos="1134" w:leader="none"/>
        </w:tabs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Прогноз рисков увеличения аварий на воздушном транспорте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/>
    </w:p>
    <w:p>
      <w:pPr>
        <w:ind w:left="1" w:firstLine="706"/>
        <w:jc w:val="both"/>
        <w:spacing w:line="240" w:lineRule="auto"/>
        <w:outlineLvl w:val="0"/>
      </w:pP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В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 период 2025-2026 гг.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, с вероятностью Р=0,3,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на территории автономного округа, 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возможно возникновение происшествия на воздушном транспорте,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достигающего критериев чрезвычайной ситуации локального значения.</w:t>
      </w:r>
      <w:r/>
    </w:p>
    <w:p>
      <w:pPr>
        <w:pStyle w:val="896"/>
        <w:numPr>
          <w:ilvl w:val="0"/>
          <w:numId w:val="3"/>
        </w:numPr>
        <w:ind w:left="142" w:firstLine="567"/>
        <w:jc w:val="both"/>
        <w:spacing w:line="240" w:lineRule="auto"/>
        <w:outlineLvl w:val="0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position w:val="-1"/>
          <w:sz w:val="28"/>
          <w:szCs w:val="28"/>
        </w:rPr>
        <w:t xml:space="preserve"> Прогноз рисков увеличения </w:t>
      </w: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происшествий </w:t>
        <w:br/>
        <w:t xml:space="preserve">на </w:t>
      </w:r>
      <w:r>
        <w:rPr>
          <w:rFonts w:ascii="PT Serif" w:hAnsi="PT Serif" w:eastAsia="PT Serif" w:cs="PT Serif"/>
          <w:b/>
          <w:color w:val="000000" w:themeColor="text1"/>
          <w:sz w:val="28"/>
          <w:szCs w:val="28"/>
        </w:rPr>
        <w:t xml:space="preserve">железнодорожном</w:t>
      </w:r>
      <w:r>
        <w:rPr>
          <w:rFonts w:ascii="PT Serif" w:hAnsi="PT Serif" w:eastAsia="PT Serif" w:cs="PT Serif"/>
          <w:b/>
          <w:i/>
          <w:color w:val="000000" w:themeColor="text1"/>
          <w:sz w:val="28"/>
        </w:rPr>
        <w:t xml:space="preserve"> транспорте</w:t>
      </w:r>
      <w:r/>
    </w:p>
    <w:p>
      <w:pPr>
        <w:pStyle w:val="896"/>
        <w:ind w:left="0" w:firstLine="709"/>
        <w:jc w:val="both"/>
        <w:spacing w:line="240" w:lineRule="auto"/>
        <w:outlineLvl w:val="0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Возникновение 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ru-RU"/>
        </w:rPr>
        <w:t xml:space="preserve">происшествий,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 связанных с происшествиями на железнодорожном транспорте, способных достигнуть масштабов ЧС локального уровня и выше, </w:t>
      </w:r>
      <w:r>
        <w:rPr>
          <w:rFonts w:ascii="PT Serif" w:hAnsi="PT Serif" w:eastAsia="PT Serif" w:cs="PT Serif"/>
          <w:b/>
          <w:color w:val="000000" w:themeColor="text1"/>
          <w:position w:val="-1"/>
          <w:sz w:val="28"/>
          <w:szCs w:val="28"/>
          <w:lang w:eastAsia="ru-RU"/>
        </w:rPr>
        <w:t xml:space="preserve">не прогнозируется.</w:t>
      </w:r>
      <w:r/>
    </w:p>
    <w:p>
      <w:pPr>
        <w:pStyle w:val="896"/>
        <w:ind w:left="0" w:firstLine="709"/>
        <w:jc w:val="both"/>
        <w:spacing w:line="240" w:lineRule="auto"/>
        <w:outlineLvl w:val="0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</w:rPr>
        <w:t xml:space="preserve">15.  Прогноз рисков увеличения происшествий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</w:rPr>
        <w:t xml:space="preserve">на объектах и системах магистральных трубопроводов</w:t>
      </w:r>
      <w:r/>
    </w:p>
    <w:p>
      <w:pPr>
        <w:pStyle w:val="896"/>
        <w:ind w:left="0" w:firstLine="709"/>
        <w:jc w:val="both"/>
        <w:spacing w:line="240" w:lineRule="auto"/>
        <w:outlineLvl w:val="0"/>
      </w:pP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В 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осенне-зимний</w:t>
      </w: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  <w:u w:val="single"/>
        </w:rPr>
        <w:t xml:space="preserve"> период 2025-2026 гг.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, с вероятностью Р=0,3,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на территории автономного округа, </w:t>
      </w:r>
      <w:r>
        <w:rPr>
          <w:rFonts w:ascii="PT Serif" w:hAnsi="PT Serif" w:eastAsia="PT Serif" w:cs="PT Serif"/>
          <w:b/>
          <w:bCs/>
          <w:color w:val="000000" w:themeColor="text1"/>
          <w:position w:val="-1"/>
          <w:sz w:val="28"/>
          <w:szCs w:val="28"/>
          <w:lang w:eastAsia="ru-RU"/>
        </w:rPr>
        <w:t xml:space="preserve">возможно возникновение происшествия на объектах и системах магистральных трубопроводов,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8"/>
          <w:lang w:eastAsia="ru-RU"/>
        </w:rPr>
        <w:t xml:space="preserve">достигающего критериев чрезвычайной ситуации локального значения.</w:t>
      </w:r>
      <w:r/>
    </w:p>
    <w:p>
      <w:pPr>
        <w:pStyle w:val="896"/>
        <w:ind w:left="0" w:firstLine="709"/>
        <w:jc w:val="both"/>
        <w:spacing w:line="240" w:lineRule="auto"/>
        <w:rPr>
          <w:rFonts w:ascii="PT Serif" w:hAnsi="PT Serif" w:eastAsia="PT Serif" w:cs="PT Serif"/>
          <w:color w:val="000000" w:themeColor="text1"/>
          <w:sz w:val="28"/>
          <w:szCs w:val="28"/>
        </w:rPr>
        <w:outlineLvl w:val="0"/>
      </w:pPr>
      <w:r>
        <w:rPr>
          <w:rFonts w:ascii="PT Serif" w:hAnsi="PT Serif" w:eastAsia="PT Serif" w:cs="PT Serif"/>
          <w:color w:val="000000" w:themeColor="text1"/>
          <w:sz w:val="28"/>
          <w:szCs w:val="28"/>
        </w:rPr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</w:r>
      <w:r>
        <w:rPr>
          <w:rFonts w:ascii="PT Serif" w:hAnsi="PT Serif" w:eastAsia="PT Serif" w:cs="PT Serif"/>
          <w:color w:val="000000" w:themeColor="text1"/>
          <w:sz w:val="28"/>
          <w:szCs w:val="28"/>
        </w:rPr>
      </w:r>
    </w:p>
    <w:p>
      <w:pPr>
        <w:pStyle w:val="896"/>
        <w:numPr>
          <w:ilvl w:val="0"/>
          <w:numId w:val="2"/>
        </w:numPr>
        <w:ind w:left="0" w:firstLine="993"/>
        <w:jc w:val="center"/>
        <w:spacing w:line="240" w:lineRule="auto"/>
      </w:pPr>
      <w:r>
        <w:rPr>
          <w:rFonts w:ascii="PT Serif" w:hAnsi="PT Serif" w:eastAsia="PT Serif" w:cs="PT Serif"/>
          <w:b/>
          <w:bCs/>
          <w:color w:val="000000" w:themeColor="text1"/>
          <w:sz w:val="28"/>
          <w:szCs w:val="28"/>
        </w:rPr>
        <w:t xml:space="preserve">Рекомендации по реагированию на прогноз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  <w:lang w:eastAsia="zh-CN" w:bidi="hi-IN"/>
        </w:rPr>
        <w:t xml:space="preserve">Для повышения эффективности работы по сбору и обмену информацией, с целью создания услов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  <w:lang w:eastAsia="zh-CN" w:bidi="hi-IN"/>
        </w:rPr>
        <w:t xml:space="preserve">ий для оперативного реагирования сил и средств на возможные происшествия и чрезвычайные ситуации, территориальным органам федеральных органов исполнительной власти, органам исполнительной власти ХМАО - Югры, главам администраций муниципальных образований,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  <w:highlight w:val="none"/>
          <w:lang w:eastAsia="zh-CN" w:bidi="hi-IN"/>
        </w:rPr>
        <w:t xml:space="preserve">начальникам пожарно-спасательных отрядов Федеральной противопожарной службы 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  <w:highlight w:val="none"/>
          <w:lang w:eastAsia="zh-CN" w:bidi="hi-IN"/>
        </w:rPr>
        <w:t xml:space="preserve">Государственной противопожарной службы </w:t>
      </w:r>
      <w:bookmarkStart w:id="2" w:name="_GoBack"/>
      <w:r>
        <w:rPr>
          <w:highlight w:val="none"/>
        </w:rPr>
      </w:r>
      <w:bookmarkEnd w:id="2"/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  <w:highlight w:val="none"/>
          <w:lang w:eastAsia="zh-CN" w:bidi="hi-IN"/>
        </w:rPr>
        <w:t xml:space="preserve">Главного управления МЧС России по ХМАО - Югре,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  <w:highlight w:val="none"/>
          <w:lang w:eastAsia="zh-CN" w:bidi="hi-IN"/>
        </w:rPr>
        <w:t xml:space="preserve"> орган</w:t>
      </w:r>
      <w:r>
        <w:rPr>
          <w:rFonts w:ascii="PT Serif" w:hAnsi="PT Serif" w:eastAsia="PT Serif" w:cs="PT Serif"/>
          <w:b/>
          <w:i/>
          <w:color w:val="000000" w:themeColor="text1"/>
          <w:sz w:val="28"/>
          <w:szCs w:val="28"/>
          <w:lang w:eastAsia="zh-CN" w:bidi="hi-IN"/>
        </w:rPr>
        <w:t xml:space="preserve">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и населению в пределах своей компетенции рекомендуется:</w:t>
      </w:r>
      <w:r/>
    </w:p>
    <w:p>
      <w:pPr>
        <w:contextualSpacing/>
        <w:ind w:firstLine="565"/>
        <w:jc w:val="both"/>
        <w:spacing w:line="240" w:lineRule="auto"/>
        <w:rPr>
          <w:rFonts w:ascii="PT Serif" w:hAnsi="PT Serif" w:cs="PT Serif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PT Serif" w:hAnsi="PT Serif" w:cs="PT Serif"/>
          <w:b/>
          <w:bCs/>
          <w:i/>
          <w:iCs/>
          <w:color w:val="000000" w:themeColor="text1"/>
          <w:sz w:val="16"/>
          <w:szCs w:val="16"/>
        </w:rPr>
      </w:r>
      <w:r>
        <w:rPr>
          <w:rFonts w:ascii="PT Serif" w:hAnsi="PT Serif" w:cs="PT Serif"/>
          <w:b/>
          <w:bCs/>
          <w:i/>
          <w:iCs/>
          <w:color w:val="000000" w:themeColor="text1"/>
          <w:sz w:val="16"/>
          <w:szCs w:val="16"/>
        </w:rPr>
      </w:r>
      <w:r>
        <w:rPr>
          <w:rFonts w:ascii="PT Serif" w:hAnsi="PT Serif" w:cs="PT Serif"/>
          <w:b/>
          <w:bCs/>
          <w:i/>
          <w:iCs/>
          <w:color w:val="000000" w:themeColor="text1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ar-SA" w:bidi="hi-IN"/>
        </w:rPr>
        <w:t xml:space="preserve">1. В целях предотвращения возникновения техногенных пожаров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Вести регулярную пропаганду во всех видах СМИ о соблюдении правил пожарной безопасности. Организовать проведение профилактических рейдов по обследованию жилых домов с в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ручением обучающих и пропагандистских материалов по пожарной безопасности и проведением противопожарных инструктажей под роспись. Провести работу по запрету использования населением самодельных и несертифицированных электронагревательных приборов, бытовых 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газовых, керосиновых, бензиновых и других устройств. Обеспечить контроль над своевременным обследованием и профилактическим ремонтом газового оборудования и сете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й газоснабжения, противопожарным состоянием в жилых домах и объектах массового пребывания людей. Обеспечить контроль за состоянием полигонов твердых коммунальных отходов (свалок), в том числе несанкционированных, не допуская открытого горения и задымления.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ar-SA" w:bidi="hi-IN"/>
        </w:rPr>
        <w:t xml:space="preserve">2. В целях предотвращения аварийных и чрезвычайных ситуаций на системах жизнеобеспечения</w:t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</w:rPr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Предприятиям, эксплуатирующим оборудование систем жизнеобеспечения населения, проверить наличие аварийно-восс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тановительных бригад и их укомплектованность техникой и оборудованием. Заблаговременно предусмотреть и выполнить комплекс мероприятий по предупреждению чрезвычайных ситуаций на объектах и системах жизнеобеспечения населения. Принять меры по обеспечению бес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перебойного водоснабжения и электроснабжения котельных и водозаборных сооружений, включая обеспечение этих объектов автономными резервными источниками электропитания. Создать необходимый запас материально-технических ресурсов для ликвидации аварийных ситуа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ций в жилищном фонде, на объектах и сетях коммунальной инфраструктуры. Организовать своевременную и бесперебойную поставку топливно-энергетических ресурсов на объекты жизнеобеспечения населения, обеспечивающие водоснабжение жилищного фонда и объектов социа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льной сферы. Уточнить планы переключения потребителей, при аварийном отключении ЛЭП и ТП, на резервные линии электроснабжения. Особое внимание следует уделить соблюдению правил пожарной безопасности при эксплуатации котельных, печей, отопительных приборов.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Уточнить планы ликвидации аварий на объектах жизнеобеспечения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 населения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zh-CN" w:bidi="hi-IN"/>
        </w:rPr>
        <w:t xml:space="preserve">3. В целях предотвращения аварий на авиационном, железнодорожном транспорте и магистральных трубопроводах</w:t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</w:rPr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Контролировать работоспособность транспортных коммуникаций, проводить комплексные профилактические мероприятия по недопущению аварий на железнодорожном и авиационном транспорте. Для недопущения аварий на магистральных трубо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проводах (газо-, нефтепроводах) проводить патрулирование, организовывать выборочную проверку опасных участков трубопроводов. Уточнить состав сил и средств, привлекаемых для ликвидации ЧС, связанных с авиационным, железнодорожным, магистральным транспортом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.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Уточнить планы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 ЛАРН и др.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zh-CN" w:bidi="hi-IN"/>
        </w:rPr>
        <w:t xml:space="preserve">4. В целях предотвращения аварийных ситуаций на автомобильных дорогах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Осуществлять контроль технического состояния транспорта, используемого для перевозки людей и опасных грузов,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пред рейсовой подготовки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 водителей.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Обеспечить готовность аварийных служб к реагированию на ДТП.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Организовать проведение бесед с водителями предприятий и организаций о последствиях употребления алкоголя перед поездкой с демонстрацией фото- и видеоматериалов с мест ДТП, постоянно проводить пропагандистскую работу ч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ерез СМИ о необходимости соблюдения правил дорожного движения, о состоянии дорожного покрытия в период действия опасных и неблагоприятных метеорологических условий, необходимости использования необходимой автомобильной резины в соответствии с сезоном года.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Организовать постоянное взаимодействие с территориальными подразделениями центра медицины катастроф, районными медицинскими учреждениями и ГИБДД для своевременного реагирования на возможные ДТП.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Организовать готовность дорожных служб к обеспечению нормального функционирования транспортного сообщения.</w:t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</w:rPr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В случае ухудшения обстановки проработать вопросы: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</w:rPr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-дежурства экипажей скорой медицинской помощи, патрульных машин ГИБДД и подвоза ГСМ,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наличие и исправность шнекороторной и др. техники для расчистки снежных заносов;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</w:rPr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-организации мест питания, размещения водителей и пассажиров, информирования населения через СМИ о сложившейся обстановке, а также маршрутов объездных дорог.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Организация работы стационарных и передвижных пунктов обогрева.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</w:rPr>
      </w:pP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В целях обеспечения бесперебойного транспортного сообщения, запланировать необходимые резервы сил и средств для оперативной организации объездов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перекрытых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 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участков автомобильных дорог.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 Определить н</w:t>
      </w:r>
      <w:r>
        <w:rPr>
          <w:rFonts w:ascii="PT Serif" w:hAnsi="PT Serif" w:eastAsia="PT Serif" w:cs="PT Serif"/>
          <w:color w:val="000000" w:themeColor="text1"/>
          <w:position w:val="-1"/>
          <w:sz w:val="28"/>
          <w:szCs w:val="24"/>
          <w:lang w:eastAsia="ru-RU"/>
        </w:rPr>
        <w:t xml:space="preserve">аличие объездных путей, альтернативных маршрутов движения.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ar-SA" w:bidi="hi-IN"/>
        </w:rPr>
        <w:t xml:space="preserve">5. В целях предупреждения несчастных случаев на водных объектах</w:t>
      </w:r>
      <w:r/>
    </w:p>
    <w:p>
      <w:pPr>
        <w:ind w:left="1" w:firstLine="706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Обеспечить контроль готовности спасательных служб к реагированию на происшествия.</w:t>
      </w:r>
      <w:r/>
    </w:p>
    <w:p>
      <w:pPr>
        <w:contextualSpacing/>
        <w:ind w:left="-2" w:firstLine="711"/>
        <w:jc w:val="both"/>
        <w:spacing w:line="240" w:lineRule="auto"/>
        <w:rPr>
          <w:color w:val="000000" w:themeColor="text1"/>
        </w:rPr>
        <w:outlineLvl w:val="0"/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П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ровести тренировки по ликвидации аварий/происшествий на водных объектах. Обеспечить контроль и выполнение мероприятий по охране жизни людей на акваториях рек и водоемов в границах муниципальных образований, в т.ч. з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апрету выхода людей и техники на неокрепший лед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left="-2" w:firstLine="711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Проводить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ическим и обучающим мероприятиям с детьми, включая проведение бесед и лекций по правилам безопасного поведения на водных объектах в период ледообразования и ледостава, оказанию помощи провалившимся под лед и оказанию первой медицинской помощи пострадавшим.</w:t>
      </w:r>
      <w:r/>
    </w:p>
    <w:p>
      <w:pPr>
        <w:contextualSpacing/>
        <w:ind w:left="-2" w:firstLine="711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Обеспечить проведение превентивных мероприятий направленных на предотвращение аварийных ситуаций, связанных с пос</w:t>
      </w: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адками судов на мель, обусловленных низкими уровнями воды на отдельных участках водных путей и как следствие уменьшением габаритов судовых ходов, а также погодными условиями: осадками различной интенсивности, туманами, ухудшением видимости, порывами ветра.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b/>
          <w:bCs/>
          <w:i/>
          <w:iCs/>
          <w:color w:val="000000" w:themeColor="text1"/>
          <w:sz w:val="28"/>
          <w:szCs w:val="28"/>
          <w:lang w:eastAsia="zh-CN" w:bidi="hi-IN"/>
        </w:rPr>
        <w:t xml:space="preserve">6. В целях предотвращения чрезвычайных ситуаций, обусловленных ухудшением эпизоотической обстановки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С целью недопущения возникновения новых и распространения очагов бешенства и других контагиозных заболеваний животных, осуществлять мониторинг ситуаций угроз их возникновения и проведение своевременных противоэпизоотических мероприятий.</w:t>
      </w:r>
      <w:r/>
    </w:p>
    <w:p>
      <w:pPr>
        <w:contextualSpacing/>
        <w:ind w:firstLine="709"/>
        <w:jc w:val="both"/>
        <w:spacing w:line="240" w:lineRule="auto"/>
      </w:pPr>
      <w:r>
        <w:rPr>
          <w:rFonts w:ascii="PT Serif" w:hAnsi="PT Serif" w:eastAsia="PT Serif" w:cs="PT Serif"/>
          <w:color w:val="000000" w:themeColor="text1"/>
          <w:sz w:val="28"/>
          <w:szCs w:val="28"/>
          <w:lang w:eastAsia="zh-CN" w:bidi="hi-IN"/>
        </w:rPr>
        <w:t xml:space="preserve">В период ограничительных мероприятий (карантина) запретить проведение выставок собак и кошек, торговлю домашними животными, вывоз собак и кошек, отлов и охоту на диких животных на территории районов, где отмечены очаги опасных болезней животных.</w:t>
      </w:r>
      <w:r/>
    </w:p>
    <w:p>
      <w:pPr>
        <w:ind w:left="720"/>
        <w:jc w:val="both"/>
        <w:spacing w:line="240" w:lineRule="auto"/>
        <w:outlineLvl w:val="0"/>
      </w:pPr>
      <w:r/>
      <w:r/>
    </w:p>
    <w:p>
      <w:pPr>
        <w:ind w:firstLine="563"/>
        <w:jc w:val="both"/>
        <w:spacing w:line="240" w:lineRule="auto"/>
        <w:rPr>
          <w:rFonts w:ascii="PT Serif" w:hAnsi="PT Serif" w:cs="PT Serif"/>
          <w:i/>
          <w:color w:val="000000" w:themeColor="text1"/>
          <w:sz w:val="16"/>
          <w:szCs w:val="16"/>
        </w:rPr>
      </w:pPr>
      <w:r>
        <w:rPr>
          <w:rFonts w:ascii="PT Serif" w:hAnsi="PT Serif" w:cs="PT Serif"/>
          <w:i/>
          <w:color w:val="000000" w:themeColor="text1"/>
          <w:sz w:val="16"/>
          <w:szCs w:val="16"/>
        </w:rPr>
      </w:r>
      <w:r>
        <w:rPr>
          <w:rFonts w:ascii="PT Serif" w:hAnsi="PT Serif" w:cs="PT Serif"/>
          <w:i/>
          <w:color w:val="000000" w:themeColor="text1"/>
          <w:sz w:val="16"/>
          <w:szCs w:val="16"/>
        </w:rPr>
      </w:r>
      <w:r>
        <w:rPr>
          <w:rFonts w:ascii="PT Serif" w:hAnsi="PT Serif" w:cs="PT Serif"/>
          <w:i/>
          <w:color w:val="000000" w:themeColor="text1"/>
          <w:sz w:val="16"/>
          <w:szCs w:val="16"/>
        </w:rPr>
      </w:r>
    </w:p>
    <w:p>
      <w:pPr>
        <w:ind w:firstLine="563"/>
        <w:jc w:val="both"/>
        <w:spacing w:line="240" w:lineRule="auto"/>
      </w:pPr>
      <w:r>
        <w:rPr>
          <w:rFonts w:ascii="PT Serif" w:hAnsi="PT Serif" w:eastAsia="PT Serif" w:cs="PT Serif"/>
          <w:i/>
          <w:position w:val="-1"/>
          <w:sz w:val="20"/>
          <w:szCs w:val="20"/>
          <w:lang w:eastAsia="ru-RU"/>
        </w:rPr>
        <w:t xml:space="preserve">Подготовлен на основе информации Ханты-Мансийского ЦГМС - филиала ФГБУ «Обь-Иртышское УГМС», Управления </w:t>
      </w:r>
      <w:r>
        <w:rPr>
          <w:rFonts w:ascii="PT Serif" w:hAnsi="PT Serif" w:eastAsia="PT Serif" w:cs="PT Serif"/>
          <w:i/>
          <w:position w:val="-1"/>
          <w:sz w:val="20"/>
          <w:szCs w:val="20"/>
          <w:lang w:eastAsia="ru-RU"/>
        </w:rPr>
        <w:t xml:space="preserve">Роспотребнадзора</w:t>
      </w:r>
      <w:r>
        <w:rPr>
          <w:rFonts w:ascii="PT Serif" w:hAnsi="PT Serif" w:eastAsia="PT Serif" w:cs="PT Serif"/>
          <w:i/>
          <w:position w:val="-1"/>
          <w:sz w:val="20"/>
          <w:szCs w:val="20"/>
          <w:lang w:eastAsia="ru-RU"/>
        </w:rPr>
        <w:t xml:space="preserve"> по ХМАО-Югре, Управления надзорной деятельности, КУ ХМАО-Югры «Центр обеспечения безопасности жизнедеятельности и призыва граждан на военную службу», ГУ МЧС России по ХМАО-Югре, Филиала Севера Сибири ФГБУ «</w:t>
      </w:r>
      <w:r>
        <w:rPr>
          <w:rFonts w:ascii="PT Serif" w:hAnsi="PT Serif" w:eastAsia="PT Serif" w:cs="PT Serif"/>
          <w:i/>
          <w:position w:val="-1"/>
          <w:sz w:val="20"/>
          <w:szCs w:val="20"/>
          <w:lang w:eastAsia="ru-RU"/>
        </w:rPr>
        <w:t xml:space="preserve">Авиаметтелеком</w:t>
      </w:r>
      <w:r>
        <w:rPr>
          <w:rFonts w:ascii="PT Serif" w:hAnsi="PT Serif" w:eastAsia="PT Serif" w:cs="PT Serif"/>
          <w:i/>
          <w:position w:val="-1"/>
          <w:sz w:val="20"/>
          <w:szCs w:val="20"/>
          <w:lang w:eastAsia="ru-RU"/>
        </w:rPr>
        <w:t xml:space="preserve"> Росгидромета», статистических данных.</w:t>
      </w:r>
      <w:r/>
    </w:p>
    <w:p>
      <w:pPr>
        <w:ind w:hanging="2"/>
        <w:spacing w:line="240" w:lineRule="auto"/>
        <w:rPr>
          <w:rFonts w:ascii="PT Serif" w:hAnsi="PT Serif" w:cs="PT Serif"/>
        </w:rPr>
      </w:pPr>
      <w:r>
        <w:rPr>
          <w:rFonts w:ascii="PT Serif" w:hAnsi="PT Serif" w:cs="PT Serif"/>
        </w:rPr>
      </w:r>
      <w:r>
        <w:rPr>
          <w:rFonts w:ascii="PT Serif" w:hAnsi="PT Serif" w:cs="PT Serif"/>
        </w:rPr>
      </w:r>
      <w:r>
        <w:rPr>
          <w:rFonts w:ascii="PT Serif" w:hAnsi="PT Serif" w:cs="PT Serif"/>
        </w:rPr>
      </w:r>
    </w:p>
    <w:p>
      <w:pPr>
        <w:ind w:hanging="2"/>
        <w:rPr>
          <w:rFonts w:ascii="PT Serif" w:hAnsi="PT Serif" w:cs="PT Serif"/>
          <w:color w:val="000000" w:themeColor="text1"/>
        </w:rPr>
      </w:pPr>
      <w:r>
        <w:rPr>
          <w:rFonts w:ascii="PT Serif" w:hAnsi="PT Serif" w:cs="PT Serif"/>
          <w:color w:val="000000" w:themeColor="text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0" distB="6350" distL="6350" distR="6350" simplePos="0" relativeHeight="8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189865</wp:posOffset>
                </wp:positionV>
                <wp:extent cx="2753360" cy="1176020"/>
                <wp:effectExtent l="6350" t="6350" r="6350" b="6350"/>
                <wp:wrapNone/>
                <wp:docPr id="5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3280" cy="1176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" type="#_x0000_t2" style="position:absolute;z-index:8;o:allowoverlap:true;o:allowincell:true;mso-position-horizontal-relative:text;margin-left:150.80pt;mso-position-horizontal:absolute;mso-position-vertical-relative:text;margin-top:14.95pt;mso-position-vertical:absolute;width:216.80pt;height:92.60pt;mso-wrap-distance-left:0.50pt;mso-wrap-distance-top:0.50pt;mso-wrap-distance-right:0.50pt;mso-wrap-distance-bottom:0.50pt;visibility:visible;" filled="f" strokecolor="#000000" strokeweight="1.00pt"/>
            </w:pict>
          </mc:Fallback>
        </mc:AlternateContent>
      </w:r>
      <w:r>
        <w:rPr>
          <w:rFonts w:ascii="PT Serif" w:hAnsi="PT Serif" w:cs="PT Serif"/>
          <w:color w:val="000000" w:themeColor="text1"/>
        </w:rPr>
      </w:r>
      <w:r>
        <w:rPr>
          <w:rFonts w:ascii="PT Serif" w:hAnsi="PT Serif" w:cs="PT Serif"/>
          <w:color w:val="000000" w:themeColor="text1"/>
        </w:rPr>
      </w:r>
    </w:p>
    <w:tbl>
      <w:tblPr>
        <w:tblW w:w="10008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884"/>
        <w:gridCol w:w="2780"/>
      </w:tblGrid>
      <w:tr>
        <w:tblPrEx/>
        <w:trPr>
          <w:trHeight w:val="1443"/>
        </w:trPr>
        <w:tc>
          <w:tcPr>
            <w:tcW w:w="3344" w:type="dxa"/>
            <w:textDirection w:val="lrTb"/>
            <w:noWrap w:val="false"/>
          </w:tcPr>
          <w:p>
            <w:pPr>
              <w:ind w:left="1" w:hanging="3"/>
              <w:rPr>
                <w:rFonts w:ascii="PT Serif" w:hAnsi="PT Serif" w:cs="PT Serif"/>
                <w:color w:val="000000" w:themeColor="text1"/>
                <w:sz w:val="26"/>
                <w:szCs w:val="26"/>
              </w:rPr>
            </w:pPr>
            <w:r>
              <w:rPr>
                <w:rFonts w:ascii="PT Serif" w:hAnsi="PT Serif" w:cs="PT Serif"/>
                <w:color w:val="000000" w:themeColor="text1"/>
                <w:sz w:val="26"/>
                <w:szCs w:val="26"/>
              </w:rPr>
            </w:r>
            <w:r>
              <w:rPr>
                <w:rFonts w:ascii="PT Serif" w:hAnsi="PT Serif" w:cs="PT Serif"/>
                <w:color w:val="000000" w:themeColor="text1"/>
                <w:sz w:val="26"/>
                <w:szCs w:val="26"/>
              </w:rPr>
            </w:r>
            <w:r>
              <w:rPr>
                <w:rFonts w:ascii="PT Serif" w:hAnsi="PT Serif" w:cs="PT Serif"/>
                <w:color w:val="000000" w:themeColor="text1"/>
                <w:sz w:val="26"/>
                <w:szCs w:val="26"/>
              </w:rPr>
            </w:r>
          </w:p>
          <w:p>
            <w:pPr>
              <w:ind w:left="1" w:hanging="3"/>
              <w:outlineLvl w:val="0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8"/>
                <w:szCs w:val="26"/>
              </w:rPr>
              <w:t xml:space="preserve">Начальник центра</w:t>
            </w:r>
            <w:r/>
          </w:p>
          <w:p>
            <w:pPr>
              <w:ind w:left="1" w:hanging="3"/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pPr>
            <w:r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-462280</wp:posOffset>
                      </wp:positionH>
                      <wp:positionV relativeFrom="paragraph">
                        <wp:posOffset>-8255</wp:posOffset>
                      </wp:positionV>
                      <wp:extent cx="371475" cy="333375"/>
                      <wp:effectExtent l="0" t="0" r="0" b="0"/>
                      <wp:wrapThrough wrapText="bothSides">
                        <wp:wrapPolygon edited="1">
                          <wp:start x="-553" y="0"/>
                          <wp:lineTo x="-553" y="1202"/>
                          <wp:lineTo x="2855" y="1202"/>
                          <wp:lineTo x="2855" y="0"/>
                          <wp:lineTo x="-553" y="0"/>
                        </wp:wrapPolygon>
                      </wp:wrapThrough>
                      <wp:docPr id="6" name="Изображение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Изображение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7;o:allowoverlap:true;o:allowincell:true;mso-position-horizontal-relative:text;margin-left:-36.40pt;mso-position-horizontal:absolute;mso-position-vertical-relative:text;margin-top:-0.65pt;mso-position-vertical:absolute;width:29.25pt;height:26.25pt;mso-wrap-distance-left:9.00pt;mso-wrap-distance-top:0.00pt;mso-wrap-distance-right:9.00pt;mso-wrap-distance-bottom:0.00pt;" wrapcoords="-2559 0 -2559 5565 13218 5565 13218 0 -2559 0" stroked="false">
                      <v:path textboxrect="0,0,0,0"/>
                      <w10:wrap type="through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PT Serif" w:hAnsi="PT Serif" w:eastAsia="PT Serif" w:cs="PT Serif"/>
                <w:b/>
                <w:color w:val="000000" w:themeColor="text1"/>
              </w:rPr>
              <w:t xml:space="preserve">ДОКУМЕНТ ПОДПИСАН</w:t>
            </w:r>
            <w:r/>
          </w:p>
          <w:p>
            <w:pPr>
              <w:ind w:hanging="2"/>
              <w:jc w:val="right"/>
            </w:pPr>
            <w:r>
              <w:rPr>
                <w:rFonts w:ascii="PT Serif" w:hAnsi="PT Serif" w:eastAsia="PT Serif" w:cs="PT Serif"/>
                <w:b/>
                <w:color w:val="000000" w:themeColor="text1"/>
              </w:rPr>
              <w:t xml:space="preserve">ЭЛЕКТРОННОЙ ПОДПИСЬЮ</w:t>
            </w:r>
            <w:r/>
          </w:p>
          <w:p>
            <w:pPr>
              <w:rPr>
                <w:rFonts w:ascii="PT Serif" w:hAnsi="PT Serif" w:cs="PT Serif"/>
                <w:color w:val="000000" w:themeColor="text1"/>
                <w:sz w:val="8"/>
                <w:szCs w:val="8"/>
              </w:rPr>
            </w:pPr>
            <w:r>
              <w:rPr>
                <w:rFonts w:ascii="PT Serif" w:hAnsi="PT Serif" w:cs="PT Serif"/>
                <w:color w:val="000000" w:themeColor="text1"/>
                <w:sz w:val="8"/>
                <w:szCs w:val="8"/>
              </w:rPr>
            </w:r>
            <w:r>
              <w:rPr>
                <w:rFonts w:ascii="PT Serif" w:hAnsi="PT Serif" w:cs="PT Serif"/>
                <w:color w:val="000000" w:themeColor="text1"/>
                <w:sz w:val="8"/>
                <w:szCs w:val="8"/>
              </w:rPr>
            </w:r>
            <w:r>
              <w:rPr>
                <w:rFonts w:ascii="PT Serif" w:hAnsi="PT Serif" w:cs="PT Serif"/>
                <w:color w:val="000000" w:themeColor="text1"/>
                <w:sz w:val="8"/>
                <w:szCs w:val="8"/>
              </w:rPr>
            </w:r>
          </w:p>
          <w:p>
            <w:pPr>
              <w:ind w:hanging="2"/>
            </w:pP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Сертификат  [</w:t>
            </w: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Номер сертификата 1]</w:t>
            </w:r>
            <w:r/>
          </w:p>
          <w:p>
            <w:pPr>
              <w:ind w:hanging="2"/>
            </w:pP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Владелец [Владелец сертификата 1]</w:t>
            </w:r>
            <w:r/>
          </w:p>
          <w:p>
            <w:pPr>
              <w:ind w:hanging="2"/>
            </w:pP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Действителен с [</w:t>
            </w: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ДатаС</w:t>
            </w: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 1] по [</w:t>
            </w: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ДатаПо</w:t>
            </w:r>
            <w:r>
              <w:rPr>
                <w:rFonts w:ascii="PT Serif" w:hAnsi="PT Serif" w:eastAsia="PT Serif" w:cs="PT Serif"/>
                <w:color w:val="000000" w:themeColor="text1"/>
                <w:sz w:val="18"/>
                <w:szCs w:val="18"/>
              </w:rPr>
              <w:t xml:space="preserve"> 1]</w:t>
            </w:r>
            <w:r/>
          </w:p>
        </w:tc>
        <w:tc>
          <w:tcPr>
            <w:tcW w:w="2780" w:type="dxa"/>
            <w:textDirection w:val="lrTb"/>
            <w:noWrap w:val="false"/>
          </w:tcPr>
          <w:p>
            <w:pPr>
              <w:ind w:left="1" w:hanging="3"/>
              <w:jc w:val="right"/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pPr>
            <w:r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r>
            <w:r>
              <w:rPr>
                <w:rFonts w:ascii="PT Serif" w:hAnsi="PT Serif" w:cs="PT Serif"/>
                <w:color w:val="000000" w:themeColor="text1"/>
                <w:sz w:val="28"/>
                <w:szCs w:val="28"/>
              </w:rPr>
            </w:r>
          </w:p>
          <w:p>
            <w:pPr>
              <w:ind w:left="1" w:hanging="3"/>
              <w:jc w:val="center"/>
              <w:outlineLvl w:val="0"/>
            </w:pP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8"/>
                <w:szCs w:val="28"/>
              </w:rPr>
              <w:t xml:space="preserve">Р.Д. Романенко</w:t>
            </w:r>
            <w:r>
              <w:rPr>
                <w:rFonts w:ascii="PT Serif" w:hAnsi="PT Serif" w:eastAsia="PT Serif" w:cs="PT Serif"/>
                <w:color w:val="000000" w:themeColor="text1"/>
                <w:position w:val="-1"/>
                <w:sz w:val="28"/>
                <w:szCs w:val="28"/>
              </w:rPr>
            </w:r>
            <w:r/>
          </w:p>
        </w:tc>
      </w:tr>
    </w:tbl>
    <w:p>
      <w:pPr>
        <w:spacing w:line="1" w:lineRule="atLeast"/>
        <w:rPr>
          <w:rFonts w:ascii="PT Serif" w:hAnsi="PT Serif" w:cs="PT Serif"/>
          <w:color w:val="000000" w:themeColor="text1"/>
          <w:szCs w:val="24"/>
        </w:rPr>
      </w:pPr>
      <w:r>
        <w:rPr>
          <w:rFonts w:ascii="PT Serif" w:hAnsi="PT Serif" w:cs="PT Serif"/>
          <w:color w:val="000000" w:themeColor="text1"/>
          <w:szCs w:val="24"/>
        </w:rPr>
      </w:r>
      <w:r>
        <w:rPr>
          <w:rFonts w:ascii="PT Serif" w:hAnsi="PT Serif" w:cs="PT Serif"/>
          <w:color w:val="000000" w:themeColor="text1"/>
          <w:szCs w:val="24"/>
        </w:rPr>
      </w:r>
      <w:r>
        <w:rPr>
          <w:rFonts w:ascii="PT Serif" w:hAnsi="PT Serif" w:cs="PT Serif"/>
          <w:color w:val="000000" w:themeColor="text1"/>
          <w:szCs w:val="24"/>
        </w:rPr>
      </w:r>
    </w:p>
    <w:p>
      <w:pPr>
        <w:ind w:hanging="2"/>
        <w:spacing w:line="1" w:lineRule="atLeas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hanging="2"/>
        <w:spacing w:line="1" w:lineRule="atLeast"/>
        <w:rPr>
          <w:rFonts w:ascii="PT Serif" w:hAnsi="PT Serif" w:eastAsia="PT Serif" w:cs="PT Serif"/>
          <w:color w:val="000000" w:themeColor="text1"/>
          <w:sz w:val="20"/>
          <w:szCs w:val="20"/>
        </w:rPr>
      </w:pPr>
      <w:r>
        <w:rPr>
          <w:rFonts w:ascii="PT Serif" w:hAnsi="PT Serif" w:eastAsia="PT Serif" w:cs="PT Serif"/>
          <w:color w:val="000000" w:themeColor="text1"/>
          <w:sz w:val="20"/>
          <w:szCs w:val="20"/>
        </w:rPr>
      </w:r>
      <w:r>
        <w:rPr>
          <w:rFonts w:ascii="PT Serif" w:hAnsi="PT Serif" w:eastAsia="PT Serif" w:cs="PT Serif"/>
          <w:color w:val="000000" w:themeColor="text1"/>
          <w:sz w:val="20"/>
          <w:szCs w:val="20"/>
        </w:rPr>
      </w:r>
      <w:r>
        <w:rPr>
          <w:rFonts w:ascii="PT Serif" w:hAnsi="PT Serif" w:eastAsia="PT Serif" w:cs="PT Serif"/>
          <w:color w:val="000000" w:themeColor="text1"/>
          <w:sz w:val="20"/>
          <w:szCs w:val="20"/>
        </w:rPr>
      </w:r>
    </w:p>
    <w:p>
      <w:pPr>
        <w:ind w:hanging="2"/>
        <w:spacing w:line="1" w:lineRule="atLeast"/>
      </w:pP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Территориальный центр анализа и прогноза угроз безопасности</w:t>
      </w:r>
      <w:r/>
    </w:p>
    <w:p>
      <w:pPr>
        <w:ind w:hanging="2"/>
        <w:spacing w:line="1" w:lineRule="atLeast"/>
      </w:pP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тел. 8 (3467) 360-086 (доб. 211)</w:t>
      </w:r>
      <w:r/>
    </w:p>
    <w:p>
      <w:pPr>
        <w:ind w:hanging="2"/>
        <w:spacing w:line="1" w:lineRule="atLeast"/>
      </w:pP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e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-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mail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: 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riskhmao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@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cov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86.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ru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 </w:t>
      </w:r>
      <w:r/>
    </w:p>
    <w:p>
      <w:pPr>
        <w:ind w:hanging="2"/>
        <w:spacing w:line="1" w:lineRule="atLeast"/>
      </w:pP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http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://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risk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.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cov</w:t>
      </w:r>
      <w:r>
        <w:rPr>
          <w:rFonts w:ascii="PT Serif" w:hAnsi="PT Serif" w:eastAsia="PT Serif" w:cs="PT Serif"/>
          <w:color w:val="000000" w:themeColor="text1"/>
          <w:position w:val="-1"/>
          <w:sz w:val="20"/>
        </w:rPr>
        <w:t xml:space="preserve">86.</w:t>
      </w:r>
      <w:r>
        <w:rPr>
          <w:rFonts w:ascii="PT Serif" w:hAnsi="PT Serif" w:eastAsia="PT Serif" w:cs="PT Serif"/>
          <w:color w:val="000000" w:themeColor="text1"/>
          <w:position w:val="-1"/>
          <w:sz w:val="20"/>
          <w:lang w:val="en-US"/>
        </w:rPr>
        <w:t xml:space="preserve">ru</w:t>
      </w:r>
      <w:r>
        <w:rPr>
          <w:rFonts w:ascii="PT Serif" w:hAnsi="PT Serif" w:eastAsia="PT Serif" w:cs="PT Serif"/>
          <w:color w:val="000000" w:themeColor="text1"/>
          <w:position w:val="-1"/>
        </w:rPr>
        <w:t xml:space="preserve"> </w:t>
      </w:r>
      <w:r/>
    </w:p>
    <w:p>
      <w:pPr>
        <w:ind w:hanging="2"/>
        <w:spacing w:line="240" w:lineRule="auto"/>
        <w:rPr>
          <w:rFonts w:ascii="PT Serif" w:hAnsi="PT Serif" w:cs="PT Serif"/>
          <w:szCs w:val="24"/>
        </w:rPr>
      </w:pPr>
      <w:r>
        <w:rPr>
          <w:rFonts w:ascii="PT Serif" w:hAnsi="PT Serif" w:cs="PT Serif"/>
          <w:szCs w:val="24"/>
        </w:rPr>
      </w:r>
      <w:r>
        <w:rPr>
          <w:rFonts w:ascii="PT Serif" w:hAnsi="PT Serif" w:cs="PT Serif"/>
          <w:szCs w:val="24"/>
        </w:rPr>
      </w:r>
      <w:r>
        <w:rPr>
          <w:rFonts w:ascii="PT Serif" w:hAnsi="PT Serif" w:cs="PT Serif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417" w:right="1276" w:bottom="1134" w:left="155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20B0606030804020204"/>
  </w:font>
  <w:font w:name="PT Serif">
    <w:panose1 w:val="020A0603040505020204"/>
  </w:font>
  <w:font w:name="Lohit Devanagari">
    <w:panose1 w:val="020B0600000000000000"/>
  </w:font>
  <w:font w:name="Open Sans">
    <w:panose1 w:val="020B060603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fldSimple w:instr="PAGE \* MERGEFORMAT">
      <w:r>
        <w:t xml:space="preserve">1</w:t>
      </w:r>
    </w:fldSimple>
    <w:r/>
    <w:r/>
  </w:p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069" w:hanging="360"/>
        <w:tabs>
          <w:tab w:val="num" w:pos="0" w:leader="none"/>
        </w:tabs>
      </w:pPr>
      <w:rPr>
        <w:rFonts w:ascii="PT Serif" w:hAnsi="PT Serif" w:eastAsia="PT Serif" w:cs="PT Serif"/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30" w:hanging="360"/>
        <w:tabs>
          <w:tab w:val="num" w:pos="0" w:leader="none"/>
        </w:tabs>
      </w:pPr>
      <w:rPr>
        <w:rFonts w:ascii="Times New Roman" w:hAnsi="Times New Roman" w:cs="Times New Roman"/>
        <w:b/>
        <w:i/>
        <w:sz w:val="28"/>
        <w:szCs w:val="28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upperRoman"/>
      <w:pStyle w:val="897"/>
      <w:isLgl w:val="false"/>
      <w:suff w:val="tab"/>
      <w:lvlText w:val="%1."/>
      <w:lvlJc w:val="right"/>
      <w:pPr>
        <w:ind w:left="107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18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45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4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59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30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01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72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57" w:hanging="360"/>
        <w:tabs>
          <w:tab w:val="num" w:pos="0" w:leader="none"/>
        </w:tabs>
      </w:pPr>
      <w:rPr>
        <w:rFonts w:ascii="PT Serif" w:hAnsi="PT Serif" w:eastAsia="PT Serif" w:cs="PT Serif"/>
        <w:b/>
        <w:i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8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 w:default="1">
    <w:name w:val="Normal"/>
    <w:qFormat/>
    <w:pPr>
      <w:spacing w:line="259" w:lineRule="auto"/>
    </w:pPr>
  </w:style>
  <w:style w:type="paragraph" w:styleId="805">
    <w:name w:val="Heading 1"/>
    <w:basedOn w:val="804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06">
    <w:name w:val="Heading 2"/>
    <w:basedOn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11">
    <w:name w:val="Heading 7"/>
    <w:basedOn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2">
    <w:name w:val="Heading 8"/>
    <w:basedOn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3">
    <w:name w:val="Heading 9"/>
    <w:basedOn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Heading 2 Char"/>
    <w:basedOn w:val="814"/>
    <w:uiPriority w:val="9"/>
    <w:qFormat/>
    <w:rPr>
      <w:rFonts w:ascii="Arial" w:hAnsi="Arial" w:eastAsia="Arial" w:cs="Arial"/>
      <w:sz w:val="34"/>
    </w:rPr>
  </w:style>
  <w:style w:type="character" w:styleId="818" w:customStyle="1">
    <w:name w:val="Heading 3 Char"/>
    <w:basedOn w:val="814"/>
    <w:uiPriority w:val="9"/>
    <w:qFormat/>
    <w:rPr>
      <w:rFonts w:ascii="Arial" w:hAnsi="Arial" w:eastAsia="Arial" w:cs="Arial"/>
      <w:sz w:val="30"/>
      <w:szCs w:val="30"/>
    </w:rPr>
  </w:style>
  <w:style w:type="character" w:styleId="819" w:customStyle="1">
    <w:name w:val="Heading 4 Char"/>
    <w:basedOn w:val="8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Heading 5 Char"/>
    <w:basedOn w:val="8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Heading 6 Char"/>
    <w:basedOn w:val="8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Heading 7 Char"/>
    <w:basedOn w:val="8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Heading 8 Char"/>
    <w:basedOn w:val="8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Heading 9 Char"/>
    <w:basedOn w:val="8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5" w:customStyle="1">
    <w:name w:val="Title Char"/>
    <w:basedOn w:val="814"/>
    <w:uiPriority w:val="10"/>
    <w:qFormat/>
    <w:rPr>
      <w:sz w:val="48"/>
      <w:szCs w:val="48"/>
    </w:rPr>
  </w:style>
  <w:style w:type="character" w:styleId="826" w:customStyle="1">
    <w:name w:val="Quote Char"/>
    <w:uiPriority w:val="29"/>
    <w:qFormat/>
    <w:rPr>
      <w:i/>
    </w:rPr>
  </w:style>
  <w:style w:type="character" w:styleId="827" w:customStyle="1">
    <w:name w:val="Intense Quote Char"/>
    <w:uiPriority w:val="30"/>
    <w:qFormat/>
    <w:rPr>
      <w:i/>
    </w:rPr>
  </w:style>
  <w:style w:type="character" w:styleId="828" w:customStyle="1">
    <w:name w:val="Header Char"/>
    <w:basedOn w:val="814"/>
    <w:uiPriority w:val="99"/>
    <w:qFormat/>
  </w:style>
  <w:style w:type="character" w:styleId="829" w:customStyle="1">
    <w:name w:val="Caption Char"/>
    <w:uiPriority w:val="99"/>
    <w:qFormat/>
  </w:style>
  <w:style w:type="character" w:styleId="830" w:customStyle="1">
    <w:name w:val="Footnote Text Char"/>
    <w:uiPriority w:val="99"/>
    <w:qFormat/>
    <w:rPr>
      <w:sz w:val="18"/>
    </w:rPr>
  </w:style>
  <w:style w:type="character" w:styleId="831" w:customStyle="1">
    <w:name w:val="Endnote Text Char"/>
    <w:uiPriority w:val="99"/>
    <w:qFormat/>
    <w:rPr>
      <w:sz w:val="20"/>
    </w:rPr>
  </w:style>
  <w:style w:type="character" w:styleId="832" w:customStyle="1">
    <w:name w:val="Heading 1 Char"/>
    <w:basedOn w:val="814"/>
    <w:uiPriority w:val="9"/>
    <w:qFormat/>
    <w:rPr>
      <w:rFonts w:ascii="Arial" w:hAnsi="Arial" w:eastAsia="Arial" w:cs="Arial"/>
      <w:sz w:val="40"/>
      <w:szCs w:val="40"/>
    </w:rPr>
  </w:style>
  <w:style w:type="character" w:styleId="833" w:customStyle="1">
    <w:name w:val="Заголовок 2 Знак"/>
    <w:basedOn w:val="814"/>
    <w:uiPriority w:val="9"/>
    <w:qFormat/>
    <w:rPr>
      <w:rFonts w:ascii="Arial" w:hAnsi="Arial" w:eastAsia="Arial" w:cs="Arial"/>
      <w:sz w:val="34"/>
    </w:rPr>
  </w:style>
  <w:style w:type="character" w:styleId="834" w:customStyle="1">
    <w:name w:val="Заголовок 3 Знак"/>
    <w:basedOn w:val="814"/>
    <w:uiPriority w:val="9"/>
    <w:qFormat/>
    <w:rPr>
      <w:rFonts w:ascii="Arial" w:hAnsi="Arial" w:eastAsia="Arial" w:cs="Arial"/>
      <w:sz w:val="30"/>
      <w:szCs w:val="30"/>
    </w:rPr>
  </w:style>
  <w:style w:type="character" w:styleId="835" w:customStyle="1">
    <w:name w:val="Заголовок 4 Знак"/>
    <w:basedOn w:val="8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6" w:customStyle="1">
    <w:name w:val="Заголовок 5 Знак"/>
    <w:basedOn w:val="8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7" w:customStyle="1">
    <w:name w:val="Заголовок 6 Знак"/>
    <w:basedOn w:val="8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8" w:customStyle="1">
    <w:name w:val="Заголовок 7 Знак"/>
    <w:basedOn w:val="8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9" w:customStyle="1">
    <w:name w:val="Заголовок 8 Знак"/>
    <w:basedOn w:val="8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0" w:customStyle="1">
    <w:name w:val="Заголовок 9 Знак"/>
    <w:basedOn w:val="8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1" w:customStyle="1">
    <w:name w:val="Название Знак"/>
    <w:basedOn w:val="814"/>
    <w:uiPriority w:val="10"/>
    <w:qFormat/>
    <w:rPr>
      <w:sz w:val="48"/>
      <w:szCs w:val="48"/>
    </w:rPr>
  </w:style>
  <w:style w:type="character" w:styleId="842" w:customStyle="1">
    <w:name w:val="Subtitle Char"/>
    <w:basedOn w:val="814"/>
    <w:uiPriority w:val="11"/>
    <w:qFormat/>
    <w:rPr>
      <w:sz w:val="24"/>
      <w:szCs w:val="24"/>
    </w:rPr>
  </w:style>
  <w:style w:type="character" w:styleId="843" w:customStyle="1">
    <w:name w:val="Цитата 2 Знак"/>
    <w:uiPriority w:val="29"/>
    <w:qFormat/>
    <w:rPr>
      <w:i/>
    </w:rPr>
  </w:style>
  <w:style w:type="character" w:styleId="844" w:customStyle="1">
    <w:name w:val="Выделенная цитата Знак"/>
    <w:uiPriority w:val="30"/>
    <w:qFormat/>
    <w:rPr>
      <w:i/>
    </w:rPr>
  </w:style>
  <w:style w:type="character" w:styleId="845" w:customStyle="1">
    <w:name w:val="Верхний колонтитул Знак"/>
    <w:basedOn w:val="814"/>
    <w:uiPriority w:val="99"/>
    <w:qFormat/>
  </w:style>
  <w:style w:type="character" w:styleId="846" w:customStyle="1">
    <w:name w:val="Footer Char"/>
    <w:basedOn w:val="814"/>
    <w:uiPriority w:val="99"/>
    <w:qFormat/>
  </w:style>
  <w:style w:type="character" w:styleId="847" w:customStyle="1">
    <w:name w:val="Нижний колонтитул Знак"/>
    <w:uiPriority w:val="99"/>
    <w:qFormat/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character" w:styleId="849" w:customStyle="1">
    <w:name w:val="Текст сноски Знак"/>
    <w:uiPriority w:val="99"/>
    <w:qFormat/>
    <w:rPr>
      <w:sz w:val="18"/>
    </w:rPr>
  </w:style>
  <w:style w:type="character" w:styleId="850" w:customStyle="1">
    <w:name w:val="Символ сноски"/>
    <w:uiPriority w:val="99"/>
    <w:unhideWhenUsed/>
    <w:qFormat/>
    <w:rPr>
      <w:vertAlign w:val="superscript"/>
    </w:rPr>
  </w:style>
  <w:style w:type="character" w:styleId="851">
    <w:name w:val="footnote reference"/>
    <w:rPr>
      <w:vertAlign w:val="superscript"/>
    </w:rPr>
  </w:style>
  <w:style w:type="character" w:styleId="852" w:customStyle="1">
    <w:name w:val="Текст концевой сноски Знак"/>
    <w:uiPriority w:val="99"/>
    <w:qFormat/>
    <w:rPr>
      <w:sz w:val="20"/>
    </w:rPr>
  </w:style>
  <w:style w:type="character" w:styleId="853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4">
    <w:name w:val="endnote reference"/>
    <w:rPr>
      <w:vertAlign w:val="superscript"/>
    </w:rPr>
  </w:style>
  <w:style w:type="character" w:styleId="855" w:customStyle="1">
    <w:name w:val="Для оглавления2 Знак"/>
    <w:basedOn w:val="857"/>
    <w:qFormat/>
    <w:rPr>
      <w:rFonts w:ascii="Times New Roman" w:hAnsi="Times New Roman" w:cs="Times New Roman" w:eastAsiaTheme="minorEastAsia"/>
      <w:b/>
      <w:bCs/>
      <w:color w:val="5a5a5a" w:themeColor="text1" w:themeTint="A5"/>
      <w:spacing w:val="15"/>
      <w:sz w:val="28"/>
      <w:szCs w:val="28"/>
    </w:rPr>
  </w:style>
  <w:style w:type="character" w:styleId="856" w:customStyle="1">
    <w:name w:val="Заголовок 1 Знак"/>
    <w:basedOn w:val="814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57" w:customStyle="1">
    <w:name w:val="Подзаголовок Знак"/>
    <w:basedOn w:val="814"/>
    <w:uiPriority w:val="11"/>
    <w:qFormat/>
    <w:rPr>
      <w:rFonts w:eastAsiaTheme="minorEastAsia"/>
      <w:color w:val="5a5a5a" w:themeColor="text1" w:themeTint="A5"/>
      <w:spacing w:val="15"/>
    </w:rPr>
  </w:style>
  <w:style w:type="character" w:styleId="858" w:customStyle="1">
    <w:name w:val="Текст Знак"/>
    <w:basedOn w:val="814"/>
    <w:qFormat/>
    <w:rPr>
      <w:rFonts w:ascii="Calibri" w:hAnsi="Calibri" w:eastAsia="Calibri" w:cs="Times New Roman"/>
      <w:szCs w:val="21"/>
    </w:rPr>
  </w:style>
  <w:style w:type="character" w:styleId="859">
    <w:name w:val="Emphasis"/>
    <w:basedOn w:val="814"/>
    <w:uiPriority w:val="20"/>
    <w:qFormat/>
    <w:rPr>
      <w:i/>
      <w:iCs/>
    </w:rPr>
  </w:style>
  <w:style w:type="character" w:styleId="860" w:customStyle="1">
    <w:name w:val="Без интервала Знак"/>
    <w:uiPriority w:val="1"/>
    <w:qFormat/>
  </w:style>
  <w:style w:type="character" w:styleId="861" w:customStyle="1">
    <w:name w:val="Основной текст 3 Знак"/>
    <w:basedOn w:val="814"/>
    <w:uiPriority w:val="99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62" w:customStyle="1">
    <w:name w:val="Основной текст Знак"/>
    <w:basedOn w:val="814"/>
    <w:uiPriority w:val="99"/>
    <w:qFormat/>
  </w:style>
  <w:style w:type="character" w:styleId="863">
    <w:name w:val="FollowedHyperlink"/>
    <w:basedOn w:val="814"/>
    <w:uiPriority w:val="99"/>
    <w:unhideWhenUsed/>
    <w:rPr>
      <w:color w:val="954f72"/>
      <w:u w:val="single"/>
    </w:rPr>
  </w:style>
  <w:style w:type="paragraph" w:styleId="864" w:customStyle="1">
    <w:name w:val="Заголовок1"/>
    <w:basedOn w:val="804"/>
    <w:next w:val="865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65">
    <w:name w:val="Body Text"/>
    <w:basedOn w:val="804"/>
    <w:uiPriority w:val="99"/>
    <w:unhideWhenUsed/>
    <w:pPr>
      <w:spacing w:after="120"/>
    </w:pPr>
  </w:style>
  <w:style w:type="paragraph" w:styleId="866">
    <w:name w:val="List"/>
    <w:basedOn w:val="865"/>
    <w:rPr>
      <w:rFonts w:cs="Lohit Devanagari"/>
    </w:rPr>
  </w:style>
  <w:style w:type="paragraph" w:styleId="867">
    <w:name w:val="Caption"/>
    <w:basedOn w:val="804"/>
    <w:link w:val="82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68">
    <w:name w:val="index heading"/>
    <w:basedOn w:val="864"/>
  </w:style>
  <w:style w:type="paragraph" w:styleId="869" w:customStyle="1">
    <w:name w:val="index heading1"/>
    <w:basedOn w:val="864"/>
    <w:qFormat/>
  </w:style>
  <w:style w:type="paragraph" w:styleId="870" w:customStyle="1">
    <w:name w:val="index heading11"/>
    <w:basedOn w:val="864"/>
    <w:qFormat/>
  </w:style>
  <w:style w:type="paragraph" w:styleId="871" w:customStyle="1">
    <w:name w:val="caption1"/>
    <w:basedOn w:val="80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72" w:customStyle="1">
    <w:name w:val="index heading111"/>
    <w:basedOn w:val="864"/>
    <w:qFormat/>
  </w:style>
  <w:style w:type="paragraph" w:styleId="873" w:customStyle="1">
    <w:name w:val="caption11"/>
    <w:basedOn w:val="80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74" w:customStyle="1">
    <w:name w:val="index heading1111"/>
    <w:basedOn w:val="864"/>
    <w:qFormat/>
  </w:style>
  <w:style w:type="paragraph" w:styleId="875" w:customStyle="1">
    <w:name w:val="index heading11111"/>
    <w:basedOn w:val="864"/>
    <w:qFormat/>
  </w:style>
  <w:style w:type="paragraph" w:styleId="876">
    <w:name w:val="No Spacing"/>
    <w:uiPriority w:val="1"/>
    <w:qFormat/>
  </w:style>
  <w:style w:type="paragraph" w:styleId="877">
    <w:name w:val="Title"/>
    <w:basedOn w:val="8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8">
    <w:name w:val="Quote"/>
    <w:basedOn w:val="804"/>
    <w:uiPriority w:val="29"/>
    <w:qFormat/>
    <w:pPr>
      <w:ind w:left="720" w:right="720"/>
    </w:pPr>
    <w:rPr>
      <w:i/>
    </w:rPr>
  </w:style>
  <w:style w:type="paragraph" w:styleId="879">
    <w:name w:val="Intense Quote"/>
    <w:basedOn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80" w:customStyle="1">
    <w:name w:val="Колонтитул"/>
    <w:basedOn w:val="804"/>
    <w:qFormat/>
  </w:style>
  <w:style w:type="paragraph" w:styleId="881">
    <w:name w:val="Header"/>
    <w:basedOn w:val="80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882">
    <w:name w:val="Footer"/>
    <w:basedOn w:val="80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883">
    <w:name w:val="footnote text"/>
    <w:basedOn w:val="804"/>
    <w:uiPriority w:val="99"/>
    <w:semiHidden/>
    <w:unhideWhenUsed/>
    <w:pPr>
      <w:spacing w:after="40" w:line="240" w:lineRule="auto"/>
    </w:pPr>
    <w:rPr>
      <w:sz w:val="18"/>
    </w:rPr>
  </w:style>
  <w:style w:type="paragraph" w:styleId="884">
    <w:name w:val="endnote text"/>
    <w:basedOn w:val="804"/>
    <w:uiPriority w:val="99"/>
    <w:semiHidden/>
    <w:unhideWhenUsed/>
    <w:pPr>
      <w:spacing w:line="240" w:lineRule="auto"/>
    </w:pPr>
    <w:rPr>
      <w:sz w:val="20"/>
    </w:rPr>
  </w:style>
  <w:style w:type="paragraph" w:styleId="885">
    <w:name w:val="toc 1"/>
    <w:basedOn w:val="804"/>
    <w:uiPriority w:val="39"/>
    <w:unhideWhenUsed/>
    <w:pPr>
      <w:spacing w:after="57"/>
    </w:pPr>
  </w:style>
  <w:style w:type="paragraph" w:styleId="886">
    <w:name w:val="toc 2"/>
    <w:basedOn w:val="804"/>
    <w:uiPriority w:val="39"/>
    <w:unhideWhenUsed/>
    <w:pPr>
      <w:ind w:left="283"/>
      <w:spacing w:after="57"/>
    </w:pPr>
  </w:style>
  <w:style w:type="paragraph" w:styleId="887">
    <w:name w:val="toc 3"/>
    <w:basedOn w:val="804"/>
    <w:uiPriority w:val="39"/>
    <w:unhideWhenUsed/>
    <w:pPr>
      <w:ind w:left="567"/>
      <w:spacing w:after="57"/>
    </w:pPr>
  </w:style>
  <w:style w:type="paragraph" w:styleId="888">
    <w:name w:val="toc 4"/>
    <w:basedOn w:val="804"/>
    <w:uiPriority w:val="39"/>
    <w:unhideWhenUsed/>
    <w:pPr>
      <w:ind w:left="850"/>
      <w:spacing w:after="57"/>
    </w:pPr>
  </w:style>
  <w:style w:type="paragraph" w:styleId="889">
    <w:name w:val="toc 5"/>
    <w:basedOn w:val="804"/>
    <w:uiPriority w:val="39"/>
    <w:unhideWhenUsed/>
    <w:pPr>
      <w:ind w:left="1134"/>
      <w:spacing w:after="57"/>
    </w:pPr>
  </w:style>
  <w:style w:type="paragraph" w:styleId="890">
    <w:name w:val="toc 6"/>
    <w:basedOn w:val="804"/>
    <w:uiPriority w:val="39"/>
    <w:unhideWhenUsed/>
    <w:pPr>
      <w:ind w:left="1417"/>
      <w:spacing w:after="57"/>
    </w:pPr>
  </w:style>
  <w:style w:type="paragraph" w:styleId="891">
    <w:name w:val="toc 7"/>
    <w:basedOn w:val="804"/>
    <w:uiPriority w:val="39"/>
    <w:unhideWhenUsed/>
    <w:pPr>
      <w:ind w:left="1701"/>
      <w:spacing w:after="57"/>
    </w:pPr>
  </w:style>
  <w:style w:type="paragraph" w:styleId="892">
    <w:name w:val="toc 8"/>
    <w:basedOn w:val="804"/>
    <w:uiPriority w:val="39"/>
    <w:unhideWhenUsed/>
    <w:pPr>
      <w:ind w:left="1984"/>
      <w:spacing w:after="57"/>
    </w:pPr>
  </w:style>
  <w:style w:type="paragraph" w:styleId="893">
    <w:name w:val="toc 9"/>
    <w:basedOn w:val="804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  <w:qFormat/>
    <w:pPr>
      <w:spacing w:after="160" w:line="259" w:lineRule="auto"/>
    </w:pPr>
  </w:style>
  <w:style w:type="paragraph" w:styleId="895">
    <w:name w:val="table of figures"/>
    <w:basedOn w:val="804"/>
    <w:uiPriority w:val="99"/>
    <w:unhideWhenUsed/>
  </w:style>
  <w:style w:type="paragraph" w:styleId="896">
    <w:name w:val="List Paragraph"/>
    <w:basedOn w:val="804"/>
    <w:uiPriority w:val="34"/>
    <w:qFormat/>
    <w:pPr>
      <w:contextualSpacing/>
      <w:ind w:left="720"/>
      <w:spacing w:after="160"/>
    </w:pPr>
  </w:style>
  <w:style w:type="paragraph" w:styleId="897" w:customStyle="1">
    <w:name w:val="Для оглавления"/>
    <w:basedOn w:val="805"/>
    <w:qFormat/>
    <w:pPr>
      <w:numPr>
        <w:ilvl w:val="0"/>
        <w:numId w:val="1"/>
      </w:numPr>
      <w:ind w:left="0" w:firstLine="0"/>
      <w:jc w:val="center"/>
      <w:spacing w:after="120" w:line="276" w:lineRule="auto"/>
      <w:tabs>
        <w:tab w:val="left" w:pos="360" w:leader="none"/>
      </w:tabs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898" w:customStyle="1">
    <w:name w:val="Для оглавления2"/>
    <w:basedOn w:val="899"/>
    <w:qFormat/>
    <w:pPr>
      <w:ind w:left="1070" w:hanging="360"/>
      <w:jc w:val="center"/>
      <w:spacing w:before="240" w:after="120" w:line="276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899">
    <w:name w:val="Subtitle"/>
    <w:basedOn w:val="804"/>
    <w:uiPriority w:val="11"/>
    <w:qFormat/>
    <w:rPr>
      <w:rFonts w:eastAsiaTheme="minorEastAsia"/>
      <w:color w:val="5a5a5a" w:themeColor="text1" w:themeTint="A5"/>
      <w:spacing w:val="15"/>
    </w:rPr>
  </w:style>
  <w:style w:type="paragraph" w:styleId="900">
    <w:name w:val="Plain Text"/>
    <w:basedOn w:val="804"/>
    <w:unhideWhenUsed/>
    <w:qFormat/>
    <w:pPr>
      <w:spacing w:line="240" w:lineRule="auto"/>
    </w:pPr>
    <w:rPr>
      <w:rFonts w:ascii="Calibri" w:hAnsi="Calibri" w:eastAsia="Calibri" w:cs="Times New Roman"/>
      <w:szCs w:val="21"/>
    </w:rPr>
  </w:style>
  <w:style w:type="paragraph" w:styleId="901">
    <w:name w:val="Body Text 3"/>
    <w:basedOn w:val="804"/>
    <w:uiPriority w:val="99"/>
    <w:unhideWhenUsed/>
    <w:qFormat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2" w:customStyle="1">
    <w:name w:val="Содержимое таблицы"/>
    <w:basedOn w:val="804"/>
    <w:qFormat/>
    <w:pPr>
      <w:widowControl w:val="off"/>
      <w:suppressLineNumbers/>
    </w:pPr>
  </w:style>
  <w:style w:type="paragraph" w:styleId="903" w:customStyle="1">
    <w:name w:val="Заголовок таблицы"/>
    <w:basedOn w:val="902"/>
    <w:qFormat/>
    <w:pPr>
      <w:jc w:val="center"/>
    </w:pPr>
    <w:rPr>
      <w:b/>
      <w:bCs/>
    </w:rPr>
  </w:style>
  <w:style w:type="paragraph" w:styleId="904" w:customStyle="1">
    <w:name w:val="Обычный (веб)1"/>
    <w:uiPriority w:val="99"/>
    <w:qFormat/>
    <w:pPr>
      <w:contextualSpacing/>
      <w:outlineLvl w:val="0"/>
    </w:pPr>
    <w:rPr>
      <w:rFonts w:ascii="Times New Roman" w:hAnsi="Times New Roman" w:eastAsia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Богданович Крыль</dc:creator>
  <dc:description/>
  <dc:language>ru-RU</dc:language>
  <cp:lastModifiedBy>romanenkord</cp:lastModifiedBy>
  <cp:revision>291</cp:revision>
  <dcterms:created xsi:type="dcterms:W3CDTF">2024-12-16T06:16:00Z</dcterms:created>
  <dcterms:modified xsi:type="dcterms:W3CDTF">2025-09-12T10:20:57Z</dcterms:modified>
</cp:coreProperties>
</file>