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5"/>
          <w:highlight w:val="none"/>
        </w:rPr>
        <w:t xml:space="preserve">КУ «Центр обеспечения безопасности жизнедеятельности и призыва граждан на военную службу»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rFonts w:ascii="PT Serif" w:hAnsi="PT Serif" w:cs="PT Serif"/>
          <w:color w:val="000000" w:themeColor="text1"/>
          <w:sz w:val="25"/>
          <w:szCs w:val="25"/>
          <w:highlight w:val="none"/>
        </w:rPr>
      </w:pPr>
      <w:r>
        <w:rPr>
          <w:rFonts w:ascii="PT Serif" w:hAnsi="PT Serif" w:cs="PT Serif"/>
          <w:color w:val="000000" w:themeColor="text1"/>
          <w:sz w:val="25"/>
          <w:szCs w:val="25"/>
          <w:highlight w:val="none"/>
        </w:rPr>
      </w:r>
      <w:r>
        <w:rPr>
          <w:rFonts w:ascii="PT Serif" w:hAnsi="PT Serif" w:cs="PT Serif"/>
          <w:color w:val="000000" w:themeColor="text1"/>
          <w:sz w:val="25"/>
          <w:szCs w:val="25"/>
          <w:highlight w:val="none"/>
        </w:rPr>
      </w:r>
      <w:r>
        <w:rPr>
          <w:rFonts w:ascii="PT Serif" w:hAnsi="PT Serif" w:cs="PT Serif"/>
          <w:color w:val="000000" w:themeColor="text1"/>
          <w:sz w:val="25"/>
          <w:szCs w:val="25"/>
          <w:highlight w:val="none"/>
        </w:rPr>
      </w:r>
    </w:p>
    <w:p>
      <w:pPr>
        <w:jc w:val="center"/>
        <w:rPr>
          <w:rFonts w:ascii="PT Serif" w:hAnsi="PT Serif" w:cs="PT Serif"/>
          <w:color w:val="000000" w:themeColor="text1"/>
          <w:sz w:val="25"/>
          <w:szCs w:val="25"/>
          <w:highlight w:val="none"/>
        </w:rPr>
      </w:pPr>
      <w:r>
        <w:rPr>
          <w:rFonts w:ascii="PT Serif" w:hAnsi="PT Serif" w:cs="PT Serif"/>
          <w:color w:val="000000" w:themeColor="text1"/>
          <w:sz w:val="25"/>
          <w:szCs w:val="25"/>
          <w:highlight w:val="none"/>
        </w:rPr>
      </w:r>
      <w:r>
        <w:rPr>
          <w:rFonts w:ascii="PT Serif" w:hAnsi="PT Serif" w:cs="PT Serif"/>
          <w:color w:val="000000" w:themeColor="text1"/>
          <w:sz w:val="25"/>
          <w:szCs w:val="25"/>
          <w:highlight w:val="none"/>
        </w:rPr>
      </w:r>
      <w:r>
        <w:rPr>
          <w:rFonts w:ascii="PT Serif" w:hAnsi="PT Serif" w:cs="PT Serif"/>
          <w:color w:val="000000" w:themeColor="text1"/>
          <w:sz w:val="25"/>
          <w:szCs w:val="25"/>
          <w:highlight w:val="none"/>
        </w:rPr>
      </w:r>
    </w:p>
    <w:p>
      <w:pPr>
        <w:jc w:val="center"/>
        <w:rPr>
          <w:rFonts w:ascii="PT Serif" w:hAnsi="PT Serif" w:cs="PT Serif"/>
          <w:b/>
          <w:color w:val="000000" w:themeColor="text1"/>
          <w:sz w:val="25"/>
          <w:szCs w:val="25"/>
          <w:highlight w:val="none"/>
        </w:rPr>
      </w:pPr>
      <w:r>
        <w:rPr>
          <w:rFonts w:ascii="PT Serif" w:hAnsi="PT Serif" w:cs="PT Serif"/>
          <w:b/>
          <w:color w:val="000000" w:themeColor="text1"/>
          <w:sz w:val="25"/>
          <w:szCs w:val="25"/>
          <w:highlight w:val="none"/>
        </w:rPr>
      </w:r>
      <w:r>
        <w:rPr>
          <w:rFonts w:ascii="PT Serif" w:hAnsi="PT Serif" w:cs="PT Serif"/>
          <w:b/>
          <w:color w:val="000000" w:themeColor="text1"/>
          <w:sz w:val="25"/>
          <w:szCs w:val="25"/>
          <w:highlight w:val="none"/>
        </w:rPr>
      </w:r>
      <w:r>
        <w:rPr>
          <w:rFonts w:ascii="PT Serif" w:hAnsi="PT Serif" w:cs="PT Serif"/>
          <w:b/>
          <w:color w:val="000000" w:themeColor="text1"/>
          <w:sz w:val="25"/>
          <w:szCs w:val="25"/>
          <w:highlight w:val="none"/>
        </w:rPr>
      </w:r>
    </w:p>
    <w:p>
      <w:pPr>
        <w:jc w:val="center"/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r>
    </w:p>
    <w:tbl>
      <w:tblPr>
        <w:tblW w:w="924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015"/>
        <w:gridCol w:w="5232"/>
      </w:tblGrid>
      <w:tr>
        <w:tblPrEx/>
        <w:trPr/>
        <w:tc>
          <w:tcPr>
            <w:tcW w:w="4015" w:type="dxa"/>
            <w:textDirection w:val="lrTb"/>
            <w:noWrap w:val="false"/>
          </w:tcPr>
          <w:p>
            <w:pPr>
              <w:ind w:hanging="2"/>
              <w:rPr>
                <w:highlight w:val="none"/>
              </w:rPr>
              <w:outlineLvl w:val="0"/>
            </w:pPr>
            <w:r>
              <w:rPr>
                <w:rFonts w:ascii="PT Serif" w:hAnsi="PT Serif" w:eastAsia="PT Serif" w:cs="PT Serif"/>
                <w:color w:val="000000" w:themeColor="text1"/>
                <w:position w:val="-1"/>
                <w:sz w:val="24"/>
                <w:szCs w:val="24"/>
                <w:highlight w:val="none"/>
              </w:rPr>
              <w:t xml:space="preserve">[Дата документа]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hanging="2"/>
              <w:rPr>
                <w:rFonts w:ascii="PT Serif" w:hAnsi="PT Serif" w:cs="PT Serif"/>
                <w:color w:val="000000" w:themeColor="text1"/>
                <w:sz w:val="24"/>
                <w:szCs w:val="24"/>
                <w:highlight w:val="none"/>
              </w:rPr>
              <w:outlineLvl w:val="0"/>
            </w:pPr>
            <w:r>
              <w:rPr>
                <w:rFonts w:ascii="PT Serif" w:hAnsi="PT Serif" w:cs="PT 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5231" w:type="dxa"/>
            <w:textDirection w:val="lrTb"/>
            <w:noWrap w:val="false"/>
          </w:tcPr>
          <w:p>
            <w:pPr>
              <w:ind w:hanging="2"/>
              <w:jc w:val="right"/>
              <w:rPr>
                <w:highlight w:val="none"/>
              </w:rPr>
              <w:outlineLvl w:val="0"/>
            </w:pPr>
            <w:r>
              <w:rPr>
                <w:rFonts w:ascii="PT Serif" w:hAnsi="PT Serif" w:eastAsia="PT Serif" w:cs="PT Serif"/>
                <w:color w:val="000000" w:themeColor="text1"/>
                <w:position w:val="-1"/>
                <w:sz w:val="24"/>
                <w:szCs w:val="24"/>
                <w:highlight w:val="none"/>
              </w:rPr>
              <w:t xml:space="preserve">[Номер документа]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jc w:val="center"/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pP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</w:p>
    <w:p>
      <w:pPr>
        <w:jc w:val="center"/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pP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ПРОГНОЗ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чрезвычайных ситуаций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на территории Ханты-Мансийского автономного округа - Югры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u w:val="single"/>
        </w:rPr>
        <w:t xml:space="preserve">на период с 14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u w:val="single"/>
        </w:rPr>
        <w:t xml:space="preserve">по 20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u w:val="single"/>
        </w:rPr>
        <w:t xml:space="preserve">ию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u w:val="single"/>
        </w:rPr>
        <w:t xml:space="preserve">л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u w:val="single"/>
        </w:rPr>
        <w:t xml:space="preserve">я 2025 года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pP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  <w:r>
        <w:rPr>
          <w:rFonts w:ascii="PT Serif" w:hAnsi="PT Serif" w:cs="PT Serif"/>
          <w:b/>
          <w:color w:val="000000" w:themeColor="text1"/>
          <w:sz w:val="28"/>
          <w:szCs w:val="28"/>
          <w:highlight w:val="none"/>
        </w:rPr>
      </w:r>
    </w:p>
    <w:p>
      <w:pPr>
        <w:ind w:firstLine="567"/>
        <w:jc w:val="both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lang w:val="en-US"/>
        </w:rPr>
        <w:t xml:space="preserve">I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. 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Оправдываемость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оперативных прогнозов за прошедший период и декадного прогноза за прошедший период </w:t>
      </w:r>
      <w:r>
        <w:rPr>
          <w:highlight w:val="none"/>
        </w:rPr>
      </w:r>
      <w:r>
        <w:rPr>
          <w:highlight w:val="none"/>
        </w:rPr>
      </w:r>
    </w:p>
    <w:p>
      <w:pPr>
        <w:ind w:firstLine="680"/>
        <w:jc w:val="both"/>
        <w:spacing w:line="200" w:lineRule="atLeast"/>
        <w:rPr>
          <w:rFonts w:ascii="PT Serif" w:hAnsi="PT Serif" w:eastAsia="PT Serif" w:cs="PT Serif"/>
          <w:color w:val="000000"/>
          <w:sz w:val="28"/>
          <w:szCs w:val="28"/>
          <w:highlight w:val="none"/>
          <w14:ligatures w14:val="none"/>
        </w:rPr>
      </w:pP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Средняя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оправдываемость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(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30 июня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- 6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июля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2025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г.)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составила 94,1 %.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14:ligatures w14:val="none"/>
        </w:rPr>
      </w:r>
    </w:p>
    <w:p>
      <w:pPr>
        <w:pStyle w:val="766"/>
        <w:contextualSpacing/>
        <w:ind w:left="0" w:firstLine="709"/>
        <w:jc w:val="both"/>
        <w:spacing w:before="0" w:after="0" w:line="240" w:lineRule="auto"/>
        <w:tabs>
          <w:tab w:val="left" w:pos="1276" w:leader="none"/>
        </w:tabs>
        <w:rPr>
          <w:rFonts w:ascii="PT Serif" w:hAnsi="PT Serif" w:cs="PT Serif"/>
          <w:b w:val="0"/>
          <w:bCs w:val="0"/>
          <w:color w:val="000000" w:themeColor="text1"/>
          <w:spacing w:val="0"/>
          <w:sz w:val="16"/>
          <w:szCs w:val="16"/>
          <w:highlight w:val="none"/>
        </w:rPr>
      </w:pPr>
      <w:r>
        <w:rPr>
          <w:rFonts w:ascii="PT Serif" w:hAnsi="PT Serif" w:cs="PT Serif"/>
          <w:b w:val="0"/>
          <w:bCs w:val="0"/>
          <w:color w:val="000000" w:themeColor="text1"/>
          <w:spacing w:val="0"/>
          <w:highlight w:val="none"/>
        </w:rPr>
      </w:r>
      <w:r>
        <w:rPr>
          <w:rFonts w:ascii="PT Serif" w:hAnsi="PT Serif" w:cs="PT Serif"/>
          <w:b w:val="0"/>
          <w:bCs w:val="0"/>
          <w:color w:val="000000" w:themeColor="text1"/>
          <w:spacing w:val="0"/>
          <w:sz w:val="16"/>
          <w:szCs w:val="16"/>
          <w:highlight w:val="none"/>
        </w:rPr>
      </w:r>
      <w:r>
        <w:rPr>
          <w:rFonts w:ascii="PT Serif" w:hAnsi="PT Serif" w:cs="PT Serif"/>
          <w:b w:val="0"/>
          <w:bCs w:val="0"/>
          <w:color w:val="000000" w:themeColor="text1"/>
          <w:spacing w:val="0"/>
          <w:sz w:val="16"/>
          <w:szCs w:val="16"/>
          <w:highlight w:val="none"/>
        </w:rPr>
      </w:r>
    </w:p>
    <w:p>
      <w:pPr>
        <w:ind w:firstLine="567"/>
        <w:jc w:val="both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lang w:val="en-US"/>
        </w:rPr>
        <w:t xml:space="preserve">II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. Динамика синоптических процессов на территории ХМАО-Югры:</w:t>
      </w:r>
      <w:r>
        <w:rPr>
          <w:highlight w:val="none"/>
        </w:rPr>
      </w:r>
      <w:r>
        <w:rPr>
          <w:highlight w:val="none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Температурные отклонения от нормы, в том числе наибольшие отрицательные/положительные отклонения </w:t>
      </w:r>
      <w:r>
        <w:rPr>
          <w:highlight w:val="none"/>
        </w:rPr>
      </w:r>
      <w:r>
        <w:rPr>
          <w:highlight w:val="none"/>
        </w:rPr>
      </w:r>
    </w:p>
    <w:p>
      <w:pPr>
        <w:ind w:firstLine="680"/>
        <w:jc w:val="both"/>
        <w:spacing w:line="200" w:lineRule="atLeast"/>
        <w:rPr>
          <w:highlight w:val="none"/>
        </w:rPr>
      </w:pP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На период с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14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по 20 июля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2025 года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среднесуточная темпе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ратура воздуха, по автономному округу, прогнозируется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от плюс 14,0 °С до плюс 23,0 °С, что на 2,0 °С выше нормы и около значений АППГ. Повсеместно ожидаются осадки в виде дождя, в отдельные дни местами до сильных,  грозы, туманы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 </w:t>
      </w:r>
      <w:r>
        <w:rPr>
          <w:rFonts w:ascii="PT Serif" w:hAnsi="PT Serif" w:eastAsia="PT Serif" w:cs="PT Serif"/>
          <w:i/>
          <w:color w:val="000000" w:themeColor="text1"/>
          <w:sz w:val="28"/>
          <w:szCs w:val="28"/>
          <w:highlight w:val="none"/>
        </w:rPr>
        <w:t xml:space="preserve">(рис.1-3).</w: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jc w:val="center"/>
        <w:rPr>
          <w:rFonts w:ascii="PT Serif" w:hAnsi="PT Serif" w:cs="PT Serif"/>
          <w:highlight w:val="none"/>
        </w:rPr>
      </w:pPr>
      <w:r>
        <w:rPr>
          <w:rFonts w:ascii="PT Serif" w:hAnsi="PT Serif" w:cs="PT Serif"/>
          <w:highlight w:val="none"/>
        </w:rPr>
      </w:r>
      <w:r>
        <w:rPr>
          <w:rFonts w:ascii="PT Serif" w:hAnsi="PT Serif" w:cs="PT Serif"/>
          <w:highlight w:val="none"/>
        </w:rPr>
      </w:r>
      <w:r>
        <w:rPr>
          <w:rFonts w:ascii="PT Serif" w:hAnsi="PT Serif" w:cs="PT Serif"/>
          <w:highlight w:val="none"/>
        </w:rPr>
      </w:r>
    </w:p>
    <w:p>
      <w:pPr>
        <w:ind w:hanging="2"/>
        <w:jc w:val="center"/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</w:p>
    <w:p>
      <w:pPr>
        <w:ind w:hanging="2"/>
        <w:jc w:val="center"/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</w:p>
    <w:p>
      <w:pPr>
        <w:ind w:hanging="2"/>
        <w:jc w:val="center"/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</w:p>
    <w:p>
      <w:pPr>
        <w:ind w:hanging="2"/>
        <w:jc w:val="center"/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</w:p>
    <w:p>
      <w:pPr>
        <w:ind w:hanging="2"/>
        <w:jc w:val="center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jc w:val="center"/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pPr>
      <w:r>
        <w:rPr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</w:p>
    <w:p>
      <w:pPr>
        <w:ind w:hanging="2"/>
        <w:jc w:val="left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4"/>
          <w:szCs w:val="28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60085" cy="4138399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448918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760084" cy="4138399"/>
                        </a:xfrm>
                        <a:prstGeom prst="rect">
                          <a:avLst/>
                        </a:prstGeom>
                        <a:ln w="6349">
                          <a:solidFill>
                            <a:schemeClr val="accent1">
                              <a:lumMod val="50196"/>
                            </a:schemeClr>
                          </a:solidFill>
                          <a:prstDash val="solid"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3.55pt;height:325.86pt;mso-wrap-distance-left:0.00pt;mso-wrap-distance-top:0.00pt;mso-wrap-distance-right:0.00pt;mso-wrap-distance-bottom:0.00pt;" strokecolor="#244161" strokeweight="0.50pt">
                <v:path textboxrect="0,0,0,0"/>
                <v:imagedata r:id="rId9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jc w:val="center"/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4"/>
          <w:szCs w:val="28"/>
          <w:highlight w:val="none"/>
        </w:rPr>
        <w:t xml:space="preserve">Рис.1. Прогноз аномалии средней температуры воздуха на предстоящий период*</w:t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</w:p>
    <w:p>
      <w:pPr>
        <w:ind w:hanging="2"/>
        <w:jc w:val="center"/>
        <w:rPr>
          <w:highlight w:val="none"/>
        </w:rPr>
      </w:pPr>
      <w:r>
        <w:rPr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60085" cy="4138399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2575422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760084" cy="4138399"/>
                        </a:xfrm>
                        <a:prstGeom prst="rect">
                          <a:avLst/>
                        </a:prstGeom>
                        <a:ln w="6349">
                          <a:solidFill>
                            <a:schemeClr val="accent1">
                              <a:lumMod val="50196"/>
                            </a:schemeClr>
                          </a:solidFill>
                          <a:prstDash val="solid"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53.55pt;height:325.86pt;mso-wrap-distance-left:0.00pt;mso-wrap-distance-top:0.00pt;mso-wrap-distance-right:0.00pt;mso-wrap-distance-bottom:0.00pt;" strokecolor="#244161" strokeweight="0.50pt">
                <v:path textboxrect="0,0,0,0"/>
                <v:imagedata r:id="rId10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jc w:val="center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jc w:val="center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4"/>
          <w:szCs w:val="28"/>
          <w:highlight w:val="none"/>
        </w:rPr>
        <w:t xml:space="preserve">Рис.2. Прогноз средней температуры воздуха на предстоящий период*</w: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jc w:val="center"/>
        <w:rPr>
          <w:rFonts w:ascii="PT Serif" w:hAnsi="PT Serif" w:cs="PT Serif"/>
          <w:highlight w:val="none"/>
        </w:rPr>
      </w:pPr>
      <w:r>
        <w:rPr>
          <w:rFonts w:ascii="PT Serif" w:hAnsi="PT Serif" w:cs="PT Serif"/>
          <w:highlight w:val="none"/>
        </w:rPr>
      </w:r>
      <w:r>
        <w:rPr>
          <w:rFonts w:ascii="PT Serif" w:hAnsi="PT Serif" w:cs="PT Serif"/>
          <w:highlight w:val="none"/>
        </w:rPr>
      </w:r>
      <w:r>
        <w:rPr>
          <w:rFonts w:ascii="PT Serif" w:hAnsi="PT Serif" w:cs="PT Serif"/>
          <w:highlight w:val="none"/>
        </w:rPr>
      </w:r>
    </w:p>
    <w:p>
      <w:pPr>
        <w:ind w:hanging="2"/>
        <w:jc w:val="center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4"/>
          <w:szCs w:val="28"/>
          <w:highlight w:val="none"/>
        </w:rPr>
      </w:r>
      <w:r>
        <w:rPr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60085" cy="361015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279550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760084" cy="3610150"/>
                        </a:xfrm>
                        <a:prstGeom prst="rect">
                          <a:avLst/>
                        </a:prstGeom>
                        <a:ln w="6349">
                          <a:solidFill>
                            <a:schemeClr val="accent1">
                              <a:lumMod val="50196"/>
                            </a:schemeClr>
                          </a:solidFill>
                          <a:prstDash val="solid"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53.55pt;height:284.26pt;mso-wrap-distance-left:0.00pt;mso-wrap-distance-top:0.00pt;mso-wrap-distance-right:0.00pt;mso-wrap-distance-bottom:0.00pt;" strokecolor="#244161" strokeweight="0.50pt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jc w:val="center"/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pPr>
      <w:r>
        <w:rPr>
          <w:highlight w:val="none"/>
        </w:rPr>
        <w:t xml:space="preserve"> </w:t>
      </w:r>
      <w:r>
        <w:rPr>
          <w:rFonts w:ascii="PT Serif" w:hAnsi="PT Serif" w:eastAsia="PT Serif" w:cs="PT Serif"/>
          <w:b/>
          <w:i/>
          <w:color w:val="000000" w:themeColor="text1"/>
          <w:sz w:val="24"/>
          <w:szCs w:val="28"/>
          <w:highlight w:val="none"/>
        </w:rPr>
        <w:t xml:space="preserve">Рис.3. Прогноз среднесуточной температуры воздуха, осадков и порывов ветра на предстоящий период**</w:t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b/>
          <w:bCs/>
          <w:i/>
          <w:color w:val="000000" w:themeColor="text1"/>
          <w:sz w:val="24"/>
          <w:szCs w:val="24"/>
          <w:highlight w:val="none"/>
        </w:rPr>
      </w:r>
    </w:p>
    <w:p>
      <w:pPr>
        <w:ind w:hanging="2"/>
        <w:jc w:val="center"/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r>
    </w:p>
    <w:p>
      <w:pPr>
        <w:ind w:firstLine="567"/>
        <w:rPr>
          <w:highlight w:val="none"/>
        </w:rPr>
      </w:pP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* по данным</w:t>
      </w:r>
      <w:r>
        <w:rPr>
          <w:rFonts w:ascii="PT Serif" w:hAnsi="PT Serif" w:eastAsia="PT Serif" w:cs="PT Serif"/>
          <w:i/>
          <w:color w:val="000000" w:themeColor="text1"/>
          <w:sz w:val="18"/>
          <w:szCs w:val="21"/>
          <w:highlight w:val="none"/>
        </w:rPr>
        <w:t xml:space="preserve"> 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Г</w:t>
      </w:r>
      <w:r>
        <w:rPr>
          <w:rFonts w:ascii="PT Serif" w:hAnsi="PT Serif" w:eastAsia="PT Serif" w:cs="PT Serif"/>
          <w:i/>
          <w:iCs/>
          <w:color w:val="000000" w:themeColor="text1"/>
          <w:szCs w:val="28"/>
          <w:highlight w:val="none"/>
        </w:rPr>
        <w:t xml:space="preserve">идрометцентра России 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(https://www.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  <w:lang w:val="en-US"/>
        </w:rPr>
        <w:t xml:space="preserve">meteoinfo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.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  <w:lang w:val="en-US"/>
        </w:rPr>
        <w:t xml:space="preserve">ru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)</w:t>
      </w:r>
      <w:r>
        <w:rPr>
          <w:rFonts w:ascii="PT Serif" w:hAnsi="PT Serif" w:eastAsia="PT Serif" w:cs="PT Serif"/>
          <w:i/>
          <w:iCs/>
          <w:color w:val="000000" w:themeColor="text1"/>
          <w:szCs w:val="28"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none"/>
        </w:rPr>
      </w:pP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**по данным источника - погодный сервис 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Ventusky</w:t>
      </w:r>
      <w:r>
        <w:rPr>
          <w:rFonts w:ascii="PT Serif" w:hAnsi="PT Serif" w:eastAsia="PT Serif" w:cs="PT Serif"/>
          <w:i/>
          <w:color w:val="000000" w:themeColor="text1"/>
          <w:szCs w:val="28"/>
          <w:highlight w:val="none"/>
        </w:rPr>
        <w:t xml:space="preserve"> (https://www.ventusky.com).</w:t>
      </w:r>
      <w:r>
        <w:rPr>
          <w:highlight w:val="none"/>
        </w:rPr>
      </w:r>
      <w:r>
        <w:rPr>
          <w:highlight w:val="none"/>
        </w:rPr>
      </w:r>
    </w:p>
    <w:p>
      <w:pPr>
        <w:pStyle w:val="766"/>
        <w:contextualSpacing/>
        <w:ind w:left="0" w:firstLine="0"/>
        <w:jc w:val="both"/>
        <w:spacing w:before="0" w:after="0" w:line="240" w:lineRule="auto"/>
        <w:tabs>
          <w:tab w:val="left" w:pos="1134" w:leader="none"/>
        </w:tabs>
        <w:rPr>
          <w:rFonts w:ascii="PT Serif" w:hAnsi="PT Serif" w:cs="PT Serif"/>
          <w:b w:val="0"/>
          <w:bCs w:val="0"/>
          <w:i/>
          <w:color w:val="000000" w:themeColor="text1"/>
          <w:spacing w:val="0"/>
          <w:sz w:val="24"/>
          <w:szCs w:val="24"/>
          <w:highlight w:val="none"/>
        </w:rPr>
      </w:pPr>
      <w:r>
        <w:rPr>
          <w:rFonts w:ascii="PT Serif" w:hAnsi="PT Serif" w:cs="PT Serif"/>
          <w:b w:val="0"/>
          <w:bCs w:val="0"/>
          <w:i/>
          <w:color w:val="000000" w:themeColor="text1"/>
          <w:spacing w:val="0"/>
          <w:sz w:val="24"/>
          <w:szCs w:val="24"/>
          <w:highlight w:val="none"/>
        </w:rPr>
      </w:r>
      <w:r>
        <w:rPr>
          <w:rFonts w:ascii="PT Serif" w:hAnsi="PT Serif" w:cs="PT Serif"/>
          <w:b w:val="0"/>
          <w:bCs w:val="0"/>
          <w:i/>
          <w:color w:val="000000" w:themeColor="text1"/>
          <w:spacing w:val="0"/>
          <w:sz w:val="24"/>
          <w:szCs w:val="24"/>
          <w:highlight w:val="none"/>
        </w:rPr>
      </w:r>
      <w:r>
        <w:rPr>
          <w:rFonts w:ascii="PT Serif" w:hAnsi="PT Serif" w:cs="PT Serif"/>
          <w:b w:val="0"/>
          <w:bCs w:val="0"/>
          <w:i/>
          <w:color w:val="000000" w:themeColor="text1"/>
          <w:spacing w:val="0"/>
          <w:sz w:val="24"/>
          <w:szCs w:val="24"/>
          <w:highlight w:val="none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Прогноз сильного ветра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14:ligatures w14:val="none"/>
        </w:rPr>
      </w:pPr>
      <w:r>
        <w:rPr>
          <w:rFonts w:ascii="PT Serif" w:hAnsi="PT Serif" w:eastAsia="PT Serif" w:cs="PT Serif"/>
          <w:bCs w:val="0"/>
          <w:i/>
          <w:color w:val="000000" w:themeColor="text1"/>
          <w:spacing w:val="0"/>
          <w:sz w:val="28"/>
          <w:szCs w:val="28"/>
          <w:highlight w:val="none"/>
          <w14:ligatures w14:val="none"/>
        </w:rPr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/>
        </w:rPr>
        <w:t xml:space="preserve">14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/>
        </w:rPr>
        <w:t xml:space="preserve"> июля 2025 года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в течение суток, 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местами, по центральным и восточным районам 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 ХМАО – Югры ожидается </w:t>
      </w:r>
      <w:r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:lang w:eastAsia="zh-CN" w:bidi="hi-IN"/>
        </w:rPr>
        <w:t xml:space="preserve">сильный ветер, порывами до 18 м/с</w:t>
      </w:r>
      <w:r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:lang w:eastAsia="zh-CN" w:bidi="hi-IN"/>
        </w:rPr>
        <w:t xml:space="preserve">.</w:t>
      </w:r>
      <w:r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:lang w:eastAsia="zh-CN" w:bidi="hi-IN"/>
          <w14:ligatures w14:val="none"/>
        </w:rPr>
      </w:r>
      <w:r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14:ligatures w14:val="none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Прогноз сильных осадков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rFonts w:ascii="PT Serif" w:hAnsi="PT Serif" w:eastAsia="PT Serif" w:cs="PT Serif"/>
          <w:b/>
          <w:bCs/>
          <w:color w:val="auto"/>
          <w:spacing w:val="0"/>
          <w:sz w:val="24"/>
          <w:szCs w:val="24"/>
          <w:highlight w:val="none"/>
          <w14:ligatures w14:val="none"/>
        </w:rPr>
      </w:pPr>
      <w:r>
        <w:rPr>
          <w:rFonts w:ascii="PT Serif" w:hAnsi="PT Serif" w:eastAsia="PT Serif" w:cs="PT Serif"/>
          <w:bCs w:val="0"/>
          <w:i/>
          <w:color w:val="000000" w:themeColor="text1"/>
          <w:spacing w:val="0"/>
          <w:sz w:val="18"/>
          <w:szCs w:val="18"/>
          <w:highlight w:val="none"/>
          <w14:ligatures w14:val="none"/>
        </w:rPr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/>
        </w:rPr>
        <w:t xml:space="preserve">14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/>
        </w:rPr>
        <w:t xml:space="preserve"> июля 2025 года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в течение суток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, 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местами,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по восточной половине 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ХМАО – Югры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,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ожидается </w:t>
      </w:r>
      <w:r>
        <w:rPr>
          <w:rFonts w:ascii="PT Serif" w:hAnsi="PT Serif" w:eastAsia="PT Serif" w:cs="PT Serif"/>
          <w:b/>
          <w:bCs/>
          <w:color w:val="000000"/>
          <w:sz w:val="28"/>
          <w:szCs w:val="28"/>
          <w:highlight w:val="none"/>
          <w:lang w:eastAsia="ru-RU"/>
        </w:rPr>
        <w:t xml:space="preserve">сильный дождь.</w:t>
      </w:r>
      <w:r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:lang w:eastAsia="zh-CN" w:bidi="hi-IN"/>
          <w14:ligatures w14:val="none"/>
        </w:rPr>
      </w:r>
      <w:r>
        <w:rPr>
          <w:rFonts w:ascii="PT Serif" w:hAnsi="PT Serif" w:eastAsia="PT Serif" w:cs="PT Serif"/>
          <w:b/>
          <w:bCs/>
          <w:color w:val="auto"/>
          <w:spacing w:val="0"/>
          <w:sz w:val="24"/>
          <w:szCs w:val="24"/>
          <w:highlight w:val="none"/>
          <w14:ligatures w14:val="none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Прогноз опасных и неблагоприятных явлений погоды </w:t>
      </w:r>
      <w:r>
        <w:rPr>
          <w:highlight w:val="none"/>
        </w:rPr>
      </w:r>
      <w:r>
        <w:rPr>
          <w:highlight w:val="none"/>
        </w:rPr>
      </w:r>
    </w:p>
    <w:p>
      <w:pPr>
        <w:pStyle w:val="767"/>
        <w:ind w:firstLine="708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  <w:lang w:eastAsia="ru-RU"/>
        </w:rPr>
        <w:t xml:space="preserve">ОЯ –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PT Serif" w:hAnsi="PT Serif" w:eastAsia="PT Serif" w:cs="PT Serif"/>
          <w:b/>
          <w:bCs/>
          <w:iCs/>
          <w:color w:val="000000" w:themeColor="text1"/>
          <w:sz w:val="28"/>
          <w:szCs w:val="28"/>
          <w:highlight w:val="none"/>
          <w:lang w:bidi="hi-IN"/>
        </w:rPr>
        <w:t xml:space="preserve">НЯ –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/>
        </w:rPr>
        <w:t xml:space="preserve">14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/>
        </w:rPr>
        <w:t xml:space="preserve"> июля 2025 года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в течение суток, 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местами, по центральным и восточным районам 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 ХМАО – Югры ожидается </w:t>
      </w:r>
      <w:r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:lang w:eastAsia="zh-CN" w:bidi="hi-IN"/>
        </w:rPr>
        <w:t xml:space="preserve">сильный ветер, порывами до 18 м/с</w:t>
      </w:r>
      <w:r>
        <w:rPr>
          <w:rFonts w:ascii="PT Serif" w:hAnsi="PT Serif" w:eastAsia="PT Serif" w:cs="PT Serif"/>
          <w:b/>
          <w:bCs/>
          <w:color w:val="auto"/>
          <w:spacing w:val="0"/>
          <w:sz w:val="28"/>
          <w:szCs w:val="28"/>
          <w:highlight w:val="none"/>
          <w:lang w:eastAsia="zh-CN" w:bidi="hi-IN"/>
        </w:rPr>
        <w:t xml:space="preserve">,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по восточной половине 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ХМАО – Югры</w:t>
      </w:r>
      <w:r>
        <w:rPr>
          <w:rFonts w:ascii="PT Serif" w:hAnsi="PT Serif" w:eastAsia="PT Serif" w:cs="PT Serif"/>
          <w:b w:val="0"/>
          <w:bCs w:val="0"/>
          <w:color w:val="auto"/>
          <w:spacing w:val="0"/>
          <w:sz w:val="28"/>
          <w:szCs w:val="28"/>
          <w:highlight w:val="none"/>
          <w:lang w:eastAsia="zh-CN" w:bidi="hi-IN"/>
        </w:rPr>
        <w:t xml:space="preserve">,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ожидается </w:t>
      </w:r>
      <w:r>
        <w:rPr>
          <w:rFonts w:ascii="PT Serif" w:hAnsi="PT Serif" w:eastAsia="PT Serif" w:cs="PT Serif"/>
          <w:b/>
          <w:bCs/>
          <w:color w:val="000000"/>
          <w:sz w:val="28"/>
          <w:szCs w:val="28"/>
          <w:highlight w:val="none"/>
          <w:lang w:eastAsia="ru-RU"/>
        </w:rPr>
        <w:t xml:space="preserve">сильный дождь.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  <w:lang w:val="en-US"/>
        </w:rPr>
        <w:t xml:space="preserve">III</w:t>
      </w: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</w:rPr>
        <w:t xml:space="preserve">. Гидрологическая обстановка на территории ХМАО-Югры: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2"/>
        </w:numPr>
        <w:ind w:left="0" w:firstLine="709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Уровневый режим основных рек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Колебания уровней воды на реках автономного округа (за прошед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ший период)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: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р. Обь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изменения уровней с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оставило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от -19 до + 4 см;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р. Иртыш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изменение уровней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оставило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от -14 до + 2 см;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р.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Конда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изменения уровней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оставило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от -10 до +2 см;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р. Северная Сосьва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изменения уровней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оставило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от -22 до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+60 см;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р. Большой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Салым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изменения у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ровней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оставило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от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-6 см до +3 см;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р.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Вах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изменения уровней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оставило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от - 6  до 0 см;</w:t>
      </w:r>
      <w:r>
        <w:rPr>
          <w:highlight w:val="none"/>
        </w:rPr>
      </w:r>
      <w:r>
        <w:rPr>
          <w:highlight w:val="none"/>
        </w:rPr>
      </w:r>
    </w:p>
    <w:p>
      <w:pPr>
        <w:ind w:right="-57"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highlight w:val="none"/>
        </w:rPr>
        <w:t xml:space="preserve">р.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Ляпин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изменения уровней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оставило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т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-24 см до +22 см.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tabs>
          <w:tab w:val="left" w:pos="1560" w:leader="dot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На территории автономного округа, открыта навигация на всех маршрутах пассажирских перевозок. 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2"/>
        </w:numPr>
        <w:ind w:left="0"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zh-CN" w:bidi="hi-IN"/>
        </w:rPr>
        <w:t xml:space="preserve">Статистическая инфор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zh-CN" w:bidi="hi-IN"/>
        </w:rPr>
        <w:t xml:space="preserve">мация о затопленных территориях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Обь (г/п Белогорье) в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н.п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. Белогорье (Ханты-Мансийский район)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з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атоплен 1 участок автодороги, ведущ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ей к вертолетной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площ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дке (за сутки без динамики).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Назым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(г/п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Кышик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) в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н.п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.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Кышик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(Ханты-Мансийский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район)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частично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за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топлены 3 приусадебных земельных участка (за сутки освободился от воды 1 участок), жилые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до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м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 не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затоплены, нарушения жизнедеятельности насел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ения не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т.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Обь (г/п Белогорье) в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н.п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.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Зенково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(Ханты-Мансийский район)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з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атоплен 1 участок автодороги, ведущей к вертолетной площадке (за сутки без динамики).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Обь (г/п Белогорье) в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н.п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. Троица (Ханты-Мансийский район) з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топлен 1 участок автодороги, ведущей к вертолетной площадке (за су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тки без динамики).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Обь (г/п Полноват) в д.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Пашторы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(Белоярский район) ч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астично затоплены 11 приусадебных участко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в (за сутки без динамики) жилые дома не затоплены, без нарушения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жизнедеятельности населения. 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пр. Вогулка (г/п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Березово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на р. Северная Сосьва) в с.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Пугоры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(Березовский район)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ч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астично затоплены 2 приусадебных участка (за с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утки без динамики) жилые дома не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затоплены, без нарушения жизнедеятельности населения. 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Северная Сосьва (г/п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Березово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) в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пгт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. Березово (Березовский район)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ч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астично затоплены 4 приусадебных участка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(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за сутки без динамики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) жилые дома не затоплены, без нарушения жизнед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еяте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льности населения. 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Северная Сосьва (г/п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Березово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) в с.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Деминская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(Березовский район) ч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астично затоплены 4 приусадебных участка (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за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сутки без динамики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) жилые дома не затоплены, без нарушения ж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и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знедеятельности населения. 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shd w:val="clear" w:color="auto" w:fill="auto"/>
        <w:rPr>
          <w:rFonts w:ascii="PT Serif" w:hAnsi="PT Serif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Serif" w:hAnsi="PT Serif"/>
          <w:color w:val="000000"/>
          <w:sz w:val="28"/>
          <w:szCs w:val="28"/>
          <w:highlight w:val="none"/>
        </w:rPr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На р. Малая Обь (г/п 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Березово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на р. Северная Сосьва) в с. Теги (Березовский район) ч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астично затоплен 1 приусадебный участок (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за сутки без динамики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) жилые дома не затоплены, без нарушения жизнедеятельности населения.</w:t>
      </w:r>
      <w:r>
        <w:rPr>
          <w:rFonts w:ascii="PT Serif" w:hAnsi="PT Serif"/>
          <w:color w:val="000000"/>
          <w:sz w:val="28"/>
          <w:szCs w:val="28"/>
          <w:highlight w:val="none"/>
        </w:rPr>
        <w:t xml:space="preserve"> </w:t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  <w:r>
        <w:rPr>
          <w:rFonts w:ascii="PT Serif" w:hAnsi="PT Serif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136" w:firstLine="709"/>
        <w:jc w:val="both"/>
        <w:spacing w:before="0" w:after="0" w:line="240" w:lineRule="auto"/>
        <w:rPr>
          <w:rFonts w:ascii="PT Serif" w:hAnsi="PT Serif" w:cs="PT Serif"/>
          <w:color w:val="ff0000"/>
          <w:sz w:val="28"/>
          <w:szCs w:val="28"/>
          <w:highlight w:val="none"/>
        </w:rPr>
      </w:pPr>
      <w:r>
        <w:rPr>
          <w:rFonts w:ascii="PT Serif" w:hAnsi="PT Serif" w:cs="PT Serif"/>
          <w:color w:val="ff0000"/>
          <w:sz w:val="28"/>
          <w:szCs w:val="28"/>
          <w:highlight w:val="none"/>
        </w:rPr>
      </w:r>
      <w:r>
        <w:rPr>
          <w:rFonts w:ascii="PT Serif" w:hAnsi="PT Serif" w:cs="PT Serif"/>
          <w:color w:val="ff0000"/>
          <w:sz w:val="28"/>
          <w:szCs w:val="28"/>
          <w:highlight w:val="none"/>
        </w:rPr>
      </w:r>
      <w:r>
        <w:rPr>
          <w:rFonts w:ascii="PT Serif" w:hAnsi="PT Serif" w:cs="PT Serif"/>
          <w:color w:val="ff0000"/>
          <w:sz w:val="28"/>
          <w:szCs w:val="28"/>
          <w:highlight w:val="none"/>
        </w:rPr>
      </w:r>
    </w:p>
    <w:p>
      <w:pPr>
        <w:ind w:firstLine="567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  <w:lang w:val="en-US"/>
        </w:rPr>
        <w:t xml:space="preserve">IV</w:t>
      </w: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</w:rPr>
        <w:t xml:space="preserve">. </w:t>
      </w: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</w:rPr>
        <w:t xml:space="preserve">Лесопожарная</w:t>
      </w: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</w:rPr>
        <w:t xml:space="preserve"> обстановка на территории ХМАО-Югры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jc w:val="both"/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color w:val="000000" w:themeColor="text1"/>
          <w:sz w:val="16"/>
          <w:szCs w:val="16"/>
          <w:highlight w:val="none"/>
        </w:rPr>
      </w:r>
    </w:p>
    <w:p>
      <w:pPr>
        <w:pStyle w:val="740"/>
        <w:numPr>
          <w:ilvl w:val="0"/>
          <w:numId w:val="3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Наиболее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 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сложная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 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лесопожарная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 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обстановка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tabs>
          <w:tab w:val="left" w:pos="1560" w:leader="dot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За отчётный период, на территории Ханты-Мансийского автономного округа – Югры, сложной обстановки, обусловленной лесными пожарами, способной достигнуть масштабов ЧС локального уровня и выше, 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не регистрировалось.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3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Параметры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 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пожарной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 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val="en-US"/>
        </w:rPr>
        <w:t xml:space="preserve">опасности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rFonts w:ascii="PT Serif" w:hAnsi="PT Serif" w:eastAsia="PT Serif" w:cs="PT Serif"/>
          <w:position w:val="-1"/>
          <w:sz w:val="28"/>
          <w:szCs w:val="28"/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  <w:t xml:space="preserve">Всего с 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  <w:t xml:space="preserve">начал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  <w:t xml:space="preserve">а пожароопасного перио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  <w:t xml:space="preserve">да 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</w:rPr>
        <w:t xml:space="preserve">2025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  <w:t xml:space="preserve"> года на территории ХМ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  <w:t xml:space="preserve">АО – Югры зарегистрирован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  <w:t xml:space="preserve">: </w:t>
      </w:r>
      <w:r>
        <w:rPr>
          <w:rFonts w:ascii="PT Serif" w:hAnsi="PT Serif" w:eastAsia="PT Serif" w:cs="PT Serif"/>
          <w:b/>
          <w:bCs/>
          <w:position w:val="-1"/>
          <w:sz w:val="28"/>
          <w:szCs w:val="28"/>
          <w:highlight w:val="none"/>
        </w:rPr>
        <w:t xml:space="preserve">1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lang w:eastAsia="zh-CN" w:bidi="hi-IN"/>
        </w:rPr>
        <w:t xml:space="preserve">31 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lang w:eastAsia="zh-CN" w:bidi="hi-IN"/>
        </w:rPr>
        <w:t xml:space="preserve">ландшафтный пожар,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lang w:eastAsia="zh-CN" w:bidi="hi-IN"/>
        </w:rPr>
        <w:t xml:space="preserve"> на площади </w:t>
      </w:r>
      <w:r>
        <w:rPr>
          <w:rFonts w:ascii="PT Serif" w:hAnsi="PT Serif" w:eastAsia="PT Serif" w:cs="PT Serif"/>
          <w:b/>
          <w:bCs/>
          <w:position w:val="-1"/>
          <w:sz w:val="28"/>
          <w:szCs w:val="28"/>
          <w:highlight w:val="none"/>
          <w:lang w:eastAsia="zh-CN" w:bidi="hi-IN"/>
        </w:rPr>
        <w:t xml:space="preserve">4064,57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га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,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в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том числе </w:t>
      </w:r>
      <w:r>
        <w:rPr>
          <w:rFonts w:ascii="PT Serif" w:hAnsi="PT Serif" w:eastAsia="PT Serif" w:cs="PT Serif"/>
          <w:b/>
          <w:bCs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124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лесных п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ожара,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н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а площади </w:t>
      </w:r>
      <w:r>
        <w:rPr>
          <w:rFonts w:ascii="PT Serif" w:hAnsi="PT Serif" w:eastAsia="PT Serif" w:cs="PT Serif"/>
          <w:b/>
          <w:bCs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3950,07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га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.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А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ППГ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1</w:t>
      </w:r>
      <w:r>
        <w:rPr>
          <w:rFonts w:ascii="PT Serif" w:hAnsi="PT Serif" w:eastAsia="PT Serif" w:cs="PT Serif"/>
          <w:b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53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ланд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шафтных пожара, на площади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</w:t>
      </w:r>
      <w:r>
        <w:rPr>
          <w:rFonts w:ascii="PT Serif" w:hAnsi="PT Serif" w:eastAsia="PT Serif" w:cs="PT Serif"/>
          <w:b/>
          <w:bCs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4023,72</w:t>
      </w:r>
      <w:r>
        <w:rPr>
          <w:rFonts w:ascii="PT Serif" w:hAnsi="PT Serif" w:eastAsia="PT Serif" w:cs="PT Serif"/>
          <w:b/>
          <w:bCs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га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,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в том числе</w:t>
      </w:r>
      <w:r>
        <w:rPr>
          <w:rFonts w:ascii="PT Serif" w:hAnsi="PT Serif" w:eastAsia="PT Serif" w:cs="PT Serif"/>
          <w:b/>
          <w:bCs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110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лесных пожаров на площади </w:t>
      </w: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2840,32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shd w:val="clear" w:color="auto" w:fill="auto"/>
          <w:lang w:eastAsia="zh-CN" w:bidi="hi-IN"/>
        </w:rPr>
        <w:t xml:space="preserve"> га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i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PT Serif" w:hAnsi="PT Serif" w:eastAsia="PT Serif" w:cs="PT Serif"/>
          <w:i/>
          <w:color w:val="000000" w:themeColor="text1"/>
          <w:sz w:val="28"/>
          <w:szCs w:val="28"/>
          <w:highlight w:val="none"/>
        </w:rPr>
        <w:t xml:space="preserve">таблица 1).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  <w:lang w:eastAsia="zh-CN" w:bidi="hi-IN"/>
        </w:rPr>
      </w:r>
      <w:r>
        <w:rPr>
          <w:rFonts w:ascii="PT Serif" w:hAnsi="PT Serif" w:eastAsia="PT Serif" w:cs="PT Serif"/>
          <w:position w:val="-1"/>
          <w:sz w:val="28"/>
          <w:szCs w:val="28"/>
          <w:highlight w:val="none"/>
        </w:rPr>
      </w:r>
    </w:p>
    <w:p>
      <w:pPr>
        <w:ind w:firstLine="709"/>
        <w:jc w:val="both"/>
        <w:rPr>
          <w:rFonts w:ascii="PT Serif" w:hAnsi="PT Serif" w:cs="PT Serif"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4"/>
          <w:szCs w:val="24"/>
          <w:highlight w:val="none"/>
        </w:rPr>
        <w:t xml:space="preserve">Таблица 1.</w:t>
      </w:r>
      <w:r>
        <w:rPr>
          <w:rFonts w:ascii="PT Serif" w:hAnsi="PT Serif" w:eastAsia="PT Serif" w:cs="PT Serif"/>
          <w:b/>
          <w:color w:val="000000" w:themeColor="text1"/>
          <w:sz w:val="24"/>
          <w:szCs w:val="24"/>
          <w:highlight w:val="none"/>
        </w:rPr>
        <w:t xml:space="preserve"> Сведения по природным пожарам на территории ХМАО – Югры по состоянию на 23-00 час. (мест.)</w:t>
      </w:r>
      <w:r>
        <w:rPr>
          <w:highlight w:val="none"/>
        </w:rPr>
      </w:r>
      <w:r>
        <w:rPr>
          <w:highlight w:val="none"/>
        </w:rPr>
      </w:r>
    </w:p>
    <w:tbl>
      <w:tblPr>
        <w:tblW w:w="9961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58"/>
        <w:gridCol w:w="602"/>
        <w:gridCol w:w="993"/>
        <w:gridCol w:w="424"/>
        <w:gridCol w:w="1138"/>
        <w:gridCol w:w="425"/>
        <w:gridCol w:w="981"/>
        <w:gridCol w:w="426"/>
        <w:gridCol w:w="850"/>
        <w:gridCol w:w="532"/>
        <w:gridCol w:w="930"/>
      </w:tblGrid>
      <w:tr>
        <w:tblPrEx/>
        <w:trPr>
          <w:trHeight w:val="44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1" w:lineRule="atLeast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Природные пожары 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right="-108"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position w:val="-1"/>
                <w:sz w:val="16"/>
                <w:szCs w:val="16"/>
                <w:highlight w:val="none"/>
                <w:shd w:val="clear" w:color="auto" w:fill="auto"/>
              </w:rPr>
              <w:t xml:space="preserve">всего с начала сезона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right="-108"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position w:val="-1"/>
                <w:sz w:val="16"/>
                <w:szCs w:val="16"/>
                <w:highlight w:val="none"/>
                <w:shd w:val="clear" w:color="auto" w:fill="auto"/>
              </w:rPr>
              <w:t xml:space="preserve">зарегистрировано за сутки 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position w:val="-1"/>
                <w:sz w:val="16"/>
                <w:szCs w:val="16"/>
                <w:highlight w:val="none"/>
                <w:shd w:val="clear" w:color="auto" w:fill="auto"/>
              </w:rPr>
              <w:t xml:space="preserve">действует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position w:val="-1"/>
                <w:sz w:val="16"/>
                <w:szCs w:val="16"/>
                <w:highlight w:val="none"/>
                <w:shd w:val="clear" w:color="auto" w:fill="auto"/>
              </w:rPr>
              <w:t xml:space="preserve">в т.ч. локализовано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62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position w:val="-1"/>
                <w:sz w:val="16"/>
                <w:szCs w:val="16"/>
                <w:highlight w:val="none"/>
                <w:shd w:val="clear" w:color="auto" w:fill="auto"/>
              </w:rPr>
              <w:t xml:space="preserve">из них ликвидировано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cantSplit/>
          <w:trHeight w:val="794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center"/>
            <w:vMerge w:val="continue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8"/>
                <w:szCs w:val="18"/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8"/>
                <w:szCs w:val="18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8"/>
                <w:szCs w:val="18"/>
                <w:highlight w:val="none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8"/>
                <w:szCs w:val="18"/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602" w:type="dxa"/>
            <w:vAlign w:val="center"/>
            <w:textDirection w:val="btLr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кол-во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пл, 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btLr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кол-во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пл, 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btLr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кол-во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81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пл, 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btLr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кол-во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пл, 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532" w:type="dxa"/>
            <w:vAlign w:val="center"/>
            <w:textDirection w:val="btLr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кол-во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пл, 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64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bottom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Всего по ХМАО-Югре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131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4064,57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4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0,10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30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0,10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</w:tr>
      <w:tr>
        <w:tblPrEx/>
        <w:trPr>
          <w:trHeight w:val="160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bottom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В том числе лесные пожары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124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3950,07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4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0,10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30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0,10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</w:tr>
      <w:tr>
        <w:tblPrEx/>
        <w:trPr>
          <w:trHeight w:val="219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bottom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из них на ООПТ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4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981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426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930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5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bottom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АППГ 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153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:lang w:eastAsia="zh-CN" w:bidi="hi-IN"/>
              </w:rPr>
              <w:t xml:space="preserve">4023,72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8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706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6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bottom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В том числе лесные пожары 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  <w:highlight w:val="none"/>
                <w:shd w:val="clear" w:color="auto" w:fill="auto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2840,32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8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706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6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8" w:type="dxa"/>
            <w:vAlign w:val="bottom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из них на ООПТ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jc w:val="center"/>
              <w:spacing w:before="0" w:after="0" w:line="240" w:lineRule="auto"/>
              <w:rPr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position w:val="-1"/>
                <w:sz w:val="18"/>
                <w:szCs w:val="18"/>
                <w:highlight w:val="none"/>
                <w:shd w:val="clear" w:color="auto" w:fill="auto"/>
              </w:rPr>
              <w:t xml:space="preserve">-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8"/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706" w:type="dxa"/>
            <w:vAlign w:val="bottom"/>
            <w:textDirection w:val="lrTb"/>
            <w:noWrap w:val="false"/>
          </w:tcPr>
          <w:p>
            <w:pPr>
              <w:pStyle w:val="668"/>
              <w:numPr>
                <w:ilvl w:val="0"/>
                <w:numId w:val="0"/>
              </w:numPr>
              <w:ind w:hanging="2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none"/>
                <w:shd w:val="clear" w:color="auto" w:fill="auto"/>
              </w:rPr>
            </w:r>
          </w:p>
        </w:tc>
      </w:tr>
    </w:tbl>
    <w:p>
      <w:pPr>
        <w:pStyle w:val="740"/>
        <w:ind w:hanging="218"/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</w:p>
    <w:p>
      <w:pPr>
        <w:pStyle w:val="740"/>
        <w:numPr>
          <w:ilvl w:val="0"/>
          <w:numId w:val="3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Статистические данные о количестве возникших очагов природных пожаров за прошедший период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За отчётный период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(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30 июня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- 6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июля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 2025 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  <w:lang w:eastAsia="ru-RU"/>
        </w:rPr>
        <w:t xml:space="preserve">г.)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зарегистрировано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 43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природных пожара на площади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1533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,78 га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(АППГ –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30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highlight w:val="none"/>
        </w:rPr>
        <w:t xml:space="preserve">п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highlight w:val="none"/>
        </w:rPr>
        <w:t xml:space="preserve">риродных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пожаров, на площади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791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,68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га)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3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Экологическая обстановка, связанная с задымлением населенных пунктов от действующих природных пожаров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Экологическая обстановка на территории автономного округа удовлетворительная. За отчётный период, на территории Ханты-Мансийского автономного округа – Югры, задымлений населенных пунктов </w:t>
      </w:r>
      <w:r>
        <w:rPr>
          <w:rFonts w:ascii="PT Serif" w:hAnsi="PT Serif" w:eastAsia="PT Serif" w:cs="PT Serif"/>
          <w:b/>
          <w:color w:val="000000" w:themeColor="text1"/>
          <w:sz w:val="28"/>
          <w:highlight w:val="none"/>
        </w:rPr>
        <w:t xml:space="preserve">не регистрировалось.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jc w:val="both"/>
        <w:rPr>
          <w:rFonts w:ascii="PT Serif" w:hAnsi="PT Serif" w:cs="PT Serif"/>
          <w:b/>
          <w:bCs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b/>
          <w:bCs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bCs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bCs/>
          <w:color w:val="000000" w:themeColor="text1"/>
          <w:sz w:val="16"/>
          <w:szCs w:val="16"/>
          <w:highlight w:val="none"/>
        </w:rPr>
      </w:r>
    </w:p>
    <w:p>
      <w:pPr>
        <w:ind w:firstLine="567"/>
        <w:jc w:val="both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lang w:val="en-US"/>
        </w:rPr>
        <w:t xml:space="preserve">V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.Параметры прогноза возможных ЧС на территории ХМАО-Югры на предстоящую неделю: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3"/>
          <w:numId w:val="5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солнечной активности и геомагнитной обстановки </w:t>
      </w:r>
      <w:r>
        <w:rPr>
          <w:rFonts w:ascii="PT Serif" w:hAnsi="PT Serif" w:eastAsia="PT Serif" w:cs="PT Serif"/>
          <w:i/>
          <w:color w:val="000000" w:themeColor="text1"/>
          <w:sz w:val="28"/>
          <w:szCs w:val="28"/>
          <w:highlight w:val="none"/>
        </w:rPr>
        <w:t xml:space="preserve">(по данным ИЗМИРАН).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highlight w:val="none"/>
          <w:lang w:val="en-US"/>
        </w:rPr>
        <w:t xml:space="preserve">C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14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по 20 июля</w:t>
      </w:r>
      <w:r>
        <w:rPr>
          <w:rFonts w:ascii="PT Serif" w:hAnsi="PT Serif" w:eastAsia="PT Serif" w:cs="PT Serif"/>
          <w:color w:val="000000"/>
          <w:sz w:val="28"/>
          <w:szCs w:val="28"/>
          <w:highlight w:val="none"/>
        </w:rPr>
        <w:t xml:space="preserve"> 2025 года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солнечная активность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ожидается в диапазоне от низкого до среднего уровня, а геомагнитная обстановка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будет  спокойной.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3"/>
          <w:numId w:val="5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возникновения ЧС и происшествий, связанных с подтоплением населенных пунктов, участков транспортных коммуникаций и прилегающих территорий, находящихся в пониженных участках местности в результате весеннего половодья и активного снеготаяния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Возникновения ЧС и происшествий, связанных с подтоплением населенных пунктов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,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Колебания уровней воды ожидаются в интервалах характерных сезонных значений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.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На всех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 реках автономного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округа, ожидается дальнейшее падение уровней воды, интенсивностью -10,-3 см/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сут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(на реках Северная Сосьва, Ляпин, Большой Юган до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-25,-15 см/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сут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)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. П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ри прохождении ливневых осадков,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в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верхнем течение рек Северная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Сосьва и Ляпин,  в отдельные дни, возможен рост уровней до +25,+50 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см/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сут</w:t>
      </w:r>
      <w:r>
        <w:rPr>
          <w:rFonts w:ascii="PT Serif" w:hAnsi="PT Serif" w:eastAsia="PT Serif" w:cs="PT Serif"/>
          <w:color w:val="000000" w:themeColor="text1"/>
          <w:sz w:val="28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В предстоящий период о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жидается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дальнейшее освобождение от воды затопленных территорий Белоярского, Березовского и Ханты-Мансийского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районов.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Увеличение сроков прохождения половодья возможно при установлении дождливой погоды с выпадением большого количества осадков.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3"/>
          <w:numId w:val="5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возникновения ЧС и происшествий, связанных с подтоплением населенных пунктов, участков транспортных коммуникаций и прилегающих территорий, находящихся в пониженных участках местности в результате выпадения сильных и очень сильных осадков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Возникновения ЧС и происшествий, связанных с подтоплением населенных пунктов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,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При выпадении большого количества осадков за короткий период (ливневые дожди), сохраняются риски затопления территорий населенных пунктов в верхнем течение рек Северная Сосьва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Няксимволь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и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Хулимсунт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) и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Ляпин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Саранпауль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и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Хурумпауль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), на территории Березовского района.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наиболее сложной пожарной обстановки в текущем прогнозируемом периоде 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Сложной обстановки обусловленной лесными пожарами, способной достигнуть масштабов ЧС локального уровня и выше,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ухудшения параметров пожарной обстановки 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Ухудшение обстановки обусловленной лесными пожарами, возникновение происшествий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возникновения природных пожаров, в том числе палов сухой растительности и единичных очагов торфяных пожаров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Согласно Приказа №7-нп от 17.03.2025 Департамента недропользования и природных ресурсов ХМАО-Югры, пожароопасный сезон на территории Ханты-Мансийского автономного округа-Югры устанавливается с 26.04.2025 г.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В</w:t>
      </w: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 предстоящий</w:t>
      </w: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 период, прогнозируется возникновение до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bidi="hi-IN"/>
        </w:rPr>
        <w:t xml:space="preserve">2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bidi="hi-IN"/>
        </w:rPr>
        <w:t xml:space="preserve">5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bidi="hi-IN"/>
        </w:rPr>
        <w:t xml:space="preserve">-45 природных пожаров</w:t>
      </w: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 в лесных массивах и на прилегающих к ним территориях </w:t>
      </w:r>
      <w:r>
        <w:rPr>
          <w:rFonts w:ascii="PT Serif" w:hAnsi="PT Serif" w:eastAsia="PT Serif" w:cs="PT Serif"/>
          <w:bCs/>
          <w:i/>
          <w:color w:val="000000" w:themeColor="text1"/>
          <w:sz w:val="28"/>
          <w:szCs w:val="28"/>
          <w:highlight w:val="none"/>
          <w:lang w:bidi="hi-IN"/>
        </w:rPr>
        <w:t xml:space="preserve">(Источник ЧС – </w:t>
      </w:r>
      <w:r>
        <w:rPr>
          <w:rFonts w:ascii="PT Serif" w:hAnsi="PT Serif" w:eastAsia="PT Serif" w:cs="PT Serif"/>
          <w:bCs/>
          <w:i/>
          <w:color w:val="000000" w:themeColor="text1"/>
          <w:sz w:val="28"/>
          <w:szCs w:val="28"/>
          <w:highlight w:val="none"/>
          <w:lang w:eastAsia="ar-SA" w:bidi="hi-IN"/>
        </w:rPr>
        <w:t xml:space="preserve">человечес</w:t>
      </w:r>
      <w:r>
        <w:rPr>
          <w:rFonts w:ascii="PT Serif" w:hAnsi="PT Serif" w:eastAsia="PT Serif" w:cs="PT Serif"/>
          <w:bCs/>
          <w:i/>
          <w:color w:val="000000" w:themeColor="text1"/>
          <w:sz w:val="28"/>
          <w:szCs w:val="28"/>
          <w:highlight w:val="none"/>
          <w:lang w:eastAsia="ar-SA" w:bidi="hi-IN"/>
        </w:rPr>
        <w:t xml:space="preserve">кий фактор, </w:t>
      </w:r>
      <w:r>
        <w:rPr>
          <w:rFonts w:ascii="PT Serif" w:hAnsi="PT Serif" w:eastAsia="PT Serif" w:cs="PT Serif"/>
          <w:bCs/>
          <w:i/>
          <w:color w:val="000000" w:themeColor="text1"/>
          <w:sz w:val="28"/>
          <w:szCs w:val="28"/>
          <w:highlight w:val="none"/>
          <w:lang w:bidi="hi-IN"/>
        </w:rPr>
        <w:t xml:space="preserve">высокая посещаемость лесов местным населением, нарушение правил пожарной безопасности, неосторожное обращение с огнем, грозы).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Возникновение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торфяных пожаров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для территории автономного округа 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–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</w:rPr>
        <w:t xml:space="preserve">не характерно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возникновения ЧС и происшествий, обусловленных переходом огня от палов сухой растительности или лесных пожаров на населенные пункты и объекты экономики 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Ухудшение обстановки обусловленной лесными пожарами, возникновение происшествий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bidi="hi-IN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возникновения ЧС и происшествий, обусловленных ухудшением экологической обстановки и задымления населенных пунктов из-за дымовых шлейфов от действующих природных пожаров 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Ухудшение экологической обстановки обусловленной лесными пожарами, возникновение происшествий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bidi="hi-IN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возникновения ЧС и происшествий, обусловленных переходом природных пожаров через границу с сопредельными областями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Ухудшение обстановки обусловленной лесными пожарами, возникновение происшествий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bidi="hi-IN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  <w:tab w:val="left" w:pos="1134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возникновения ЧС и происшествий, обусловленных авариями на электроэнергетических системах 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8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Возникновение аварий,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bidi="hi-IN"/>
        </w:rPr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ar-SA" w:bidi="hi-IN"/>
        </w:rPr>
        <w:t xml:space="preserve">Увеличивается вероятн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ar-SA" w:bidi="hi-IN"/>
        </w:rPr>
        <w:t xml:space="preserve">ость возникновения происшествий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ar-SA" w:bidi="hi-IN"/>
        </w:rPr>
        <w:t xml:space="preserve">,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связанных с повреждением (обрывом) ЛЭП и линий связи, обрушением слабо укрепленных, широкоформатных, ветхих и рекламных конструкций; нарушениями в системе ЖКХ, работе всех видов транспорта 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ru-RU" w:bidi="hi-IN"/>
        </w:rPr>
        <w:t xml:space="preserve">(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ru-RU" w:bidi="hi-IN"/>
        </w:rPr>
        <w:t xml:space="preserve">Источник ЧС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 w:bidi="hi-IN"/>
        </w:rPr>
        <w:t xml:space="preserve">-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порывы ветра,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сильные осадки, грозы, ухудшение видимости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 w:bidi="hi-IN"/>
        </w:rPr>
        <w:t xml:space="preserve">)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 w:bidi="hi-IN"/>
        </w:rPr>
        <w:t xml:space="preserve">.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bidi="hi-IN"/>
        </w:rPr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bidi="hi-IN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  <w:tab w:val="left" w:pos="1134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возникновения ЧС и происшествий, обусловленных авариями на коммунальных системах жизнеобеспечения 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8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Возникновение аварий, способных достигнуть масштабов ЧС локального уровня и выше, 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не прогнозируется.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rFonts w:ascii="Times New Roman" w:hAnsi="Times New Roman" w:eastAsia="Times New Roman" w:cs="Calibri"/>
          <w:bCs/>
          <w:i/>
          <w:position w:val="-1"/>
          <w:sz w:val="28"/>
          <w:szCs w:val="24"/>
          <w:highlight w:val="none"/>
        </w:rPr>
      </w:pP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ar-SA" w:bidi="hi-IN"/>
        </w:rPr>
        <w:t xml:space="preserve">Увеличивается вероятность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  <w:t xml:space="preserve"> возникновения происшествий, 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  <w:t xml:space="preserve">связанных с авариями на коммунальных системах жизнеобеспечения на территории автономного округа 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  <w:t xml:space="preserve">(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ar-SA" w:bidi="hi-IN"/>
        </w:rPr>
        <w:t xml:space="preserve">Источник ЧС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ar-SA" w:bidi="hi-IN"/>
        </w:rPr>
        <w:t xml:space="preserve"> 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  <w:t xml:space="preserve">–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порывы ветра,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сильные осадки, грозы, ухудшение видимости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  <w:t xml:space="preserve">, высокая степень износа основных фондов жизнеобеспечения, неквалифицированные действия обслуживающего персонала, отказ оборудования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  <w:t xml:space="preserve">)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  <w:t xml:space="preserve">.</w:t>
      </w:r>
      <w:r>
        <w:rPr>
          <w:rFonts w:ascii="PT Serif" w:hAnsi="PT Serif" w:eastAsia="PT Serif" w:cs="PT Serif"/>
          <w:b w:val="0"/>
          <w:bCs w:val="0"/>
          <w:color w:val="000000" w:themeColor="text1"/>
          <w:sz w:val="28"/>
          <w:szCs w:val="28"/>
          <w:highlight w:val="none"/>
          <w:lang w:eastAsia="ar-SA" w:bidi="hi-IN"/>
        </w:rPr>
      </w:r>
      <w:r>
        <w:rPr>
          <w:rFonts w:ascii="Times New Roman" w:hAnsi="Times New Roman" w:eastAsia="Times New Roman" w:cs="Calibri"/>
          <w:bCs/>
          <w:i/>
          <w:position w:val="-1"/>
          <w:sz w:val="28"/>
          <w:szCs w:val="24"/>
          <w:highlight w:val="none"/>
          <w:lang w:eastAsia="ar-SA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  <w:tab w:val="left" w:pos="1134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увеличения количества техногенных пожаров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3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Техногенные пожары в зданиях и сооружениях жилого, социально-бытового и культурного назначения, на территории автономного округа ожидаются около среднемноголетних значений </w:t>
      </w:r>
      <w:r>
        <w:rPr>
          <w:rFonts w:ascii="PT Serif" w:hAnsi="PT Serif" w:eastAsia="PT Serif" w:cs="PT Serif"/>
          <w:i/>
          <w:color w:val="000000" w:themeColor="text1"/>
          <w:position w:val="-1"/>
          <w:sz w:val="28"/>
          <w:szCs w:val="28"/>
          <w:highlight w:val="none"/>
        </w:rPr>
        <w:t xml:space="preserve">(таблица 2).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3"/>
        <w:jc w:val="both"/>
        <w:rPr>
          <w:highlight w:val="none"/>
        </w:rPr>
      </w:pP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В предстоящий период, 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на территории автономного округа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,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 прогнозируется возникновение </w:t>
      </w: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</w:rPr>
        <w:t xml:space="preserve">35</w:t>
      </w:r>
      <w:bookmarkStart w:id="0" w:name="_GoBack"/>
      <w:r>
        <w:rPr>
          <w:highlight w:val="none"/>
        </w:rPr>
      </w:r>
      <w:bookmarkEnd w:id="0"/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</w:rPr>
        <w:t xml:space="preserve">-45</w:t>
      </w: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 техногенных пожаров.</w:t>
      </w:r>
      <w:r>
        <w:rPr>
          <w:highlight w:val="none"/>
        </w:rPr>
      </w:r>
      <w:r>
        <w:rPr>
          <w:highlight w:val="none"/>
        </w:rPr>
      </w:r>
    </w:p>
    <w:p>
      <w:pPr>
        <w:ind w:firstLine="361"/>
        <w:jc w:val="center"/>
        <w:rPr>
          <w:rFonts w:ascii="PT Serif" w:hAnsi="PT Serif" w:cs="PT Serif"/>
          <w:b/>
          <w:i/>
          <w:color w:val="000000" w:themeColor="text1"/>
          <w:sz w:val="16"/>
          <w:szCs w:val="24"/>
          <w:highlight w:val="none"/>
        </w:rPr>
      </w:pPr>
      <w:r>
        <w:rPr>
          <w:rFonts w:ascii="PT Serif" w:hAnsi="PT Serif" w:cs="PT Serif"/>
          <w:b/>
          <w:i/>
          <w:color w:val="000000" w:themeColor="text1"/>
          <w:sz w:val="16"/>
          <w:szCs w:val="24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24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24"/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position w:val="-1"/>
          <w:sz w:val="24"/>
          <w:szCs w:val="24"/>
          <w:highlight w:val="none"/>
        </w:rPr>
        <w:t xml:space="preserve">Таблица 2. Среднемноголетнее количество техногенных пожаров 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position w:val="-1"/>
          <w:sz w:val="24"/>
          <w:szCs w:val="24"/>
          <w:highlight w:val="none"/>
        </w:rPr>
        <w:t xml:space="preserve">за неделю в июл</w:t>
      </w:r>
      <w:r>
        <w:rPr>
          <w:rFonts w:ascii="PT Serif" w:hAnsi="PT Serif" w:eastAsia="PT Serif" w:cs="PT Serif"/>
          <w:b/>
          <w:i/>
          <w:color w:val="000000" w:themeColor="text1"/>
          <w:position w:val="-1"/>
          <w:sz w:val="24"/>
          <w:szCs w:val="24"/>
          <w:highlight w:val="none"/>
        </w:rPr>
        <w:t xml:space="preserve">е, за период 2020-2024 гг.</w:t>
      </w:r>
      <w:r>
        <w:rPr>
          <w:highlight w:val="none"/>
        </w:rPr>
      </w:r>
      <w:r>
        <w:rPr>
          <w:highlight w:val="none"/>
        </w:rPr>
      </w:r>
    </w:p>
    <w:tbl>
      <w:tblPr>
        <w:tblW w:w="7400" w:type="dxa"/>
        <w:jc w:val="center"/>
        <w:tblLayout w:type="fixed"/>
        <w:tblLook w:val="0000" w:firstRow="0" w:lastRow="0" w:firstColumn="0" w:lastColumn="0" w:noHBand="0" w:noVBand="0"/>
      </w:tblPr>
      <w:tblGrid>
        <w:gridCol w:w="2277"/>
        <w:gridCol w:w="1478"/>
        <w:gridCol w:w="2168"/>
        <w:gridCol w:w="1477"/>
      </w:tblGrid>
      <w:tr>
        <w:tblPrEx/>
        <w:trPr>
          <w:jc w:val="center"/>
          <w:trHeight w:val="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Районы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ind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количество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left="-3"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Городские округа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vAlign w:val="center"/>
            <w:textDirection w:val="lrTb"/>
            <w:noWrap w:val="false"/>
          </w:tcPr>
          <w:p>
            <w:pPr>
              <w:ind w:left="-10"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количество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Белоярский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Когалым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Березовский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0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Лангепас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Кондинский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Мегион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1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Нефтеюганский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Нефтеюганск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Нижневартовский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Нижневартовск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7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Октябрьский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Нягань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Советский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Покачи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0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Сургутский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4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Пыть-Ях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Ханты-Мансийский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Радужный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Сургут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7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Урай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Ханты-Мансийск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ind w:firstLine="142"/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Югорск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</w:tbl>
    <w:p>
      <w:pPr>
        <w:pStyle w:val="740"/>
        <w:ind w:left="0"/>
        <w:jc w:val="both"/>
        <w:widowControl w:val="off"/>
        <w:tabs>
          <w:tab w:val="left" w:pos="709" w:leader="none"/>
          <w:tab w:val="left" w:pos="993" w:leader="none"/>
          <w:tab w:val="left" w:pos="1134" w:leader="none"/>
        </w:tabs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  <w:tab w:val="left" w:pos="1134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затруднения в движении транспорта и увеличения количества ДТП и происшествий на дорогах федерального, регионального и местного значения 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Чрезвычайные ситуации, обусловленные дорожно-транспортными происшествиями, 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не прогнозируются.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Cs/>
          <w:color w:val="000000" w:themeColor="text1"/>
          <w:sz w:val="28"/>
          <w:szCs w:val="28"/>
          <w:highlight w:val="none"/>
          <w:lang w:bidi="hi-IN"/>
        </w:rPr>
        <w:t xml:space="preserve">В предстоящий период, 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на территории автономного округа, количество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ДТП ожида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е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тся несколько выше среднемноголетних значений </w:t>
      </w:r>
      <w:r>
        <w:rPr>
          <w:rFonts w:ascii="PT Serif" w:hAnsi="PT Serif" w:eastAsia="PT Serif" w:cs="PT Serif"/>
          <w:i/>
          <w:color w:val="000000" w:themeColor="text1"/>
          <w:sz w:val="28"/>
          <w:szCs w:val="28"/>
          <w:highlight w:val="none"/>
        </w:rPr>
        <w:t xml:space="preserve">(таблица 3).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На автотрассах округа прогнозируется возникновение 5-10 ДТП, наиболее опасные участки: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8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  <w:u w:val="single"/>
        </w:rPr>
        <w:t xml:space="preserve">Федеральные автодороги: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- 743 км Р-404 – район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н.п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Каркатеевы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- 773-774 км Р-404 – район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н.п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Пойковский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- 19-20 км «Подъезд к г. Сургут» 2 км от поворота на п.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Сингапай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8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  <w:u w:val="single"/>
        </w:rPr>
        <w:t xml:space="preserve">Территориальные автодороги:</w:t>
      </w:r>
      <w:r>
        <w:rPr>
          <w:highlight w:val="none"/>
        </w:rPr>
      </w:r>
      <w:r>
        <w:rPr>
          <w:highlight w:val="none"/>
        </w:rPr>
      </w:r>
    </w:p>
    <w:p>
      <w:pPr>
        <w:ind w:left="-2" w:firstLine="708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- 57 км г. Сургут – г. Нефтеюганск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Сургутский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-2" w:firstLine="708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- 6 км г. Нефтеюганск – левый берег р. Обь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-2" w:firstLine="708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- 10 км г. Нижневартовск – г. Радужный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Нижневартовский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Общее количество: 6 опасных участков дорог в 3 районах округа.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Cs/>
          <w:color w:val="000000" w:themeColor="text1"/>
          <w:sz w:val="28"/>
          <w:szCs w:val="24"/>
          <w:highlight w:val="none"/>
        </w:rPr>
        <w:t xml:space="preserve">В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сего на территории округа прогнозируется возникновение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 15-25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 ДТП.</w:t>
      </w:r>
      <w:r>
        <w:rPr>
          <w:highlight w:val="none"/>
        </w:rPr>
      </w:r>
      <w:r>
        <w:rPr>
          <w:highlight w:val="none"/>
        </w:rPr>
      </w:r>
    </w:p>
    <w:p>
      <w:pPr>
        <w:ind w:firstLine="542"/>
        <w:jc w:val="center"/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i/>
          <w:color w:val="000000" w:themeColor="text1"/>
          <w:sz w:val="16"/>
          <w:szCs w:val="16"/>
          <w:highlight w:val="none"/>
        </w:rPr>
      </w:r>
    </w:p>
    <w:p>
      <w:pPr>
        <w:jc w:val="center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position w:val="-1"/>
          <w:sz w:val="24"/>
          <w:szCs w:val="24"/>
          <w:highlight w:val="none"/>
        </w:rPr>
        <w:t xml:space="preserve">Таблица 3. Среднемноголетнее количество ДТП за неделю в ию</w:t>
      </w:r>
      <w:r>
        <w:rPr>
          <w:rFonts w:ascii="PT Serif" w:hAnsi="PT Serif" w:eastAsia="PT Serif" w:cs="PT Serif"/>
          <w:b/>
          <w:i/>
          <w:color w:val="000000" w:themeColor="text1"/>
          <w:position w:val="-1"/>
          <w:sz w:val="24"/>
          <w:szCs w:val="24"/>
          <w:highlight w:val="none"/>
        </w:rPr>
        <w:t xml:space="preserve">л</w:t>
      </w:r>
      <w:r>
        <w:rPr>
          <w:rFonts w:ascii="PT Serif" w:hAnsi="PT Serif" w:eastAsia="PT Serif" w:cs="PT Serif"/>
          <w:b/>
          <w:i/>
          <w:color w:val="000000" w:themeColor="text1"/>
          <w:position w:val="-1"/>
          <w:sz w:val="24"/>
          <w:szCs w:val="24"/>
          <w:highlight w:val="none"/>
        </w:rPr>
        <w:t xml:space="preserve">е, </w:t>
      </w:r>
      <w:r>
        <w:rPr>
          <w:highlight w:val="none"/>
        </w:rPr>
      </w:r>
      <w:r>
        <w:rPr>
          <w:highlight w:val="none"/>
        </w:rPr>
      </w:r>
    </w:p>
    <w:p>
      <w:pPr>
        <w:ind w:firstLine="542"/>
        <w:jc w:val="center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position w:val="-1"/>
          <w:sz w:val="24"/>
          <w:szCs w:val="24"/>
          <w:highlight w:val="none"/>
        </w:rPr>
        <w:t xml:space="preserve">за период 2020-2024 гг.</w:t>
      </w:r>
      <w:r>
        <w:rPr>
          <w:highlight w:val="none"/>
        </w:rPr>
      </w:r>
      <w:r>
        <w:rPr>
          <w:highlight w:val="none"/>
        </w:rPr>
      </w:r>
    </w:p>
    <w:tbl>
      <w:tblPr>
        <w:tblW w:w="7400" w:type="dxa"/>
        <w:jc w:val="center"/>
        <w:tblLayout w:type="fixed"/>
        <w:tblLook w:val="0000" w:firstRow="0" w:lastRow="0" w:firstColumn="0" w:lastColumn="0" w:noHBand="0" w:noVBand="0"/>
      </w:tblPr>
      <w:tblGrid>
        <w:gridCol w:w="2277"/>
        <w:gridCol w:w="1478"/>
        <w:gridCol w:w="2168"/>
        <w:gridCol w:w="1477"/>
      </w:tblGrid>
      <w:tr>
        <w:tblPrEx/>
        <w:trPr>
          <w:jc w:val="center"/>
          <w:trHeight w:val="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Районы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ind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количество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left="-3"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Городские округа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vAlign w:val="center"/>
            <w:textDirection w:val="lrTb"/>
            <w:noWrap w:val="false"/>
          </w:tcPr>
          <w:p>
            <w:pPr>
              <w:ind w:left="-10" w:firstLine="14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szCs w:val="16"/>
                <w:highlight w:val="none"/>
              </w:rPr>
              <w:t xml:space="preserve">количество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jc w:val="center"/>
          <w:trHeight w:val="1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Нефтеюганский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3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Нефтеюганск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Нижневартовский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Нижневартовск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2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Октябрьский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Сургут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6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Советский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Ханты-Мансийск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1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7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Сургутский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78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  <w:t xml:space="preserve">3</w:t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8" w:type="dxa"/>
            <w:vAlign w:val="center"/>
            <w:textDirection w:val="lrTb"/>
            <w:noWrap w:val="false"/>
          </w:tcPr>
          <w:p>
            <w:pPr>
              <w:ind w:firstLine="142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77" w:type="dxa"/>
            <w:textDirection w:val="lrTb"/>
            <w:noWrap w:val="false"/>
          </w:tcPr>
          <w:p>
            <w:pPr>
              <w:jc w:val="center"/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  <w:r>
              <w:rPr>
                <w:rFonts w:ascii="PT Serif" w:hAnsi="PT Serif" w:eastAsia="PT Serif" w:cs="PT Serif"/>
                <w:color w:val="000000" w:themeColor="text1"/>
                <w:szCs w:val="16"/>
                <w:highlight w:val="none"/>
              </w:rPr>
            </w:r>
          </w:p>
        </w:tc>
      </w:tr>
    </w:tbl>
    <w:p>
      <w:pPr>
        <w:ind w:left="1" w:firstLine="706"/>
        <w:jc w:val="both"/>
        <w:rPr>
          <w:rFonts w:ascii="PT Serif" w:hAnsi="PT Serif" w:cs="PT Serif"/>
          <w:color w:val="000000" w:themeColor="text1"/>
          <w:sz w:val="16"/>
          <w:szCs w:val="16"/>
          <w:highlight w:val="none"/>
        </w:rPr>
        <w:outlineLvl w:val="0"/>
      </w:pP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</w:p>
    <w:p>
      <w:pPr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Основные причины: погодные условия, нарушение ПДД и скоростного режима.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outlineLvl w:val="0"/>
      </w:pPr>
      <w:r>
        <w:rPr>
          <w:rFonts w:ascii="PT Serif" w:hAnsi="PT Serif" w:eastAsia="PT Serif" w:cs="PT Serif"/>
          <w:b/>
          <w:bCs/>
          <w:color w:val="000000" w:themeColor="text1"/>
          <w:position w:val="-1"/>
          <w:sz w:val="28"/>
          <w:szCs w:val="28"/>
          <w:highlight w:val="none"/>
          <w:lang w:eastAsia="ar-SA"/>
        </w:rPr>
        <w:t xml:space="preserve">Увеличивается вероятность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ar-SA"/>
        </w:rPr>
        <w:t xml:space="preserve"> возникновения происшествий, 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ru-RU"/>
        </w:rPr>
        <w:t xml:space="preserve">обострение обстановки на транспорте и увеличение показателей аварийности, ухудшение условий движения на дорогах общего пользования, нарушения в работе городского транспорта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ru-RU"/>
        </w:rPr>
        <w:t xml:space="preserve">, связанных с прохождением неблагоприятных 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ru-RU"/>
        </w:rPr>
        <w:t xml:space="preserve">явлений погоды 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ru-RU"/>
        </w:rPr>
        <w:t xml:space="preserve">(</w:t>
      </w:r>
      <w:r>
        <w:rPr>
          <w:rFonts w:ascii="PT Serif" w:hAnsi="PT Serif" w:eastAsia="PT Serif" w:cs="PT Serif"/>
          <w:b/>
          <w:bCs/>
          <w:color w:val="000000" w:themeColor="text1"/>
          <w:sz w:val="28"/>
          <w:szCs w:val="28"/>
          <w:highlight w:val="none"/>
          <w:lang w:eastAsia="ru-RU" w:bidi="hi-IN"/>
        </w:rPr>
        <w:t xml:space="preserve">Источник ЧС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ru-RU" w:bidi="hi-IN"/>
        </w:rPr>
        <w:t xml:space="preserve">-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порывы ветра,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ar-SA" w:bidi="hi-IN"/>
        </w:rPr>
        <w:t xml:space="preserve">сильные осадки, грозы, ухудшение видимости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ru-RU"/>
        </w:rPr>
        <w:t xml:space="preserve">).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ru-RU"/>
        </w:rPr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  <w:lang w:eastAsia="ru-RU"/>
        </w:rPr>
      </w:r>
    </w:p>
    <w:p>
      <w:pPr>
        <w:pStyle w:val="740"/>
        <w:numPr>
          <w:ilvl w:val="0"/>
          <w:numId w:val="6"/>
        </w:numPr>
        <w:ind w:left="0" w:firstLine="709"/>
        <w:jc w:val="both"/>
        <w:widowControl w:val="off"/>
        <w:tabs>
          <w:tab w:val="left" w:pos="709" w:leader="none"/>
          <w:tab w:val="left" w:pos="993" w:leader="none"/>
          <w:tab w:val="left" w:pos="1134" w:leader="none"/>
        </w:tabs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</w:rPr>
        <w:t xml:space="preserve">Прогноз рисков увеличения количества ДТП в утренние и вечерние часы в связи с туманами на автодорогах федерального, регионального и местного значения, расположенных в пониженных участках местности, около водных объектов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Увеличение ДТП в утренние и вечерние часы в связи с туманами на автодорогах автономного округа, ожидаются преимущественно в Нефтеюганском, 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Сургутском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 и Нижневартовском районах, в том числе на наиболее опасных участках автодорог: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8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  <w:u w:val="single"/>
        </w:rPr>
        <w:t xml:space="preserve">Федеральные автодороги: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- 743 км Р-404 – район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н.п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Каркатеевы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- 773-774 км Р-404 – район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н.п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Пойковский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- 19-20 км «Подъезд к г. Сургут» 2 км от поворота на п.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Сингапай</w:t>
      </w: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8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b/>
          <w:color w:val="000000" w:themeColor="text1"/>
          <w:sz w:val="28"/>
          <w:szCs w:val="28"/>
          <w:highlight w:val="none"/>
          <w:u w:val="single"/>
        </w:rPr>
        <w:t xml:space="preserve">Территориальные автодороги:</w:t>
      </w:r>
      <w:r>
        <w:rPr>
          <w:highlight w:val="none"/>
        </w:rPr>
      </w:r>
      <w:r>
        <w:rPr>
          <w:highlight w:val="none"/>
        </w:rPr>
      </w:r>
    </w:p>
    <w:p>
      <w:pPr>
        <w:ind w:left="-2" w:firstLine="708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- 57 км г. Сургут – г. Нефтеюганск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Сургутский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-2" w:firstLine="708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- 6 км г. Нефтеюганск – левый берег р. Обь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Нефтеюганский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ind w:left="-2" w:firstLine="708"/>
        <w:jc w:val="both"/>
        <w:tabs>
          <w:tab w:val="left" w:pos="567" w:leader="none"/>
          <w:tab w:val="left" w:pos="4007" w:leader="none"/>
        </w:tabs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- 10 км г. Нижневартовск – г. Радужный (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Нижневартовский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 район);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0" w:firstLine="709"/>
        <w:jc w:val="both"/>
        <w:tabs>
          <w:tab w:val="left" w:pos="851" w:leader="none"/>
          <w:tab w:val="left" w:pos="993" w:leader="none"/>
        </w:tabs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</w:rPr>
        <w:t xml:space="preserve">Общее количество: 6 опасных участков дорог в 3 районах округа.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ind w:left="709"/>
        <w:jc w:val="both"/>
        <w:tabs>
          <w:tab w:val="left" w:pos="851" w:leader="none"/>
          <w:tab w:val="left" w:pos="993" w:leader="none"/>
        </w:tabs>
        <w:rPr>
          <w:rFonts w:ascii="PT Serif" w:hAnsi="PT Serif" w:cs="PT Serif"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color w:val="000000" w:themeColor="text1"/>
          <w:sz w:val="16"/>
          <w:szCs w:val="16"/>
          <w:highlight w:val="none"/>
        </w:rPr>
      </w:r>
    </w:p>
    <w:p>
      <w:pPr>
        <w:ind w:firstLine="567"/>
        <w:jc w:val="center"/>
        <w:rPr>
          <w:highlight w:val="none"/>
        </w:rPr>
      </w:pPr>
      <w:r>
        <w:rPr>
          <w:rFonts w:ascii="PT Serif" w:hAnsi="PT Serif" w:eastAsia="PT Serif" w:cs="PT Serif"/>
          <w:b/>
          <w:color w:val="000000" w:themeColor="text1"/>
          <w:position w:val="-1"/>
          <w:sz w:val="28"/>
          <w:szCs w:val="28"/>
          <w:highlight w:val="none"/>
        </w:rPr>
        <w:t xml:space="preserve">VI. Рекомендации по реагированию на прогноз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Для повышения эффективности работы по сбору и обмену информацией, с целью создания условий для оперативного реагирования сил и средств на возможные происшествия и чрезвычайные </w:t>
      </w: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ситуации, территориальным органам федеральных органов исполнительной власти, органам исполнительной власти ХМАО - Югры, главам администраций муниципальных образований, начальникам пожарно-спасательных отрядов Федеральной противопожарной службы Главного упр</w:t>
      </w:r>
      <w:r>
        <w:rPr>
          <w:rFonts w:ascii="PT Serif" w:hAnsi="PT Serif" w:eastAsia="PT Serif" w:cs="PT Serif"/>
          <w:b/>
          <w:i/>
          <w:color w:val="000000" w:themeColor="text1"/>
          <w:sz w:val="28"/>
          <w:szCs w:val="28"/>
          <w:highlight w:val="none"/>
          <w:lang w:eastAsia="zh-CN" w:bidi="hi-IN"/>
        </w:rPr>
        <w:t xml:space="preserve">авления МЧС России по ХМАО - Югре, органам, уполномоченным на решение вопросов в области ГО и ЧС муниципальных образований, руководителям и дежурным службам заинтересованных организаций и предприятий и населению, в пределах своей компетенции рекомендуется: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565"/>
        <w:jc w:val="both"/>
        <w:rPr>
          <w:rFonts w:ascii="PT Serif" w:hAnsi="PT Serif" w:cs="PT Serif"/>
          <w:b/>
          <w:bCs/>
          <w:i/>
          <w:iCs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b/>
          <w:bCs/>
          <w:i/>
          <w:iCs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bCs/>
          <w:i/>
          <w:iCs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b/>
          <w:bCs/>
          <w:i/>
          <w:iCs/>
          <w:color w:val="000000" w:themeColor="text1"/>
          <w:sz w:val="16"/>
          <w:szCs w:val="16"/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ar-SA" w:bidi="hi-IN"/>
        </w:rPr>
        <w:t xml:space="preserve">1. В целях предотвращения возникновения техногенных пожаров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Вести регулярную пропаганду во всех видах СМИ о соблюдении правил пожарной безопасности. Организовать проведение профилактических рейдов по обследованию жилых домов с вручением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 тематических,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обучающих материалов по пожарной безопасности и проведением противопожарных инструктажей под роспись. Провести работу по запрету испо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льзования населением самодельных и несертифицированных электронагревательных приборов, бытовых газовых, керосиновых, бензиновых и других устройств. Обеспечить контроль над своевременным обследованием и профилактическим ремонтом газового оборудования и сете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й газоснабжения, противопожарным состоянием в жилых домах и объектах массового пребывания людей. Обеспечить контроль за состоянием полигонов твердых коммунальных отходов (свалок), в том числе несанкционированных, не допуская открытого горения и задымления.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ar-SA" w:bidi="hi-IN"/>
        </w:rPr>
        <w:t xml:space="preserve">2. В целях предотвращения ава</w:t>
      </w: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ar-SA" w:bidi="hi-IN"/>
        </w:rPr>
        <w:t xml:space="preserve">рийных и чрезвычайных ситуаций на системах жизнеобеспечения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Предприятиям, эксплуатирующим оборудование систем жизнеобеспечения населения, проверить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готовность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 аварийно-восстановительных бригад и их укомплектованность техникой и оборудованием. Заблаговременно предусмотреть и выполнить комплекс мероприятий по предупреждению чрезвычайных ситуаций на объектах и система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х жизнеобеспечения населения. Принять меры по обеспечению бесперебойного водоснабжения и электроснабжения котельных и водозаборных сооружений, включая обеспечение этих объектов автономными резервными источниками электропитания. Создать необходимый запас ма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териально-технических ресурсов для ликвидации аварийных ситуаций в жилищном фонде, на объектах и сетях коммунальной инфраструктуры. Организовать своевременную и бесперебойную поставку топливно-энергетических ресурсов на объекты жизнеобеспечения населения,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выполняющие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 водоснабжение жилищного фонда и объектов социа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льной сферы. Уточнить планы переключения потребителей, при аварийном отключении ЛЭП и ТП, на резервные линии электроснабжения. Особое внимание следует уделить соблюдению правил пожарной безопасности при эксплуатации котельных, печей, отопительных приборов.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zh-CN" w:bidi="hi-IN"/>
        </w:rPr>
        <w:t xml:space="preserve">3. В целях предотвращения аварий на авиационном, железнодорожном транспорте и магистральных трубопроводах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Контролировать работоспособность транспортных коммуникаций, проводить комплексные профилактические мероприятия по недопущению аварий на железнодорожном и авиационном транспорте. Для недопущения аварий на магистральных трубо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проводах (газо-, нефтепроводах) проводить патрулирование, организовывать выборочную проверку опасных участков трубопроводов. Уточнить состав сил и средств, привлекаемых для ликвидации ЧС, связанных с авиационным, железнодорожным, магистральным транспортом.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zh-CN" w:bidi="hi-IN"/>
        </w:rPr>
        <w:t xml:space="preserve">4. В целях предотвращения аварийных ситуаций на автомобильных дорогах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Осуществлять контроль технического состояния транспорта, используемого для перевозки людей и опасных грузов,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 в том числе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 пред рейсовой подготовки водителей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Обеспечить готовность аварийных служб к реагированию на ДТП;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Организовать проведение бесед с водителями предприятий и организаций о последствиях употребления алкоголя перед поездкой с демонстрацией фото- и видеоматериалов с мест ДТП, постоянно проводить пропагандистскую работу ч</w:t>
      </w: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ерез СМИ о необходимости соблюдения правил дорожного движения, о состоянии дорожного покрытия в период действия опасных и неблагоприятных метеорологических условий, необходимости использования необходимой автомобильной резины в соответствии с сезоном года.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Организовать постоянное взаимодействие с территориальными подразделениями центра медицины катастроф, районными медицинскими учреждениями и ГИБДД для своевременного реагирования на возможные ДТП;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Организовать готовность дорожных служб к обеспечению нормального функционирования транспортного сообщения.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В случае ухудшения обстановки проработать вопросы: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-дежурства экипажей скорой медицинской помощи, патрульных машин ГИБДД и подвоза ГСМ;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-организации мест питания, размещения водителей и пассажиров, информирования населения через СМИ о сложившейся обстановке, а также маршрутов объездных дорог.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4"/>
          <w:highlight w:val="none"/>
        </w:rPr>
        <w:t xml:space="preserve">В целях обеспечения бесперебойного транспортного сообщения, запланировать необходимые резервы сил и средств для оперативной организации объездов поврежденных участков автомобильных дорог.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ar-SA" w:bidi="hi-IN"/>
        </w:rPr>
        <w:t xml:space="preserve">5. В целях предупреждения несчастных случаев на водных объектах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6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Обеспечить контроль готовности спасательных служб к реагированию на происшествия.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left="-2" w:firstLine="711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Определить составы аварийных бригад, обеспечить 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их необходимым автотранспортом и оборудованием, провести тренировки по ликвидации аварий/происшествий на водных объектах. Обеспечить контроль и выполнение мероприятий по охране жизни людей на акваториях рек и водоемов в границах муниципальных образований.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left="1" w:firstLine="708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Проводить разъяснительную работу среди населения, направленную на соблюдение мер безопасности при посещ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ении водных объектов, особое внимание уделить организации работы по профилактическим и обучающим мероприятиям с детьми, включая проведение бесед и лекций по правилам безопасного поведения на водных объектах, оказанию первой медицинской помощи пострадавшим.</w:t>
      </w:r>
      <w:r>
        <w:rPr>
          <w:highlight w:val="none"/>
        </w:rPr>
      </w:r>
      <w:r>
        <w:rPr>
          <w:highlight w:val="none"/>
        </w:rPr>
      </w:r>
    </w:p>
    <w:p>
      <w:pPr>
        <w:ind w:left="1" w:firstLine="708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При ухудшении паводковой обстановки: оповестить население, проживающее в зоне риска, о возможной опасности, подготовить п</w:t>
      </w: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ункты временного размещения, подготовить транспорт для доставки пострадавших в пункты временного размещения, обеспечить готовность сил и средств, привлекаемых к ликвидации последствий ЧС, проводить учащенный сбор гидрологических параметров водных объектов.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b/>
          <w:bCs/>
          <w:i/>
          <w:iCs/>
          <w:color w:val="000000" w:themeColor="text1"/>
          <w:sz w:val="28"/>
          <w:szCs w:val="28"/>
          <w:highlight w:val="none"/>
          <w:lang w:eastAsia="zh-CN" w:bidi="hi-IN"/>
        </w:rPr>
        <w:t xml:space="preserve">6. В целях предотвращения чрезвычайных ситуаций, обусловленных ухудшением эпизоотической обстановки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С целью недопущения возникновения новых и распространения очагов бешенства и других контагиозных заболеваний животных, осуществлять мониторинг ситуаций угроз их возникновения и проведение своевременных противоэпизоотических мероприятий.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sz w:val="28"/>
          <w:szCs w:val="28"/>
          <w:highlight w:val="none"/>
          <w:lang w:eastAsia="zh-CN" w:bidi="hi-IN"/>
        </w:rPr>
        <w:t xml:space="preserve">В период ограничительных мероприятий (карантина) запретить проведение выставок собак и кошек, торговлю домашними животными, вывоз собак и кошек, отлов и охоту на диких животных на территории районов, где отмечены очаги опасных болезней животных.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rPr>
          <w:highlight w:val="none"/>
        </w:rPr>
      </w:pPr>
      <w:r>
        <w:rPr>
          <w:rFonts w:ascii="PT Serif" w:hAnsi="PT Serif" w:eastAsia="PT Serif" w:cs="PT Serif"/>
          <w:b/>
          <w:i/>
          <w:color w:val="000000" w:themeColor="text1"/>
          <w:position w:val="-1"/>
          <w:sz w:val="28"/>
          <w:szCs w:val="28"/>
          <w:highlight w:val="none"/>
        </w:rPr>
        <w:t xml:space="preserve">7. В целях предотвращения возникновения природных пожаров</w:t>
      </w:r>
      <w:r>
        <w:rPr>
          <w:highlight w:val="none"/>
        </w:rPr>
      </w:r>
      <w:r>
        <w:rPr>
          <w:highlight w:val="none"/>
        </w:rPr>
      </w:r>
    </w:p>
    <w:p>
      <w:pPr>
        <w:ind w:left="-2" w:firstLine="703"/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В целях снижения рисков возникновения ЧС летний пожароопасный период, рекомендуется проведение следующих превентивных мероприятий: 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4"/>
        </w:numPr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обустройство и эксплуатация лесных дорог, предназначенных для охраны лесов от пожаров;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4"/>
        </w:numPr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прокладка и прочистка просек;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4"/>
        </w:numPr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устройство и прочистка противопожарных минерализованных полос;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4"/>
        </w:numPr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благоустройство и содержание зон отдыха для граждан, прибывающих в лесу;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4"/>
        </w:numPr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установка и содержание стендов, содержащих информацию о лесе.</w:t>
      </w:r>
      <w:r>
        <w:rPr>
          <w:highlight w:val="none"/>
        </w:rPr>
      </w:r>
      <w:r>
        <w:rPr>
          <w:highlight w:val="none"/>
        </w:rPr>
      </w:r>
    </w:p>
    <w:p>
      <w:pPr>
        <w:pStyle w:val="740"/>
        <w:numPr>
          <w:ilvl w:val="0"/>
          <w:numId w:val="4"/>
        </w:numPr>
        <w:jc w:val="both"/>
        <w:rPr>
          <w:highlight w:val="none"/>
        </w:rPr>
        <w:outlineLvl w:val="0"/>
      </w:pPr>
      <w:r>
        <w:rPr>
          <w:rFonts w:ascii="PT Serif" w:hAnsi="PT Serif" w:eastAsia="PT Serif" w:cs="PT Serif"/>
          <w:color w:val="000000" w:themeColor="text1"/>
          <w:position w:val="-1"/>
          <w:sz w:val="28"/>
          <w:szCs w:val="28"/>
          <w:highlight w:val="none"/>
        </w:rPr>
        <w:t xml:space="preserve">по необходимости, установка шлагбаумов, устройство преград, обеспечивающих ограничение пребывания граждан в лесах.</w:t>
      </w:r>
      <w:r>
        <w:rPr>
          <w:highlight w:val="none"/>
        </w:rPr>
      </w:r>
      <w:r>
        <w:rPr>
          <w:highlight w:val="none"/>
        </w:rPr>
      </w:r>
    </w:p>
    <w:p>
      <w:pPr>
        <w:ind w:firstLine="563"/>
        <w:jc w:val="both"/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pPr>
      <w:r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r>
      <w:r>
        <w:rPr>
          <w:rFonts w:ascii="PT Serif" w:hAnsi="PT Serif" w:cs="PT Serif"/>
          <w:i/>
          <w:color w:val="000000" w:themeColor="text1"/>
          <w:sz w:val="16"/>
          <w:szCs w:val="16"/>
          <w:highlight w:val="none"/>
        </w:rPr>
      </w:r>
    </w:p>
    <w:p>
      <w:pPr>
        <w:ind w:firstLine="563"/>
        <w:jc w:val="both"/>
        <w:spacing w:line="1" w:lineRule="atLeast"/>
        <w:rPr>
          <w:highlight w:val="none"/>
        </w:rPr>
      </w:pPr>
      <w:r>
        <w:rPr>
          <w:rFonts w:ascii="PT Serif" w:hAnsi="PT Serif" w:eastAsia="PT Serif" w:cs="PT Serif"/>
          <w:i/>
          <w:color w:val="000000" w:themeColor="text1"/>
          <w:position w:val="-1"/>
          <w:highlight w:val="none"/>
        </w:rPr>
        <w:t xml:space="preserve">Подготовлен на основе информации Ханты-Мансийского ЦГМС - филиала ФГБУ «Обь-Иртышское УГМС», Управления </w:t>
      </w:r>
      <w:r>
        <w:rPr>
          <w:rFonts w:ascii="PT Serif" w:hAnsi="PT Serif" w:eastAsia="PT Serif" w:cs="PT Serif"/>
          <w:i/>
          <w:color w:val="000000" w:themeColor="text1"/>
          <w:position w:val="-1"/>
          <w:highlight w:val="none"/>
        </w:rPr>
        <w:t xml:space="preserve">Роспотребнадзора</w:t>
      </w:r>
      <w:r>
        <w:rPr>
          <w:rFonts w:ascii="PT Serif" w:hAnsi="PT Serif" w:eastAsia="PT Serif" w:cs="PT Serif"/>
          <w:i/>
          <w:color w:val="000000" w:themeColor="text1"/>
          <w:position w:val="-1"/>
          <w:highlight w:val="none"/>
        </w:rPr>
        <w:t xml:space="preserve"> по ХМАО-Югре, Управления надзорной деятельности, КУ ХМАО-Югры «Центр обеспечения безопасности жизнедеятельности и призыва граждан на военную службу», ГУ МЧС России по ХМАО-Югре, Филиала Севера Сибири ФГБУ «</w:t>
      </w:r>
      <w:r>
        <w:rPr>
          <w:rFonts w:ascii="PT Serif" w:hAnsi="PT Serif" w:eastAsia="PT Serif" w:cs="PT Serif"/>
          <w:i/>
          <w:color w:val="000000" w:themeColor="text1"/>
          <w:position w:val="-1"/>
          <w:highlight w:val="none"/>
        </w:rPr>
        <w:t xml:space="preserve">Авиаметтелеком</w:t>
      </w:r>
      <w:r>
        <w:rPr>
          <w:rFonts w:ascii="PT Serif" w:hAnsi="PT Serif" w:eastAsia="PT Serif" w:cs="PT Serif"/>
          <w:i/>
          <w:color w:val="000000" w:themeColor="text1"/>
          <w:position w:val="-1"/>
          <w:highlight w:val="none"/>
        </w:rPr>
        <w:t xml:space="preserve"> Росгидромета», статистических данных.</w: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rPr>
          <w:rFonts w:ascii="PT Serif" w:hAnsi="PT Serif" w:cs="PT Serif"/>
          <w:color w:val="000000" w:themeColor="text1"/>
          <w:sz w:val="22"/>
          <w:szCs w:val="22"/>
          <w:highlight w:val="none"/>
        </w:rPr>
      </w:pPr>
      <w:r>
        <w:rPr>
          <w:rFonts w:ascii="PT Serif" w:hAnsi="PT Serif" w:cs="PT Serif"/>
          <w:color w:val="000000" w:themeColor="text1"/>
          <w:sz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szCs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szCs w:val="22"/>
          <w:highlight w:val="none"/>
        </w:rPr>
      </w:r>
    </w:p>
    <w:p>
      <w:pPr>
        <w:ind w:hanging="2"/>
        <w:rPr>
          <w:rFonts w:ascii="PT Serif" w:hAnsi="PT Serif" w:cs="PT Serif"/>
          <w:color w:val="000000" w:themeColor="text1"/>
          <w:sz w:val="22"/>
          <w:szCs w:val="22"/>
          <w:highlight w:val="none"/>
        </w:rPr>
      </w:pPr>
      <w:r>
        <w:rPr>
          <w:rFonts w:ascii="PT Serif" w:hAnsi="PT Serif" w:cs="PT Serif"/>
          <w:color w:val="000000" w:themeColor="text1"/>
          <w:sz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szCs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szCs w:val="22"/>
          <w:highlight w:val="none"/>
        </w:rPr>
      </w:r>
    </w:p>
    <w:p>
      <w:pPr>
        <w:ind w:hanging="2"/>
        <w:rPr>
          <w:rFonts w:ascii="PT Serif" w:hAnsi="PT Serif" w:cs="PT Serif"/>
          <w:color w:val="000000" w:themeColor="text1"/>
          <w:sz w:val="22"/>
          <w:highlight w:val="none"/>
        </w:rPr>
      </w:pPr>
      <w:r>
        <w:rPr>
          <w:rFonts w:ascii="PT Serif" w:hAnsi="PT Serif" w:cs="PT Serif"/>
          <w:color w:val="000000" w:themeColor="text1"/>
          <w:sz w:val="26"/>
          <w:szCs w:val="26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6985" distB="6985" distL="7620" distR="6350" simplePos="0" relativeHeight="251659264" behindDoc="0" locked="0" layoutInCell="1" allowOverlap="1">
                <wp:simplePos x="0" y="0"/>
                <wp:positionH relativeFrom="column">
                  <wp:posOffset>2248535</wp:posOffset>
                </wp:positionH>
                <wp:positionV relativeFrom="paragraph">
                  <wp:posOffset>27940</wp:posOffset>
                </wp:positionV>
                <wp:extent cx="2552700" cy="1176020"/>
                <wp:effectExtent l="0" t="0" r="19050" b="24130"/>
                <wp:wrapNone/>
                <wp:docPr id="4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552700" cy="1176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" o:spid="_x0000_s3" o:spt="2" type="#_x0000_t2" style="position:absolute;z-index:251659264;o:allowoverlap:true;o:allowincell:true;mso-position-horizontal-relative:text;margin-left:177.05pt;mso-position-horizontal:absolute;mso-position-vertical-relative:text;margin-top:2.20pt;mso-position-vertical:absolute;width:201.00pt;height:92.60pt;mso-wrap-distance-left:0.60pt;mso-wrap-distance-top:0.55pt;mso-wrap-distance-right:0.50pt;mso-wrap-distance-bottom:0.55pt;visibility:visible;" filled="f" strokecolor="#000000" strokeweight="1.00pt"/>
            </w:pict>
          </mc:Fallback>
        </mc:AlternateContent>
      </w:r>
      <w:r>
        <w:rPr>
          <w:rFonts w:ascii="PT Serif" w:hAnsi="PT Serif" w:cs="PT Serif"/>
          <w:color w:val="000000" w:themeColor="text1"/>
          <w:sz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highlight w:val="none"/>
        </w:rPr>
      </w:r>
    </w:p>
    <w:tbl>
      <w:tblPr>
        <w:tblW w:w="10008" w:type="dxa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13"/>
        <w:gridCol w:w="3506"/>
        <w:gridCol w:w="2589"/>
      </w:tblGrid>
      <w:tr>
        <w:tblPrEx/>
        <w:trPr>
          <w:trHeight w:val="1443"/>
        </w:trPr>
        <w:tc>
          <w:tcPr>
            <w:tcW w:w="3913" w:type="dxa"/>
            <w:textDirection w:val="lrTb"/>
            <w:noWrap w:val="false"/>
          </w:tcPr>
          <w:p>
            <w:pPr>
              <w:ind w:left="1" w:hanging="3"/>
              <w:rPr>
                <w:rFonts w:ascii="PT Serif" w:hAnsi="PT Serif" w:cs="PT Serif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6"/>
                <w:szCs w:val="26"/>
                <w:highlight w:val="none"/>
              </w:rPr>
            </w:r>
          </w:p>
          <w:p>
            <w:pPr>
              <w:ind w:left="1" w:hanging="3"/>
              <w:rPr>
                <w:sz w:val="22"/>
                <w:highlight w:val="none"/>
              </w:rPr>
              <w:outlineLvl w:val="0"/>
            </w:pPr>
            <w:r>
              <w:rPr>
                <w:rFonts w:ascii="PT Serif" w:hAnsi="PT Serif" w:eastAsia="PT Serif" w:cs="PT Serif"/>
                <w:color w:val="000000" w:themeColor="text1"/>
                <w:position w:val="-1"/>
                <w:sz w:val="28"/>
                <w:szCs w:val="26"/>
                <w:highlight w:val="none"/>
              </w:rPr>
              <w:t xml:space="preserve">Начальник отдела</w:t>
            </w:r>
            <w:r>
              <w:rPr>
                <w:sz w:val="22"/>
                <w:highlight w:val="none"/>
              </w:rPr>
            </w:r>
            <w:r>
              <w:rPr>
                <w:sz w:val="22"/>
                <w:highlight w:val="none"/>
              </w:rPr>
            </w:r>
          </w:p>
          <w:p>
            <w:pPr>
              <w:ind w:left="1" w:hanging="3"/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3506" w:type="dxa"/>
            <w:vAlign w:val="center"/>
            <w:textDirection w:val="lrTb"/>
            <w:noWrap w:val="false"/>
          </w:tcPr>
          <w:p>
            <w:pPr>
              <w:ind w:hanging="2"/>
              <w:jc w:val="center"/>
              <w:rPr>
                <w:highlight w:val="none"/>
              </w:rPr>
            </w:pPr>
            <w:r>
              <w:rPr>
                <w:highlight w:val="none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-462280</wp:posOffset>
                      </wp:positionH>
                      <wp:positionV relativeFrom="paragraph">
                        <wp:posOffset>-8255</wp:posOffset>
                      </wp:positionV>
                      <wp:extent cx="371475" cy="333375"/>
                      <wp:effectExtent l="0" t="0" r="0" b="0"/>
                      <wp:wrapThrough wrapText="bothSides">
                        <wp:wrapPolygon edited="1">
                          <wp:start x="-553" y="0"/>
                          <wp:lineTo x="-553" y="1803"/>
                          <wp:lineTo x="3421" y="1803"/>
                          <wp:lineTo x="3421" y="0"/>
                          <wp:lineTo x="-553" y="0"/>
                        </wp:wrapPolygon>
                      </wp:wrapThrough>
                      <wp:docPr id="5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Рисунок 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71475" cy="3333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position:absolute;z-index:251656192;o:allowoverlap:true;o:allowincell:true;mso-position-horizontal-relative:text;margin-left:-36.40pt;mso-position-horizontal:absolute;mso-position-vertical-relative:text;margin-top:-0.65pt;mso-position-vertical:absolute;width:29.25pt;height:26.25pt;mso-wrap-distance-left:9.00pt;mso-wrap-distance-top:0.00pt;mso-wrap-distance-right:9.00pt;mso-wrap-distance-bottom:0.00pt;" wrapcoords="-2559 0 -2559 8347 15838 8347 15838 0 -2559 0" stroked="false">
                      <v:path textboxrect="0,0,0,0"/>
                      <w10:wrap type="through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PT Serif" w:hAnsi="PT Serif" w:eastAsia="PT Serif" w:cs="PT Serif"/>
                <w:b/>
                <w:color w:val="000000" w:themeColor="text1"/>
                <w:highlight w:val="none"/>
              </w:rPr>
              <w:t xml:space="preserve">ДОКУМЕНТ ПОДПИСАН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hanging="2"/>
              <w:jc w:val="center"/>
              <w:rPr>
                <w:highlight w:val="none"/>
              </w:rPr>
            </w:pPr>
            <w:r>
              <w:rPr>
                <w:rFonts w:ascii="PT Serif" w:hAnsi="PT Serif" w:eastAsia="PT Serif" w:cs="PT Serif"/>
                <w:b/>
                <w:color w:val="000000" w:themeColor="text1"/>
                <w:highlight w:val="none"/>
              </w:rPr>
              <w:t xml:space="preserve">ЭЛЕКТРОННОЙ ПОДПИСЬЮ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rFonts w:ascii="PT Serif" w:hAnsi="PT Serif" w:cs="PT Serif"/>
                <w:color w:val="000000" w:themeColor="text1"/>
                <w:sz w:val="8"/>
                <w:szCs w:val="8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 w:val="8"/>
                <w:szCs w:val="8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8"/>
                <w:szCs w:val="8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8"/>
                <w:szCs w:val="8"/>
                <w:highlight w:val="none"/>
              </w:rPr>
            </w:r>
          </w:p>
          <w:p>
            <w:pPr>
              <w:ind w:hanging="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Сертификат  [</w:t>
            </w: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Номер сертификата 1]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hanging="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Владелец [Владелец сертификата 1]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hanging="2"/>
              <w:rPr>
                <w:highlight w:val="none"/>
              </w:rPr>
            </w:pP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Действителен с [</w:t>
            </w: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ДатаС</w:t>
            </w: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 1] по [</w:t>
            </w: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ДатаПо</w:t>
            </w:r>
            <w:r>
              <w:rPr>
                <w:rFonts w:ascii="PT Serif" w:hAnsi="PT Serif" w:eastAsia="PT Serif" w:cs="PT Serif"/>
                <w:color w:val="000000" w:themeColor="text1"/>
                <w:sz w:val="18"/>
                <w:szCs w:val="18"/>
                <w:highlight w:val="none"/>
              </w:rPr>
              <w:t xml:space="preserve"> 1]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589" w:type="dxa"/>
            <w:textDirection w:val="lrTb"/>
            <w:noWrap w:val="false"/>
          </w:tcPr>
          <w:p>
            <w:pPr>
              <w:ind w:left="1" w:hanging="3"/>
              <w:jc w:val="right"/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PT Serif" w:hAnsi="PT Serif" w:cs="PT 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1" w:hanging="3"/>
              <w:jc w:val="center"/>
              <w:rPr>
                <w:highlight w:val="none"/>
              </w:rPr>
              <w:outlineLvl w:val="0"/>
            </w:pPr>
            <w:r>
              <w:rPr>
                <w:rFonts w:ascii="PT Serif" w:hAnsi="PT Serif" w:eastAsia="PT Serif" w:cs="PT Serif"/>
                <w:color w:val="000000" w:themeColor="text1"/>
                <w:position w:val="-1"/>
                <w:sz w:val="28"/>
                <w:szCs w:val="28"/>
                <w:highlight w:val="none"/>
              </w:rPr>
              <w:t xml:space="preserve">С.Б. Крыль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ind w:hanging="2"/>
        <w:rPr>
          <w:rFonts w:ascii="PT Serif" w:hAnsi="PT Serif" w:cs="PT Serif"/>
          <w:color w:val="000000" w:themeColor="text1"/>
          <w:sz w:val="22"/>
          <w:highlight w:val="none"/>
        </w:rPr>
      </w:pPr>
      <w:r>
        <w:rPr>
          <w:rFonts w:ascii="PT Serif" w:hAnsi="PT Serif" w:cs="PT Serif"/>
          <w:color w:val="000000" w:themeColor="text1"/>
          <w:sz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highlight w:val="none"/>
        </w:rPr>
      </w:r>
    </w:p>
    <w:p>
      <w:pPr>
        <w:ind w:left="0" w:firstLine="0"/>
        <w:rPr>
          <w:rFonts w:ascii="PT Serif" w:hAnsi="PT Serif" w:cs="PT Serif"/>
          <w:color w:val="000000" w:themeColor="text1"/>
          <w:sz w:val="22"/>
          <w:highlight w:val="none"/>
        </w:rPr>
      </w:pPr>
      <w:r>
        <w:rPr>
          <w:rFonts w:ascii="PT Serif" w:hAnsi="PT Serif" w:cs="PT Serif"/>
          <w:color w:val="000000" w:themeColor="text1"/>
          <w:sz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highlight w:val="none"/>
        </w:rPr>
      </w:r>
      <w:r>
        <w:rPr>
          <w:rFonts w:ascii="PT Serif" w:hAnsi="PT Serif" w:cs="PT Serif"/>
          <w:color w:val="000000" w:themeColor="text1"/>
          <w:sz w:val="22"/>
          <w:highlight w:val="none"/>
        </w:rPr>
      </w:r>
    </w:p>
    <w:p>
      <w:pPr>
        <w:ind w:left="0" w:firstLine="0"/>
        <w:spacing w:line="1" w:lineRule="atLeast"/>
        <w:rPr>
          <w:rFonts w:ascii="PT Serif" w:hAnsi="PT Serif" w:cs="PT Serif"/>
          <w:color w:val="000000" w:themeColor="text1"/>
          <w:szCs w:val="24"/>
          <w:highlight w:val="none"/>
        </w:rPr>
      </w:pPr>
      <w:r>
        <w:rPr>
          <w:rFonts w:ascii="PT Serif" w:hAnsi="PT Serif" w:cs="PT Serif"/>
          <w:color w:val="000000" w:themeColor="text1"/>
          <w:szCs w:val="24"/>
          <w:highlight w:val="none"/>
        </w:rPr>
      </w:r>
      <w:r>
        <w:rPr>
          <w:rFonts w:ascii="PT Serif" w:hAnsi="PT Serif" w:cs="PT Serif"/>
          <w:color w:val="000000" w:themeColor="text1"/>
          <w:szCs w:val="24"/>
          <w:highlight w:val="none"/>
        </w:rPr>
      </w:r>
      <w:r>
        <w:rPr>
          <w:rFonts w:ascii="PT Serif" w:hAnsi="PT Serif" w:cs="PT Serif"/>
          <w:color w:val="000000" w:themeColor="text1"/>
          <w:szCs w:val="24"/>
          <w:highlight w:val="none"/>
        </w:rPr>
      </w:r>
    </w:p>
    <w:p>
      <w:pPr>
        <w:ind w:hanging="2"/>
        <w:spacing w:line="1" w:lineRule="atLeast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Территориальный центр анализа и прогноза угроз безопасности</w: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spacing w:line="1" w:lineRule="atLeast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тел. 8 (3467) 360-086 (доб. 211)</w: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spacing w:line="1" w:lineRule="atLeast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e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-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mail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: 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riskhmao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@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cov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86.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ru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ind w:hanging="2"/>
        <w:spacing w:line="1" w:lineRule="atLeast"/>
        <w:rPr>
          <w:highlight w:val="none"/>
        </w:rPr>
      </w:pP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http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://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risk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.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cov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</w:rPr>
        <w:t xml:space="preserve">86.</w:t>
      </w:r>
      <w:r>
        <w:rPr>
          <w:rFonts w:ascii="PT Serif" w:hAnsi="PT Serif" w:eastAsia="PT Serif" w:cs="PT Serif"/>
          <w:color w:val="000000" w:themeColor="text1"/>
          <w:position w:val="-1"/>
          <w:szCs w:val="24"/>
          <w:highlight w:val="none"/>
          <w:lang w:val="en-US"/>
        </w:rPr>
        <w:t xml:space="preserve">ru</w:t>
      </w:r>
      <w:r>
        <w:rPr>
          <w:rFonts w:ascii="PT Serif" w:hAnsi="PT Serif" w:eastAsia="PT Serif" w:cs="PT Serif"/>
          <w:color w:val="000000" w:themeColor="text1"/>
          <w:position w:val="-1"/>
          <w:sz w:val="24"/>
          <w:szCs w:val="24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rPr>
          <w:rFonts w:ascii="PT Serif" w:hAnsi="PT Serif" w:cs="PT Serif"/>
          <w:color w:val="000000" w:themeColor="text1"/>
          <w:highlight w:val="none"/>
        </w:rPr>
      </w:pPr>
      <w:r>
        <w:rPr>
          <w:rFonts w:ascii="PT Serif" w:hAnsi="PT Serif" w:cs="PT Serif"/>
          <w:color w:val="000000" w:themeColor="text1"/>
          <w:highlight w:val="none"/>
        </w:rPr>
      </w:r>
      <w:r>
        <w:rPr>
          <w:rFonts w:ascii="PT Serif" w:hAnsi="PT Serif" w:cs="PT Serif"/>
          <w:color w:val="000000" w:themeColor="text1"/>
          <w:highlight w:val="none"/>
        </w:rPr>
      </w:r>
      <w:r>
        <w:rPr>
          <w:rFonts w:ascii="PT Serif" w:hAnsi="PT Serif" w:cs="PT Serif"/>
          <w:color w:val="000000" w:themeColor="text1"/>
          <w:highlight w:val="none"/>
        </w:rPr>
      </w:r>
    </w:p>
    <w:sectPr>
      <w:footnotePr/>
      <w:endnotePr/>
      <w:type w:val="nextPage"/>
      <w:pgSz w:w="11906" w:h="16838" w:orient="portrait"/>
      <w:pgMar w:top="1417" w:right="1276" w:bottom="1134" w:left="1559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Symbol">
    <w:panose1 w:val="05010000000000000000"/>
  </w:font>
  <w:font w:name="Liberation Serif">
    <w:panose1 w:val="02020603050405020304"/>
  </w:font>
  <w:font w:name="Liberation Sans">
    <w:panose1 w:val="020B0604020202020204"/>
  </w:font>
  <w:font w:name="Wingdings">
    <w:panose1 w:val="05010000000000000000"/>
  </w:font>
  <w:font w:name="Noto Sans">
    <w:panose1 w:val="020B0502040504020204"/>
  </w:font>
  <w:font w:name="Calibri">
    <w:panose1 w:val="020F0502020204030204"/>
  </w:font>
  <w:font w:name="Liberation Mono">
    <w:panose1 w:val="02070409020205020404"/>
  </w:font>
  <w:font w:name="Open Sans">
    <w:panose1 w:val="020B0606030504020204"/>
  </w:font>
  <w:font w:name="Cambria">
    <w:panose1 w:val="02040503050406030204"/>
  </w:font>
  <w:font w:name="Tahoma">
    <w:panose1 w:val="020B0606030504020204"/>
  </w:font>
  <w:font w:name="Arial">
    <w:panose1 w:val="020B0604020202020204"/>
  </w:font>
  <w:font w:name="WenQuanYi Micro Hei">
    <w:panose1 w:val="020B0606030804020204"/>
  </w:font>
  <w:font w:name="Lohit Devanagari">
    <w:panose1 w:val="020B0600000000000000"/>
  </w:font>
  <w:font w:name="Courier New">
    <w:panose1 w:val="02070409020205020404"/>
  </w:font>
  <w:font w:name="Iosevka Term SS03">
    <w:panose1 w:val="020005090300000000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448" w:hanging="360"/>
        <w:tabs>
          <w:tab w:val="num" w:pos="6379" w:leader="none"/>
        </w:tabs>
      </w:pPr>
      <w:rPr>
        <w:b/>
        <w:i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6314" w:hanging="360"/>
        <w:tabs>
          <w:tab w:val="num" w:pos="2725" w:leader="none"/>
        </w:tabs>
      </w:pPr>
      <w:rPr>
        <w:b/>
        <w:i/>
        <w:sz w:val="28"/>
        <w:szCs w:val="28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74" w:hanging="360"/>
        <w:tabs>
          <w:tab w:val="num" w:pos="0" w:leader="none"/>
        </w:tabs>
      </w:pPr>
      <w:rPr>
        <w:b/>
        <w:i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196" w:hanging="360"/>
        <w:tabs>
          <w:tab w:val="num" w:pos="2127" w:leader="none"/>
        </w:tabs>
      </w:pPr>
      <w:rPr>
        <w:b/>
        <w:i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6314" w:hanging="360"/>
        <w:tabs>
          <w:tab w:val="num" w:pos="2725" w:leader="none"/>
        </w:tabs>
      </w:pPr>
      <w:rPr>
        <w:b/>
        <w:i/>
        <w:sz w:val="28"/>
        <w:szCs w:val="28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b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196" w:hanging="360"/>
        <w:tabs>
          <w:tab w:val="num" w:pos="2127" w:leader="none"/>
        </w:tabs>
      </w:pPr>
      <w:rPr>
        <w:b/>
        <w:i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6314" w:hanging="360"/>
        <w:tabs>
          <w:tab w:val="num" w:pos="2725" w:leader="none"/>
        </w:tabs>
      </w:pPr>
      <w:rPr>
        <w:b/>
        <w:i/>
        <w:sz w:val="28"/>
        <w:szCs w:val="28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  <w:tabs>
          <w:tab w:val="num" w:pos="0" w:leader="none"/>
        </w:tabs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WenQuanYi Micro Hei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 w:default="1">
    <w:name w:val="Normal"/>
    <w:qFormat/>
    <w:rPr>
      <w:lang w:eastAsia="ru-RU"/>
    </w:rPr>
  </w:style>
  <w:style w:type="paragraph" w:styleId="669">
    <w:name w:val="Heading 1"/>
    <w:basedOn w:val="761"/>
    <w:next w:val="761"/>
    <w:link w:val="724"/>
    <w:qFormat/>
    <w:pPr>
      <w:ind w:left="1390"/>
      <w:keepNext/>
      <w:outlineLvl w:val="0"/>
    </w:pPr>
    <w:rPr>
      <w:b/>
      <w:sz w:val="24"/>
    </w:rPr>
  </w:style>
  <w:style w:type="paragraph" w:styleId="670">
    <w:name w:val="Heading 2"/>
    <w:basedOn w:val="761"/>
    <w:next w:val="761"/>
    <w:link w:val="699"/>
    <w:qFormat/>
    <w:pPr>
      <w:keepNext/>
      <w:outlineLvl w:val="1"/>
    </w:pPr>
    <w:rPr>
      <w:b/>
      <w:sz w:val="22"/>
    </w:rPr>
  </w:style>
  <w:style w:type="paragraph" w:styleId="671">
    <w:name w:val="Heading 3"/>
    <w:basedOn w:val="761"/>
    <w:next w:val="761"/>
    <w:link w:val="700"/>
    <w:qFormat/>
    <w:pPr>
      <w:keepNext/>
      <w:outlineLvl w:val="2"/>
    </w:pPr>
    <w:rPr>
      <w:b/>
    </w:rPr>
  </w:style>
  <w:style w:type="paragraph" w:styleId="672">
    <w:name w:val="Heading 4"/>
    <w:basedOn w:val="668"/>
    <w:next w:val="668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668"/>
    <w:next w:val="66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668"/>
    <w:next w:val="668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668"/>
    <w:next w:val="668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668"/>
    <w:next w:val="6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668"/>
    <w:next w:val="668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Caption Char"/>
    <w:uiPriority w:val="99"/>
    <w:qFormat/>
  </w:style>
  <w:style w:type="character" w:styleId="682" w:customStyle="1">
    <w:name w:val="Heading 2 Char"/>
    <w:basedOn w:val="678"/>
    <w:uiPriority w:val="9"/>
    <w:qFormat/>
    <w:rPr>
      <w:rFonts w:ascii="Arial" w:hAnsi="Arial" w:eastAsia="Arial" w:cs="Arial"/>
      <w:sz w:val="34"/>
    </w:rPr>
  </w:style>
  <w:style w:type="character" w:styleId="683" w:customStyle="1">
    <w:name w:val="Heading 3 Char"/>
    <w:basedOn w:val="678"/>
    <w:uiPriority w:val="9"/>
    <w:qFormat/>
    <w:rPr>
      <w:rFonts w:ascii="Arial" w:hAnsi="Arial" w:eastAsia="Arial" w:cs="Arial"/>
      <w:sz w:val="30"/>
      <w:szCs w:val="30"/>
    </w:rPr>
  </w:style>
  <w:style w:type="character" w:styleId="684" w:customStyle="1">
    <w:name w:val="Heading 4 Char"/>
    <w:basedOn w:val="67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5 Char"/>
    <w:basedOn w:val="67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6" w:customStyle="1">
    <w:name w:val="Heading 6 Char"/>
    <w:basedOn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7 Char"/>
    <w:basedOn w:val="67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8" w:customStyle="1">
    <w:name w:val="Heading 8 Char"/>
    <w:basedOn w:val="67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9" w:customStyle="1">
    <w:name w:val="Heading 9 Char"/>
    <w:basedOn w:val="67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Title Char"/>
    <w:basedOn w:val="678"/>
    <w:uiPriority w:val="10"/>
    <w:qFormat/>
    <w:rPr>
      <w:sz w:val="48"/>
      <w:szCs w:val="48"/>
    </w:rPr>
  </w:style>
  <w:style w:type="character" w:styleId="691" w:customStyle="1">
    <w:name w:val="Subtitle Char"/>
    <w:basedOn w:val="678"/>
    <w:uiPriority w:val="11"/>
    <w:qFormat/>
    <w:rPr>
      <w:sz w:val="24"/>
      <w:szCs w:val="24"/>
    </w:rPr>
  </w:style>
  <w:style w:type="character" w:styleId="692" w:customStyle="1">
    <w:name w:val="Quote Char"/>
    <w:uiPriority w:val="29"/>
    <w:qFormat/>
    <w:rPr>
      <w:i/>
    </w:rPr>
  </w:style>
  <w:style w:type="character" w:styleId="693" w:customStyle="1">
    <w:name w:val="Intense Quote Char"/>
    <w:uiPriority w:val="30"/>
    <w:qFormat/>
    <w:rPr>
      <w:i/>
    </w:rPr>
  </w:style>
  <w:style w:type="character" w:styleId="694" w:customStyle="1">
    <w:name w:val="Header Char"/>
    <w:basedOn w:val="678"/>
    <w:uiPriority w:val="99"/>
    <w:qFormat/>
  </w:style>
  <w:style w:type="character" w:styleId="695" w:customStyle="1">
    <w:name w:val="Нижний колонтитул Знак"/>
    <w:link w:val="747"/>
    <w:uiPriority w:val="99"/>
    <w:qFormat/>
  </w:style>
  <w:style w:type="character" w:styleId="696" w:customStyle="1">
    <w:name w:val="Footnote Text Char"/>
    <w:uiPriority w:val="99"/>
    <w:qFormat/>
    <w:rPr>
      <w:sz w:val="18"/>
    </w:rPr>
  </w:style>
  <w:style w:type="character" w:styleId="697" w:customStyle="1">
    <w:name w:val="Endnote Text Char"/>
    <w:uiPriority w:val="99"/>
    <w:qFormat/>
    <w:rPr>
      <w:sz w:val="20"/>
    </w:rPr>
  </w:style>
  <w:style w:type="character" w:styleId="698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link w:val="670"/>
    <w:uiPriority w:val="9"/>
    <w:qFormat/>
    <w:rPr>
      <w:rFonts w:ascii="Arial" w:hAnsi="Arial" w:eastAsia="Arial" w:cs="Arial"/>
      <w:sz w:val="34"/>
    </w:rPr>
  </w:style>
  <w:style w:type="character" w:styleId="700" w:customStyle="1">
    <w:name w:val="Заголовок 3 Знак"/>
    <w:link w:val="671"/>
    <w:uiPriority w:val="9"/>
    <w:qFormat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link w:val="67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link w:val="67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link w:val="67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link w:val="67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link w:val="67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link w:val="67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7" w:customStyle="1">
    <w:name w:val="Название Знак"/>
    <w:link w:val="742"/>
    <w:uiPriority w:val="10"/>
    <w:qFormat/>
    <w:rPr>
      <w:sz w:val="48"/>
      <w:szCs w:val="48"/>
    </w:rPr>
  </w:style>
  <w:style w:type="character" w:styleId="708" w:customStyle="1">
    <w:name w:val="Подзаголовок Знак"/>
    <w:link w:val="743"/>
    <w:uiPriority w:val="11"/>
    <w:qFormat/>
    <w:rPr>
      <w:sz w:val="24"/>
      <w:szCs w:val="24"/>
    </w:rPr>
  </w:style>
  <w:style w:type="character" w:styleId="709" w:customStyle="1">
    <w:name w:val="Цитата 2 Знак"/>
    <w:link w:val="744"/>
    <w:uiPriority w:val="29"/>
    <w:qFormat/>
    <w:rPr>
      <w:i/>
    </w:rPr>
  </w:style>
  <w:style w:type="character" w:styleId="710" w:customStyle="1">
    <w:name w:val="Выделенная цитата Знак"/>
    <w:link w:val="745"/>
    <w:uiPriority w:val="30"/>
    <w:qFormat/>
    <w:rPr>
      <w:i/>
    </w:rPr>
  </w:style>
  <w:style w:type="character" w:styleId="711" w:customStyle="1">
    <w:name w:val="Верхний колонтитул Знак"/>
    <w:link w:val="762"/>
    <w:uiPriority w:val="99"/>
    <w:qFormat/>
  </w:style>
  <w:style w:type="character" w:styleId="712" w:customStyle="1">
    <w:name w:val="Footer Char"/>
    <w:uiPriority w:val="99"/>
    <w:qFormat/>
  </w:style>
  <w:style w:type="character" w:styleId="713" w:customStyle="1">
    <w:name w:val="Название объекта Знак"/>
    <w:link w:val="736"/>
    <w:uiPriority w:val="99"/>
    <w:qFormat/>
  </w:style>
  <w:style w:type="character" w:styleId="714">
    <w:name w:val="Hyperlink"/>
    <w:uiPriority w:val="99"/>
    <w:unhideWhenUsed/>
    <w:rPr>
      <w:color w:val="0000ff" w:themeColor="hyperlink"/>
      <w:u w:val="single"/>
    </w:rPr>
  </w:style>
  <w:style w:type="character" w:styleId="715" w:customStyle="1">
    <w:name w:val="Текст сноски Знак"/>
    <w:link w:val="748"/>
    <w:uiPriority w:val="99"/>
    <w:qFormat/>
    <w:rPr>
      <w:sz w:val="18"/>
    </w:rPr>
  </w:style>
  <w:style w:type="character" w:styleId="716" w:customStyle="1">
    <w:name w:val="Символ сноски"/>
    <w:uiPriority w:val="99"/>
    <w:unhideWhenUsed/>
    <w:qFormat/>
    <w:rPr>
      <w:vertAlign w:val="superscript"/>
    </w:rPr>
  </w:style>
  <w:style w:type="character" w:styleId="717">
    <w:name w:val="footnote reference"/>
    <w:rPr>
      <w:vertAlign w:val="superscript"/>
    </w:rPr>
  </w:style>
  <w:style w:type="character" w:styleId="718" w:customStyle="1">
    <w:name w:val="Текст концевой сноски Знак"/>
    <w:link w:val="749"/>
    <w:uiPriority w:val="99"/>
    <w:qFormat/>
    <w:rPr>
      <w:sz w:val="20"/>
    </w:rPr>
  </w:style>
  <w:style w:type="character" w:styleId="719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20">
    <w:name w:val="endnote reference"/>
    <w:rPr>
      <w:vertAlign w:val="superscript"/>
    </w:rPr>
  </w:style>
  <w:style w:type="character" w:styleId="721" w:customStyle="1">
    <w:name w:val="Текст выноски Знак"/>
    <w:link w:val="763"/>
    <w:uiPriority w:val="99"/>
    <w:semiHidden/>
    <w:qFormat/>
    <w:rPr>
      <w:rFonts w:ascii="Tahoma" w:hAnsi="Tahoma" w:cs="Tahoma"/>
      <w:sz w:val="16"/>
      <w:szCs w:val="16"/>
    </w:rPr>
  </w:style>
  <w:style w:type="character" w:styleId="722">
    <w:name w:val="Strong"/>
    <w:uiPriority w:val="22"/>
    <w:qFormat/>
    <w:rPr>
      <w:b/>
      <w:bCs/>
    </w:rPr>
  </w:style>
  <w:style w:type="character" w:styleId="723">
    <w:name w:val="Emphasis"/>
    <w:uiPriority w:val="20"/>
    <w:qFormat/>
    <w:rPr>
      <w:i/>
      <w:iCs/>
    </w:rPr>
  </w:style>
  <w:style w:type="character" w:styleId="724" w:customStyle="1">
    <w:name w:val="Заголовок 1 Знак"/>
    <w:link w:val="669"/>
    <w:uiPriority w:val="9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725" w:customStyle="1">
    <w:name w:val="Обычный1"/>
    <w:qFormat/>
  </w:style>
  <w:style w:type="character" w:styleId="726" w:customStyle="1">
    <w:name w:val="Символ нумерации"/>
    <w:qFormat/>
  </w:style>
  <w:style w:type="character" w:styleId="727" w:customStyle="1">
    <w:name w:val="Текст Знак"/>
    <w:qFormat/>
    <w:rPr>
      <w:rFonts w:cs="Times New Roman"/>
      <w:color w:val="000000"/>
      <w:sz w:val="24"/>
      <w:szCs w:val="21"/>
    </w:rPr>
  </w:style>
  <w:style w:type="character" w:styleId="728" w:customStyle="1">
    <w:name w:val="Для оглавления2 Знак"/>
    <w:basedOn w:val="708"/>
    <w:qFormat/>
    <w:rPr>
      <w:rFonts w:ascii="Times New Roman" w:hAnsi="Times New Roman" w:eastAsia="Arial" w:cs="Times New Roman"/>
      <w:b/>
      <w:bCs/>
      <w:color w:val="5a5a5a"/>
      <w:spacing w:val="15"/>
      <w:sz w:val="28"/>
      <w:szCs w:val="28"/>
    </w:rPr>
  </w:style>
  <w:style w:type="paragraph" w:styleId="729" w:customStyle="1">
    <w:name w:val="Заголовок"/>
    <w:basedOn w:val="668"/>
    <w:next w:val="730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730">
    <w:name w:val="Body Text"/>
    <w:basedOn w:val="668"/>
    <w:pPr>
      <w:spacing w:after="140" w:line="276" w:lineRule="auto"/>
    </w:pPr>
  </w:style>
  <w:style w:type="paragraph" w:styleId="731">
    <w:name w:val="List"/>
    <w:basedOn w:val="730"/>
  </w:style>
  <w:style w:type="paragraph" w:styleId="732">
    <w:name w:val="Caption"/>
    <w:basedOn w:val="668"/>
    <w:link w:val="681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733">
    <w:name w:val="index heading"/>
    <w:basedOn w:val="729"/>
  </w:style>
  <w:style w:type="paragraph" w:styleId="734" w:customStyle="1">
    <w:name w:val="caption1"/>
    <w:basedOn w:val="668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735" w:customStyle="1">
    <w:name w:val="index heading1"/>
    <w:basedOn w:val="729"/>
    <w:qFormat/>
  </w:style>
  <w:style w:type="paragraph" w:styleId="736" w:customStyle="1">
    <w:name w:val="caption11"/>
    <w:basedOn w:val="668"/>
    <w:next w:val="66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37" w:customStyle="1">
    <w:name w:val="index heading11"/>
    <w:basedOn w:val="729"/>
    <w:qFormat/>
  </w:style>
  <w:style w:type="paragraph" w:styleId="738" w:customStyle="1">
    <w:name w:val="index heading111"/>
    <w:basedOn w:val="729"/>
    <w:qFormat/>
  </w:style>
  <w:style w:type="paragraph" w:styleId="739" w:customStyle="1">
    <w:name w:val="index heading1111"/>
    <w:basedOn w:val="729"/>
    <w:qFormat/>
  </w:style>
  <w:style w:type="paragraph" w:styleId="740">
    <w:name w:val="List Paragraph"/>
    <w:basedOn w:val="668"/>
    <w:uiPriority w:val="34"/>
    <w:qFormat/>
    <w:pPr>
      <w:contextualSpacing/>
      <w:ind w:left="720"/>
    </w:pPr>
  </w:style>
  <w:style w:type="paragraph" w:styleId="741">
    <w:name w:val="No Spacing"/>
    <w:uiPriority w:val="1"/>
    <w:qFormat/>
  </w:style>
  <w:style w:type="paragraph" w:styleId="742">
    <w:name w:val="Title"/>
    <w:basedOn w:val="668"/>
    <w:next w:val="668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3">
    <w:name w:val="Subtitle"/>
    <w:basedOn w:val="668"/>
    <w:next w:val="668"/>
    <w:link w:val="708"/>
    <w:uiPriority w:val="11"/>
    <w:qFormat/>
    <w:pPr>
      <w:spacing w:before="200" w:after="200"/>
    </w:pPr>
    <w:rPr>
      <w:sz w:val="24"/>
      <w:szCs w:val="24"/>
    </w:rPr>
  </w:style>
  <w:style w:type="paragraph" w:styleId="744">
    <w:name w:val="Quote"/>
    <w:basedOn w:val="668"/>
    <w:next w:val="668"/>
    <w:link w:val="709"/>
    <w:uiPriority w:val="29"/>
    <w:qFormat/>
    <w:pPr>
      <w:ind w:left="720" w:right="720"/>
    </w:pPr>
    <w:rPr>
      <w:i/>
    </w:rPr>
  </w:style>
  <w:style w:type="paragraph" w:styleId="745">
    <w:name w:val="Intense Quote"/>
    <w:basedOn w:val="668"/>
    <w:next w:val="668"/>
    <w:link w:val="7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 w:customStyle="1">
    <w:name w:val="Колонтитул"/>
    <w:basedOn w:val="668"/>
    <w:qFormat/>
  </w:style>
  <w:style w:type="paragraph" w:styleId="747">
    <w:name w:val="Footer"/>
    <w:basedOn w:val="668"/>
    <w:link w:val="695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48">
    <w:name w:val="footnote text"/>
    <w:basedOn w:val="668"/>
    <w:link w:val="715"/>
    <w:uiPriority w:val="99"/>
    <w:semiHidden/>
    <w:unhideWhenUsed/>
    <w:pPr>
      <w:spacing w:after="40"/>
    </w:pPr>
    <w:rPr>
      <w:sz w:val="18"/>
    </w:rPr>
  </w:style>
  <w:style w:type="paragraph" w:styleId="749">
    <w:name w:val="endnote text"/>
    <w:basedOn w:val="668"/>
    <w:link w:val="718"/>
    <w:uiPriority w:val="99"/>
    <w:semiHidden/>
    <w:unhideWhenUsed/>
  </w:style>
  <w:style w:type="paragraph" w:styleId="750">
    <w:name w:val="toc 1"/>
    <w:basedOn w:val="668"/>
    <w:next w:val="668"/>
    <w:uiPriority w:val="39"/>
    <w:unhideWhenUsed/>
    <w:pPr>
      <w:spacing w:after="57"/>
    </w:pPr>
  </w:style>
  <w:style w:type="paragraph" w:styleId="751">
    <w:name w:val="toc 2"/>
    <w:basedOn w:val="668"/>
    <w:next w:val="668"/>
    <w:uiPriority w:val="39"/>
    <w:unhideWhenUsed/>
    <w:pPr>
      <w:ind w:left="283"/>
      <w:spacing w:after="57"/>
    </w:pPr>
  </w:style>
  <w:style w:type="paragraph" w:styleId="752">
    <w:name w:val="toc 3"/>
    <w:basedOn w:val="668"/>
    <w:next w:val="668"/>
    <w:uiPriority w:val="39"/>
    <w:unhideWhenUsed/>
    <w:pPr>
      <w:ind w:left="567"/>
      <w:spacing w:after="57"/>
    </w:pPr>
  </w:style>
  <w:style w:type="paragraph" w:styleId="753">
    <w:name w:val="toc 4"/>
    <w:basedOn w:val="668"/>
    <w:next w:val="668"/>
    <w:uiPriority w:val="39"/>
    <w:unhideWhenUsed/>
    <w:pPr>
      <w:ind w:left="850"/>
      <w:spacing w:after="57"/>
    </w:pPr>
  </w:style>
  <w:style w:type="paragraph" w:styleId="754">
    <w:name w:val="toc 5"/>
    <w:basedOn w:val="668"/>
    <w:next w:val="668"/>
    <w:uiPriority w:val="39"/>
    <w:unhideWhenUsed/>
    <w:pPr>
      <w:ind w:left="1134"/>
      <w:spacing w:after="57"/>
    </w:pPr>
  </w:style>
  <w:style w:type="paragraph" w:styleId="755">
    <w:name w:val="toc 6"/>
    <w:basedOn w:val="668"/>
    <w:next w:val="668"/>
    <w:uiPriority w:val="39"/>
    <w:unhideWhenUsed/>
    <w:pPr>
      <w:ind w:left="1417"/>
      <w:spacing w:after="57"/>
    </w:pPr>
  </w:style>
  <w:style w:type="paragraph" w:styleId="756">
    <w:name w:val="toc 7"/>
    <w:basedOn w:val="668"/>
    <w:next w:val="668"/>
    <w:uiPriority w:val="39"/>
    <w:unhideWhenUsed/>
    <w:pPr>
      <w:ind w:left="1701"/>
      <w:spacing w:after="57"/>
    </w:pPr>
  </w:style>
  <w:style w:type="paragraph" w:styleId="757">
    <w:name w:val="toc 8"/>
    <w:basedOn w:val="668"/>
    <w:next w:val="668"/>
    <w:uiPriority w:val="39"/>
    <w:unhideWhenUsed/>
    <w:pPr>
      <w:ind w:left="1984"/>
      <w:spacing w:after="57"/>
    </w:pPr>
  </w:style>
  <w:style w:type="paragraph" w:styleId="758">
    <w:name w:val="toc 9"/>
    <w:basedOn w:val="668"/>
    <w:next w:val="668"/>
    <w:uiPriority w:val="39"/>
    <w:unhideWhenUsed/>
    <w:pPr>
      <w:ind w:left="2268"/>
      <w:spacing w:after="57"/>
    </w:pPr>
  </w:style>
  <w:style w:type="paragraph" w:styleId="759">
    <w:name w:val="TOC Heading"/>
    <w:uiPriority w:val="39"/>
    <w:unhideWhenUsed/>
    <w:qFormat/>
  </w:style>
  <w:style w:type="paragraph" w:styleId="760">
    <w:name w:val="table of figures"/>
    <w:basedOn w:val="668"/>
    <w:next w:val="668"/>
    <w:uiPriority w:val="99"/>
    <w:unhideWhenUsed/>
  </w:style>
  <w:style w:type="paragraph" w:styleId="761" w:customStyle="1">
    <w:name w:val="Normal1"/>
    <w:qFormat/>
    <w:rPr>
      <w:lang w:eastAsia="ru-RU"/>
    </w:rPr>
  </w:style>
  <w:style w:type="paragraph" w:styleId="762">
    <w:name w:val="Header"/>
    <w:basedOn w:val="761"/>
    <w:link w:val="711"/>
    <w:pPr>
      <w:tabs>
        <w:tab w:val="center" w:pos="4153" w:leader="none"/>
        <w:tab w:val="right" w:pos="8306" w:leader="none"/>
      </w:tabs>
    </w:pPr>
  </w:style>
  <w:style w:type="paragraph" w:styleId="763">
    <w:name w:val="Balloon Text"/>
    <w:basedOn w:val="668"/>
    <w:link w:val="721"/>
    <w:uiPriority w:val="99"/>
    <w:semiHidden/>
    <w:unhideWhenUsed/>
    <w:qFormat/>
    <w:rPr>
      <w:rFonts w:ascii="Tahoma" w:hAnsi="Tahoma"/>
      <w:sz w:val="16"/>
      <w:szCs w:val="16"/>
      <w:lang w:val="en-US" w:eastAsia="en-US"/>
    </w:rPr>
  </w:style>
  <w:style w:type="paragraph" w:styleId="764">
    <w:name w:val="Normal (Web)"/>
    <w:basedOn w:val="668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765" w:customStyle="1">
    <w:name w:val="ConsPlusNonformat"/>
    <w:qFormat/>
    <w:pPr>
      <w:widowControl w:val="off"/>
    </w:pPr>
    <w:rPr>
      <w:rFonts w:ascii="Courier New" w:hAnsi="Courier New" w:cs="Courier New"/>
      <w:lang w:eastAsia="ru-RU"/>
    </w:rPr>
  </w:style>
  <w:style w:type="paragraph" w:styleId="766" w:customStyle="1">
    <w:name w:val="Для оглавления2"/>
    <w:qFormat/>
    <w:pPr>
      <w:ind w:left="1070" w:hanging="360"/>
      <w:jc w:val="center"/>
      <w:spacing w:before="240" w:after="120" w:line="276" w:lineRule="auto"/>
    </w:pPr>
    <w:rPr>
      <w:rFonts w:eastAsiaTheme="minorEastAsia"/>
      <w:b/>
      <w:bCs/>
      <w:color w:val="5a5a5a" w:themeColor="text1" w:themeTint="A5"/>
      <w:spacing w:val="15"/>
      <w:sz w:val="28"/>
      <w:szCs w:val="28"/>
      <w:lang w:eastAsia="en-US"/>
    </w:rPr>
  </w:style>
  <w:style w:type="paragraph" w:styleId="767" w:customStyle="1">
    <w:name w:val="Текст1"/>
    <w:unhideWhenUsed/>
    <w:qFormat/>
    <w:rPr>
      <w:rFonts w:ascii="Calibri" w:hAnsi="Calibri" w:eastAsia="Calibri"/>
      <w:sz w:val="22"/>
      <w:szCs w:val="21"/>
      <w:lang w:eastAsia="en-US"/>
    </w:rPr>
  </w:style>
  <w:style w:type="paragraph" w:styleId="768" w:customStyle="1">
    <w:name w:val="Объект без заливки"/>
    <w:basedOn w:val="668"/>
    <w:qFormat/>
    <w:pPr>
      <w:spacing w:line="200" w:lineRule="atLeast"/>
    </w:pPr>
    <w:rPr>
      <w:rFonts w:ascii="Lohit Devanagari" w:hAnsi="Lohit Devanagari"/>
      <w:sz w:val="36"/>
    </w:rPr>
  </w:style>
  <w:style w:type="paragraph" w:styleId="769" w:customStyle="1">
    <w:name w:val="Объект без заливки и линий"/>
    <w:basedOn w:val="668"/>
    <w:qFormat/>
    <w:pPr>
      <w:spacing w:line="200" w:lineRule="atLeast"/>
    </w:pPr>
    <w:rPr>
      <w:rFonts w:ascii="Lohit Devanagari" w:hAnsi="Lohit Devanagari"/>
      <w:sz w:val="36"/>
    </w:rPr>
  </w:style>
  <w:style w:type="paragraph" w:styleId="770" w:customStyle="1">
    <w:name w:val="A4"/>
    <w:basedOn w:val="771"/>
    <w:qFormat/>
    <w:rPr>
      <w:rFonts w:ascii="Noto Sans" w:hAnsi="Noto Sans"/>
      <w:sz w:val="36"/>
    </w:rPr>
  </w:style>
  <w:style w:type="paragraph" w:styleId="771">
    <w:name w:val="Plain Text"/>
    <w:basedOn w:val="736"/>
    <w:qFormat/>
  </w:style>
  <w:style w:type="paragraph" w:styleId="772" w:customStyle="1">
    <w:name w:val="Заглавие А4"/>
    <w:basedOn w:val="770"/>
    <w:qFormat/>
    <w:rPr>
      <w:sz w:val="87"/>
    </w:rPr>
  </w:style>
  <w:style w:type="paragraph" w:styleId="773" w:customStyle="1">
    <w:name w:val="Заголовок А4"/>
    <w:basedOn w:val="770"/>
    <w:qFormat/>
    <w:rPr>
      <w:sz w:val="48"/>
    </w:rPr>
  </w:style>
  <w:style w:type="paragraph" w:styleId="774" w:customStyle="1">
    <w:name w:val="Текст А4"/>
    <w:basedOn w:val="770"/>
    <w:qFormat/>
  </w:style>
  <w:style w:type="paragraph" w:styleId="775" w:customStyle="1">
    <w:name w:val="A0"/>
    <w:basedOn w:val="771"/>
    <w:qFormat/>
    <w:rPr>
      <w:rFonts w:ascii="Noto Sans" w:hAnsi="Noto Sans"/>
      <w:sz w:val="95"/>
    </w:rPr>
  </w:style>
  <w:style w:type="paragraph" w:styleId="776" w:customStyle="1">
    <w:name w:val="Заглавие А0"/>
    <w:basedOn w:val="775"/>
    <w:qFormat/>
    <w:rPr>
      <w:sz w:val="191"/>
    </w:rPr>
  </w:style>
  <w:style w:type="paragraph" w:styleId="777" w:customStyle="1">
    <w:name w:val="Заголовок А0"/>
    <w:basedOn w:val="775"/>
    <w:qFormat/>
    <w:rPr>
      <w:sz w:val="143"/>
    </w:rPr>
  </w:style>
  <w:style w:type="paragraph" w:styleId="778" w:customStyle="1">
    <w:name w:val="Текст А0"/>
    <w:basedOn w:val="775"/>
    <w:qFormat/>
  </w:style>
  <w:style w:type="paragraph" w:styleId="779" w:customStyle="1">
    <w:name w:val="Графика"/>
    <w:qFormat/>
    <w:rPr>
      <w:rFonts w:ascii="Liberation Sans" w:hAnsi="Liberation Sans" w:eastAsia="Open Sans" w:cs="Noto Sans"/>
      <w:sz w:val="36"/>
      <w:szCs w:val="24"/>
    </w:rPr>
  </w:style>
  <w:style w:type="paragraph" w:styleId="780" w:customStyle="1">
    <w:name w:val="Фигуры"/>
    <w:basedOn w:val="779"/>
    <w:qFormat/>
    <w:rPr>
      <w:b/>
      <w:sz w:val="28"/>
    </w:rPr>
  </w:style>
  <w:style w:type="paragraph" w:styleId="781" w:customStyle="1">
    <w:name w:val="Заливка"/>
    <w:basedOn w:val="780"/>
    <w:qFormat/>
  </w:style>
  <w:style w:type="paragraph" w:styleId="782" w:customStyle="1">
    <w:name w:val="Заливка синим"/>
    <w:basedOn w:val="781"/>
    <w:qFormat/>
    <w:rPr>
      <w:color w:val="ffffff"/>
    </w:rPr>
  </w:style>
  <w:style w:type="paragraph" w:styleId="783" w:customStyle="1">
    <w:name w:val="Заливка зелёным"/>
    <w:basedOn w:val="781"/>
    <w:qFormat/>
    <w:rPr>
      <w:color w:val="ffffff"/>
    </w:rPr>
  </w:style>
  <w:style w:type="paragraph" w:styleId="784" w:customStyle="1">
    <w:name w:val="Заливка красным"/>
    <w:basedOn w:val="781"/>
    <w:qFormat/>
    <w:rPr>
      <w:color w:val="ffffff"/>
    </w:rPr>
  </w:style>
  <w:style w:type="paragraph" w:styleId="785" w:customStyle="1">
    <w:name w:val="Заливка жёлтым"/>
    <w:basedOn w:val="781"/>
    <w:qFormat/>
    <w:rPr>
      <w:color w:val="ffffff"/>
    </w:rPr>
  </w:style>
  <w:style w:type="paragraph" w:styleId="786" w:customStyle="1">
    <w:name w:val="Контур"/>
    <w:basedOn w:val="780"/>
    <w:qFormat/>
  </w:style>
  <w:style w:type="paragraph" w:styleId="787" w:customStyle="1">
    <w:name w:val="Контур синий"/>
    <w:basedOn w:val="786"/>
    <w:qFormat/>
    <w:rPr>
      <w:color w:val="355269"/>
    </w:rPr>
  </w:style>
  <w:style w:type="paragraph" w:styleId="788" w:customStyle="1">
    <w:name w:val="Контур зелёный"/>
    <w:basedOn w:val="786"/>
    <w:qFormat/>
    <w:rPr>
      <w:color w:val="127622"/>
    </w:rPr>
  </w:style>
  <w:style w:type="paragraph" w:styleId="789" w:customStyle="1">
    <w:name w:val="Контур красный"/>
    <w:basedOn w:val="786"/>
    <w:qFormat/>
    <w:rPr>
      <w:color w:val="c9211e"/>
    </w:rPr>
  </w:style>
  <w:style w:type="paragraph" w:styleId="790" w:customStyle="1">
    <w:name w:val="Контур жёлтый"/>
    <w:basedOn w:val="786"/>
    <w:qFormat/>
    <w:rPr>
      <w:color w:val="b47804"/>
    </w:rPr>
  </w:style>
  <w:style w:type="paragraph" w:styleId="791" w:customStyle="1">
    <w:name w:val="Линии"/>
    <w:basedOn w:val="779"/>
    <w:qFormat/>
  </w:style>
  <w:style w:type="paragraph" w:styleId="792" w:customStyle="1">
    <w:name w:val="Стрелки"/>
    <w:basedOn w:val="791"/>
    <w:qFormat/>
  </w:style>
  <w:style w:type="paragraph" w:styleId="793" w:customStyle="1">
    <w:name w:val="Штриховая линия"/>
    <w:basedOn w:val="791"/>
    <w:qFormat/>
  </w:style>
  <w:style w:type="paragraph" w:styleId="794" w:customStyle="1">
    <w:name w:val="Титульный слайд~LT~Gliederung 1"/>
    <w:qFormat/>
    <w:pPr>
      <w:spacing w:before="283"/>
    </w:pPr>
    <w:rPr>
      <w:rFonts w:ascii="Lohit Devanagari" w:hAnsi="Lohit Devanagari" w:eastAsia="Open Sans" w:cs="Noto Sans"/>
      <w:sz w:val="64"/>
      <w:szCs w:val="24"/>
    </w:rPr>
  </w:style>
  <w:style w:type="paragraph" w:styleId="795" w:customStyle="1">
    <w:name w:val="Титульный слайд~LT~Gliederung 2"/>
    <w:basedOn w:val="794"/>
    <w:qFormat/>
    <w:pPr>
      <w:spacing w:before="227"/>
    </w:pPr>
    <w:rPr>
      <w:sz w:val="56"/>
    </w:rPr>
  </w:style>
  <w:style w:type="paragraph" w:styleId="796" w:customStyle="1">
    <w:name w:val="Титульный слайд~LT~Gliederung 3"/>
    <w:basedOn w:val="795"/>
    <w:qFormat/>
    <w:pPr>
      <w:spacing w:before="170"/>
    </w:pPr>
    <w:rPr>
      <w:sz w:val="48"/>
    </w:rPr>
  </w:style>
  <w:style w:type="paragraph" w:styleId="797" w:customStyle="1">
    <w:name w:val="Титульный слайд~LT~Gliederung 4"/>
    <w:basedOn w:val="796"/>
    <w:qFormat/>
    <w:pPr>
      <w:spacing w:before="113"/>
    </w:pPr>
    <w:rPr>
      <w:sz w:val="40"/>
    </w:rPr>
  </w:style>
  <w:style w:type="paragraph" w:styleId="798" w:customStyle="1">
    <w:name w:val="Титульный слайд~LT~Gliederung 5"/>
    <w:basedOn w:val="797"/>
    <w:qFormat/>
    <w:pPr>
      <w:spacing w:before="57"/>
    </w:pPr>
  </w:style>
  <w:style w:type="paragraph" w:styleId="799" w:customStyle="1">
    <w:name w:val="Титульный слайд~LT~Gliederung 6"/>
    <w:basedOn w:val="798"/>
    <w:qFormat/>
  </w:style>
  <w:style w:type="paragraph" w:styleId="800" w:customStyle="1">
    <w:name w:val="Титульный слайд~LT~Gliederung 7"/>
    <w:basedOn w:val="799"/>
    <w:qFormat/>
  </w:style>
  <w:style w:type="paragraph" w:styleId="801" w:customStyle="1">
    <w:name w:val="Титульный слайд~LT~Gliederung 8"/>
    <w:basedOn w:val="800"/>
    <w:qFormat/>
  </w:style>
  <w:style w:type="paragraph" w:styleId="802" w:customStyle="1">
    <w:name w:val="Титульный слайд~LT~Gliederung 9"/>
    <w:basedOn w:val="801"/>
    <w:qFormat/>
  </w:style>
  <w:style w:type="paragraph" w:styleId="803" w:customStyle="1">
    <w:name w:val="Титульный слайд~LT~Titel"/>
    <w:qFormat/>
    <w:pPr>
      <w:jc w:val="center"/>
    </w:pPr>
    <w:rPr>
      <w:rFonts w:ascii="Lohit Devanagari" w:hAnsi="Lohit Devanagari" w:eastAsia="Open Sans" w:cs="Noto Sans"/>
      <w:sz w:val="88"/>
      <w:szCs w:val="24"/>
    </w:rPr>
  </w:style>
  <w:style w:type="paragraph" w:styleId="804" w:customStyle="1">
    <w:name w:val="Титульный слайд~LT~Untertitel"/>
    <w:qFormat/>
    <w:pPr>
      <w:jc w:val="center"/>
    </w:pPr>
    <w:rPr>
      <w:rFonts w:ascii="Lohit Devanagari" w:hAnsi="Lohit Devanagari" w:eastAsia="Open Sans" w:cs="Noto Sans"/>
      <w:sz w:val="64"/>
      <w:szCs w:val="24"/>
    </w:rPr>
  </w:style>
  <w:style w:type="paragraph" w:styleId="805" w:customStyle="1">
    <w:name w:val="Титульный слайд~LT~Notizen"/>
    <w:qFormat/>
    <w:pPr>
      <w:ind w:left="340" w:hanging="340"/>
    </w:pPr>
    <w:rPr>
      <w:rFonts w:ascii="Lohit Devanagari" w:hAnsi="Lohit Devanagari" w:eastAsia="Open Sans" w:cs="Noto Sans"/>
      <w:sz w:val="40"/>
      <w:szCs w:val="24"/>
    </w:rPr>
  </w:style>
  <w:style w:type="paragraph" w:styleId="806" w:customStyle="1">
    <w:name w:val="Титульный слайд~LT~Hintergrundobjekte"/>
    <w:qFormat/>
    <w:rPr>
      <w:rFonts w:ascii="Liberation Serif" w:hAnsi="Liberation Serif" w:eastAsia="Open Sans" w:cs="Noto Sans"/>
      <w:sz w:val="24"/>
      <w:szCs w:val="24"/>
    </w:rPr>
  </w:style>
  <w:style w:type="paragraph" w:styleId="807" w:customStyle="1">
    <w:name w:val="Титульный слайд~LT~Hintergrund"/>
    <w:qFormat/>
    <w:rPr>
      <w:rFonts w:ascii="Liberation Serif" w:hAnsi="Liberation Serif" w:eastAsia="Open Sans" w:cs="Noto Sans"/>
      <w:sz w:val="24"/>
      <w:szCs w:val="24"/>
    </w:rPr>
  </w:style>
  <w:style w:type="paragraph" w:styleId="808" w:customStyle="1">
    <w:name w:val="default"/>
    <w:qFormat/>
    <w:rPr>
      <w:rFonts w:ascii="Lohit Devanagari" w:hAnsi="Lohit Devanagari" w:eastAsia="Open Sans" w:cs="Noto Sans"/>
      <w:sz w:val="36"/>
      <w:szCs w:val="24"/>
    </w:rPr>
  </w:style>
  <w:style w:type="paragraph" w:styleId="809" w:customStyle="1">
    <w:name w:val="bg-none"/>
    <w:basedOn w:val="808"/>
    <w:qFormat/>
  </w:style>
  <w:style w:type="paragraph" w:styleId="810" w:customStyle="1">
    <w:name w:val="gray"/>
    <w:basedOn w:val="808"/>
    <w:qFormat/>
  </w:style>
  <w:style w:type="paragraph" w:styleId="811" w:customStyle="1">
    <w:name w:val="dark-gray"/>
    <w:basedOn w:val="808"/>
    <w:qFormat/>
  </w:style>
  <w:style w:type="paragraph" w:styleId="812" w:customStyle="1">
    <w:name w:val="black"/>
    <w:basedOn w:val="808"/>
    <w:qFormat/>
    <w:rPr>
      <w:color w:val="ffffff"/>
    </w:rPr>
  </w:style>
  <w:style w:type="paragraph" w:styleId="813" w:customStyle="1">
    <w:name w:val="black-with-border"/>
    <w:basedOn w:val="808"/>
    <w:qFormat/>
    <w:rPr>
      <w:color w:val="ffffff"/>
    </w:rPr>
  </w:style>
  <w:style w:type="paragraph" w:styleId="814" w:customStyle="1">
    <w:name w:val="gray-with-border"/>
    <w:basedOn w:val="808"/>
    <w:qFormat/>
  </w:style>
  <w:style w:type="paragraph" w:styleId="815" w:customStyle="1">
    <w:name w:val="white"/>
    <w:basedOn w:val="808"/>
    <w:qFormat/>
  </w:style>
  <w:style w:type="paragraph" w:styleId="816" w:customStyle="1">
    <w:name w:val="white-with-border"/>
    <w:basedOn w:val="808"/>
    <w:qFormat/>
  </w:style>
  <w:style w:type="paragraph" w:styleId="817" w:customStyle="1">
    <w:name w:val="blue-title"/>
    <w:basedOn w:val="808"/>
    <w:qFormat/>
    <w:rPr>
      <w:color w:val="ffffff"/>
    </w:rPr>
  </w:style>
  <w:style w:type="paragraph" w:styleId="818" w:customStyle="1">
    <w:name w:val="blue-title-with-border"/>
    <w:basedOn w:val="808"/>
    <w:qFormat/>
    <w:rPr>
      <w:color w:val="ffffff"/>
    </w:rPr>
  </w:style>
  <w:style w:type="paragraph" w:styleId="819" w:customStyle="1">
    <w:name w:val="blue-banded"/>
    <w:basedOn w:val="808"/>
    <w:qFormat/>
  </w:style>
  <w:style w:type="paragraph" w:styleId="820" w:customStyle="1">
    <w:name w:val="blue-normal"/>
    <w:basedOn w:val="808"/>
    <w:qFormat/>
  </w:style>
  <w:style w:type="paragraph" w:styleId="821" w:customStyle="1">
    <w:name w:val="orange-title"/>
    <w:basedOn w:val="808"/>
    <w:qFormat/>
    <w:rPr>
      <w:color w:val="ffffff"/>
    </w:rPr>
  </w:style>
  <w:style w:type="paragraph" w:styleId="822" w:customStyle="1">
    <w:name w:val="orange-title-with-border"/>
    <w:basedOn w:val="808"/>
    <w:qFormat/>
    <w:rPr>
      <w:color w:val="ffffff"/>
    </w:rPr>
  </w:style>
  <w:style w:type="paragraph" w:styleId="823" w:customStyle="1">
    <w:name w:val="orange-banded"/>
    <w:basedOn w:val="808"/>
    <w:qFormat/>
  </w:style>
  <w:style w:type="paragraph" w:styleId="824" w:customStyle="1">
    <w:name w:val="orange-normal"/>
    <w:basedOn w:val="808"/>
    <w:qFormat/>
  </w:style>
  <w:style w:type="paragraph" w:styleId="825" w:customStyle="1">
    <w:name w:val="teal-title"/>
    <w:basedOn w:val="808"/>
    <w:qFormat/>
    <w:rPr>
      <w:color w:val="ffffff"/>
    </w:rPr>
  </w:style>
  <w:style w:type="paragraph" w:styleId="826" w:customStyle="1">
    <w:name w:val="teal-title-with-border"/>
    <w:basedOn w:val="808"/>
    <w:qFormat/>
    <w:rPr>
      <w:color w:val="ffffff"/>
    </w:rPr>
  </w:style>
  <w:style w:type="paragraph" w:styleId="827" w:customStyle="1">
    <w:name w:val="teal-banded"/>
    <w:basedOn w:val="808"/>
    <w:qFormat/>
  </w:style>
  <w:style w:type="paragraph" w:styleId="828" w:customStyle="1">
    <w:name w:val="teal-normal"/>
    <w:basedOn w:val="808"/>
    <w:qFormat/>
  </w:style>
  <w:style w:type="paragraph" w:styleId="829" w:customStyle="1">
    <w:name w:val="magenta-title"/>
    <w:basedOn w:val="808"/>
    <w:qFormat/>
    <w:rPr>
      <w:color w:val="ffffff"/>
    </w:rPr>
  </w:style>
  <w:style w:type="paragraph" w:styleId="830" w:customStyle="1">
    <w:name w:val="magenta-title-with-border"/>
    <w:basedOn w:val="808"/>
    <w:qFormat/>
    <w:rPr>
      <w:color w:val="ffffff"/>
    </w:rPr>
  </w:style>
  <w:style w:type="paragraph" w:styleId="831" w:customStyle="1">
    <w:name w:val="magenta-banded"/>
    <w:basedOn w:val="808"/>
    <w:qFormat/>
  </w:style>
  <w:style w:type="paragraph" w:styleId="832" w:customStyle="1">
    <w:name w:val="magenta-normal"/>
    <w:basedOn w:val="808"/>
    <w:qFormat/>
  </w:style>
  <w:style w:type="paragraph" w:styleId="833" w:customStyle="1">
    <w:name w:val="Объекты фона"/>
    <w:qFormat/>
    <w:rPr>
      <w:rFonts w:ascii="Liberation Serif" w:hAnsi="Liberation Serif" w:eastAsia="Open Sans" w:cs="Noto Sans"/>
      <w:sz w:val="24"/>
      <w:szCs w:val="24"/>
    </w:rPr>
  </w:style>
  <w:style w:type="paragraph" w:styleId="834" w:customStyle="1">
    <w:name w:val="Фон"/>
    <w:qFormat/>
    <w:rPr>
      <w:rFonts w:ascii="Liberation Serif" w:hAnsi="Liberation Serif" w:eastAsia="Open Sans" w:cs="Noto Sans"/>
      <w:sz w:val="24"/>
      <w:szCs w:val="24"/>
    </w:rPr>
  </w:style>
  <w:style w:type="paragraph" w:styleId="835" w:customStyle="1">
    <w:name w:val="Примечания"/>
    <w:qFormat/>
    <w:pPr>
      <w:ind w:left="340" w:hanging="340"/>
    </w:pPr>
    <w:rPr>
      <w:rFonts w:ascii="Lohit Devanagari" w:hAnsi="Lohit Devanagari" w:eastAsia="Open Sans" w:cs="Noto Sans"/>
      <w:sz w:val="40"/>
      <w:szCs w:val="24"/>
    </w:rPr>
  </w:style>
  <w:style w:type="paragraph" w:styleId="836" w:customStyle="1">
    <w:name w:val="Структура 1"/>
    <w:qFormat/>
    <w:pPr>
      <w:spacing w:before="283"/>
    </w:pPr>
    <w:rPr>
      <w:rFonts w:ascii="Lohit Devanagari" w:hAnsi="Lohit Devanagari" w:eastAsia="Open Sans" w:cs="Noto Sans"/>
      <w:sz w:val="64"/>
      <w:szCs w:val="24"/>
    </w:rPr>
  </w:style>
  <w:style w:type="paragraph" w:styleId="837" w:customStyle="1">
    <w:name w:val="Структура 2"/>
    <w:basedOn w:val="836"/>
    <w:qFormat/>
    <w:pPr>
      <w:spacing w:before="227"/>
    </w:pPr>
    <w:rPr>
      <w:sz w:val="56"/>
    </w:rPr>
  </w:style>
  <w:style w:type="paragraph" w:styleId="838" w:customStyle="1">
    <w:name w:val="Структура 3"/>
    <w:basedOn w:val="837"/>
    <w:qFormat/>
    <w:pPr>
      <w:spacing w:before="170"/>
    </w:pPr>
    <w:rPr>
      <w:sz w:val="48"/>
    </w:rPr>
  </w:style>
  <w:style w:type="paragraph" w:styleId="839" w:customStyle="1">
    <w:name w:val="Структура 4"/>
    <w:basedOn w:val="838"/>
    <w:qFormat/>
    <w:pPr>
      <w:spacing w:before="113"/>
    </w:pPr>
    <w:rPr>
      <w:sz w:val="40"/>
    </w:rPr>
  </w:style>
  <w:style w:type="paragraph" w:styleId="840" w:customStyle="1">
    <w:name w:val="Структура 5"/>
    <w:basedOn w:val="839"/>
    <w:qFormat/>
    <w:pPr>
      <w:spacing w:before="57"/>
    </w:pPr>
  </w:style>
  <w:style w:type="paragraph" w:styleId="841" w:customStyle="1">
    <w:name w:val="Структура 6"/>
    <w:basedOn w:val="840"/>
    <w:qFormat/>
  </w:style>
  <w:style w:type="paragraph" w:styleId="842" w:customStyle="1">
    <w:name w:val="Структура 7"/>
    <w:basedOn w:val="841"/>
    <w:qFormat/>
  </w:style>
  <w:style w:type="paragraph" w:styleId="843" w:customStyle="1">
    <w:name w:val="Структура 8"/>
    <w:basedOn w:val="842"/>
    <w:qFormat/>
  </w:style>
  <w:style w:type="paragraph" w:styleId="844" w:customStyle="1">
    <w:name w:val="Структура 9"/>
    <w:basedOn w:val="843"/>
    <w:qFormat/>
  </w:style>
  <w:style w:type="paragraph" w:styleId="845" w:customStyle="1">
    <w:name w:val="Содержимое таблицы"/>
    <w:basedOn w:val="668"/>
    <w:qFormat/>
    <w:pPr>
      <w:widowControl w:val="off"/>
      <w:suppressLineNumbers/>
    </w:pPr>
  </w:style>
  <w:style w:type="paragraph" w:styleId="846" w:customStyle="1">
    <w:name w:val="Заголовок таблицы"/>
    <w:basedOn w:val="845"/>
    <w:qFormat/>
    <w:pPr>
      <w:jc w:val="center"/>
    </w:pPr>
    <w:rPr>
      <w:b/>
      <w:bCs/>
    </w:rPr>
  </w:style>
  <w:style w:type="paragraph" w:styleId="847" w:customStyle="1">
    <w:name w:val="Текст в заданном формате"/>
    <w:basedOn w:val="668"/>
    <w:qFormat/>
    <w:rPr>
      <w:rFonts w:ascii="Iosevka Term SS03" w:hAnsi="Iosevka Term SS03" w:eastAsia="Liberation Mono" w:cs="Iosevka Term SS03"/>
    </w:rPr>
  </w:style>
  <w:style w:type="paragraph" w:styleId="848" w:customStyle="1">
    <w:name w:val="Для оглавления"/>
    <w:basedOn w:val="669"/>
    <w:qFormat/>
    <w:pPr>
      <w:jc w:val="center"/>
      <w:keepLines/>
      <w:spacing w:before="240" w:after="120" w:line="276" w:lineRule="auto"/>
      <w:tabs>
        <w:tab w:val="left" w:pos="360" w:leader="none"/>
      </w:tabs>
    </w:pPr>
    <w:rPr>
      <w:rFonts w:eastAsia="Arial" w:cs="Times New Roman"/>
      <w:bCs/>
      <w:sz w:val="28"/>
      <w:szCs w:val="28"/>
    </w:rPr>
  </w:style>
  <w:style w:type="paragraph" w:styleId="849" w:customStyle="1">
    <w:name w:val="index heading2"/>
    <w:qFormat/>
    <w:pPr>
      <w:keepNext/>
      <w:spacing w:before="240" w:after="120"/>
    </w:pPr>
    <w:rPr>
      <w:rFonts w:ascii="Open Sans" w:hAnsi="Open Sans"/>
      <w:sz w:val="28"/>
      <w:szCs w:val="28"/>
      <w:lang w:eastAsia="ru-RU"/>
    </w:rPr>
  </w:style>
  <w:style w:type="paragraph" w:styleId="850" w:customStyle="1">
    <w:name w:val="caption2"/>
    <w:basedOn w:val="668"/>
    <w:qFormat/>
    <w:pPr>
      <w:spacing w:before="120" w:after="120"/>
    </w:pPr>
    <w:rPr>
      <w:i/>
      <w:iCs/>
      <w:sz w:val="24"/>
      <w:szCs w:val="24"/>
    </w:rPr>
  </w:style>
  <w:style w:type="table" w:styleId="851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54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55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56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57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fffff" w:themeFill="text1" w:themeFillTint="00"/>
      </w:tcPr>
    </w:tblStylePr>
    <w:tblStylePr w:type="band1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8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5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80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</w:tcBorders>
      </w:tcPr>
    </w:tblStylePr>
  </w:style>
  <w:style w:type="table" w:styleId="881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</w:tcBorders>
      </w:tcPr>
    </w:tblStylePr>
  </w:style>
  <w:style w:type="table" w:styleId="882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</w:tcBorders>
      </w:tcPr>
    </w:tblStylePr>
  </w:style>
  <w:style w:type="table" w:styleId="883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</w:tcBorders>
      </w:tcPr>
    </w:tblStylePr>
  </w:style>
  <w:style w:type="table" w:styleId="884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885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886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87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88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93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4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95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96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97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98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9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0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915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916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917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918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919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920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921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2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3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4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5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6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7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8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29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0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1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2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3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4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5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36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37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38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39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40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41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42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43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44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945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946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947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948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949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fffff" w:themeFill="text1" w:themeFillTint="00"/>
      </w:tcPr>
    </w:tblStylePr>
    <w:tblStylePr w:type="band2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957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958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959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960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961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962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963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fffff" w:themeFill="text1" w:themeFillTint="00"/>
      </w:tcPr>
    </w:tblStylePr>
    <w:tblStylePr w:type="band2Vert">
      <w:rPr>
        <w:sz w:val="22"/>
      </w:rPr>
      <w:tcPr>
        <w:shd w:val="clear" w:color="f2f2f2" w:fill="ffffff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964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965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966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967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968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969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970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71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2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973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974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975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976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sz w:val="22"/>
      </w:rPr>
      <w:tcPr>
        <w:tcBorders>
          <w:top w:val="single" w:color="F79646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DZHMAO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Т-9</dc:title>
  <dc:subject/>
  <dc:creator>Galina Argicheva</dc:creator>
  <cp:keywords/>
  <dc:description/>
  <dc:language>ru-RU</dc:language>
  <cp:lastModifiedBy>krilsb</cp:lastModifiedBy>
  <cp:revision>27</cp:revision>
  <dcterms:created xsi:type="dcterms:W3CDTF">2025-04-30T07:23:00Z</dcterms:created>
  <dcterms:modified xsi:type="dcterms:W3CDTF">2025-07-09T07:20:35Z</dcterms:modified>
  <cp:version>983040</cp:version>
</cp:coreProperties>
</file>