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  <w:r/>
    </w:p>
    <w:p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Calibri" w:hAnsi="Calibri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Calibri" w:hAnsi="Calibri" w:eastAsia="Times New Roman" w:cs="Times New Roman"/>
          <w:color w:val="000000"/>
          <w:sz w:val="26"/>
          <w:szCs w:val="26"/>
          <w:lang w:eastAsia="ru-RU"/>
        </w:rPr>
        <w:t xml:space="preserve">ПРОЕКТ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Кондинский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Ханты-Мансийского автономного округа – Югры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keepNext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32"/>
        </w:rP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32"/>
        </w:rPr>
        <w:t xml:space="preserve">АДМИНИСТРАЦИЯ КОНДИНСКОГО РАЙОНА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r>
      <w:r/>
    </w:p>
    <w:p>
      <w:pPr>
        <w:jc w:val="center"/>
        <w:keepNext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32"/>
          <w:szCs w:val="24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color w:val="000000"/>
          <w:sz w:val="32"/>
          <w:szCs w:val="24"/>
          <w:lang w:eastAsia="ru-RU"/>
        </w:rPr>
        <w:t xml:space="preserve">ПОСТАНОВЛЕНИЕ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_____ 20__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02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___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пгт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. Междуреченский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7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>
        <w:trPr/>
        <w:tc>
          <w:tcPr>
            <w:tcW w:w="492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района от  21 ноября 2022 года № 2491 «О муниципальной программе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района «Развитие молодежной политики»</w:t>
            </w:r>
            <w:r/>
          </w:p>
          <w:p>
            <w:pPr>
              <w:spacing w:after="0" w:line="240" w:lineRule="auto"/>
              <w:widowControl w:val="off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Федеральным законом от 30 декабря 2020 года № 489-ФЗ «О молодежной политике в Российской Федерации», Законом Ханты-Мансийского автономного округа – Югры от 25 марта 2021 года № 18-оз «О ре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гулировании отдельных отношений в сфере реализации молодежной политики в Ханты-Мансийском автономном округе – Югре», постановлением Правительства Ханты-Мансийского автономного округа – Югры от 31 октября 2021 года № 487-п                 «О государственной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программе Ханты-Мансийского автономного                           округа – Югры «Развитие гражданского общества», постановлениями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 от 04 октября 2021 года № 2298                           «Об утверждении Порядка предоставления субсидий из бюджета муниципального образования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 юрид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политики», от 29 августа 2022 года № 2010 «О порядке разработки и реализации муниципальных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района»,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Кондинского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района постановляет: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                              от  21 ноября 2022 года № 2491 «О муниципальной программе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 «Развитие молодежной политики» следующие изменения: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1.1. Пункт 5 изложить в следующей редакции: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«5. Контроль за выполнением постановления возложить на первого заместителя главы района А.В. Кривоногова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1.2. В приложении к постановлению: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1.2.1. Паспорт муниципальной программы изложить в новой редакции (приложение 1).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1.2.2. Таблицу 1 изложить в новой редакции (приложение 2).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Кондинского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района Ханты-Мансийского автономного округа – Югры. </w:t>
      </w:r>
      <w:r/>
    </w:p>
    <w:p>
      <w:pPr>
        <w:ind w:right="-1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Постановление вступает в силу после его обнародования.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>
        <w:trPr/>
        <w:tc>
          <w:tcPr>
            <w:tcW w:w="467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Глава района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3309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А.А.Мухин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  <w:sectPr>
          <w:headerReference w:type="default" r:id="rId9"/>
          <w:headerReference w:type="even" r:id="rId10"/>
          <w:footnotePr/>
          <w:endnotePr/>
          <w:type w:val="nextColumn"/>
          <w:pgSz w:w="11909" w:h="16834" w:orient="portrait"/>
          <w:pgMar w:top="1134" w:right="567" w:bottom="993" w:left="1701" w:header="720" w:footer="72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ind w:left="10206"/>
        <w:spacing w:after="0" w:line="240" w:lineRule="auto"/>
        <w:shd w:val="clear" w:color="auto" w:fill="ffffff"/>
        <w:tabs>
          <w:tab w:val="left" w:pos="1020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Приложение 1</w:t>
      </w:r>
      <w:r/>
    </w:p>
    <w:p>
      <w:pPr>
        <w:ind w:left="10206"/>
        <w:spacing w:after="0" w:line="240" w:lineRule="auto"/>
        <w:shd w:val="clear" w:color="auto" w:fill="ffffff"/>
        <w:tabs>
          <w:tab w:val="left" w:pos="1020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постановлению администрации района</w:t>
      </w:r>
      <w:r/>
    </w:p>
    <w:p>
      <w:pPr>
        <w:ind w:left="10206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«___» _______.20__ № ___</w:t>
      </w:r>
      <w:r/>
    </w:p>
    <w:p>
      <w:pPr>
        <w:ind w:left="10206"/>
        <w:spacing w:after="0" w:line="240" w:lineRule="auto"/>
        <w:shd w:val="clear" w:color="auto" w:fill="ffffff"/>
        <w:tabs>
          <w:tab w:val="left" w:pos="1020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Паспорт муниципальной программы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519"/>
        <w:gridCol w:w="1892"/>
        <w:gridCol w:w="907"/>
        <w:gridCol w:w="794"/>
        <w:gridCol w:w="1089"/>
        <w:gridCol w:w="48"/>
        <w:gridCol w:w="848"/>
        <w:gridCol w:w="689"/>
        <w:gridCol w:w="21"/>
        <w:gridCol w:w="657"/>
        <w:gridCol w:w="191"/>
        <w:gridCol w:w="573"/>
        <w:gridCol w:w="1125"/>
        <w:gridCol w:w="12"/>
        <w:gridCol w:w="131"/>
        <w:gridCol w:w="2200"/>
      </w:tblGrid>
      <w:tr>
        <w:trPr>
          <w:trHeight w:val="68"/>
        </w:trPr>
        <w:tc>
          <w:tcPr>
            <w:shd w:val="clear" w:color="auto" w:fill="auto"/>
            <w:tcW w:w="1081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  <w:r/>
          </w:p>
        </w:tc>
        <w:tc>
          <w:tcPr>
            <w:gridSpan w:val="3"/>
            <w:shd w:val="clear" w:color="auto" w:fill="auto"/>
            <w:tcW w:w="1112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Развитие молодежной политики</w:t>
            </w:r>
            <w:r/>
          </w:p>
        </w:tc>
        <w:tc>
          <w:tcPr>
            <w:gridSpan w:val="7"/>
            <w:shd w:val="clear" w:color="auto" w:fill="auto"/>
            <w:tcW w:w="1389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  <w:r/>
          </w:p>
        </w:tc>
        <w:tc>
          <w:tcPr>
            <w:gridSpan w:val="6"/>
            <w:shd w:val="clear" w:color="auto" w:fill="auto"/>
            <w:tcW w:w="1418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2023-2025 годы и на период                      до 2030 года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  <w:r/>
          </w:p>
        </w:tc>
        <w:tc>
          <w:tcPr>
            <w:gridSpan w:val="16"/>
            <w:shd w:val="clear" w:color="auto" w:fill="auto"/>
            <w:tcW w:w="3919" w:type="pct"/>
            <w:textDirection w:val="lrTb"/>
            <w:noWrap w:val="false"/>
          </w:tcPr>
          <w:p>
            <w:pPr>
              <w:ind w:left="-52" w:right="-61"/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района, в ведении которого находится отдел моложеной политики администрации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  <w:r/>
          </w:p>
        </w:tc>
        <w:tc>
          <w:tcPr>
            <w:gridSpan w:val="16"/>
            <w:shd w:val="clear" w:color="auto" w:fill="auto"/>
            <w:tcW w:w="3919" w:type="pct"/>
            <w:textDirection w:val="lrTb"/>
            <w:noWrap w:val="false"/>
          </w:tcPr>
          <w:p>
            <w:pPr>
              <w:ind w:left="-52" w:right="-61"/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Отдел молодежной политики администрации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  <w:r/>
          </w:p>
        </w:tc>
        <w:tc>
          <w:tcPr>
            <w:gridSpan w:val="16"/>
            <w:shd w:val="clear" w:color="auto" w:fill="auto"/>
            <w:tcW w:w="3919" w:type="pct"/>
            <w:textDirection w:val="lrTb"/>
            <w:noWrap w:val="false"/>
          </w:tcPr>
          <w:p>
            <w:pPr>
              <w:ind w:left="-52" w:right="-61"/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комитет физической культуры и спорта администрации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района; </w:t>
            </w:r>
            <w:r/>
          </w:p>
          <w:p>
            <w:pPr>
              <w:ind w:left="-52" w:right="-61"/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района; </w:t>
            </w:r>
            <w:r/>
          </w:p>
          <w:p>
            <w:pPr>
              <w:ind w:left="-52" w:right="-61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комитет по финансам и налоговой политике администрации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Национальная цель </w:t>
            </w:r>
            <w:r/>
          </w:p>
        </w:tc>
        <w:tc>
          <w:tcPr>
            <w:gridSpan w:val="16"/>
            <w:shd w:val="clear" w:color="auto" w:fill="auto"/>
            <w:tcW w:w="3919" w:type="pct"/>
            <w:textDirection w:val="lrTb"/>
            <w:noWrap w:val="false"/>
          </w:tcPr>
          <w:p>
            <w:pPr>
              <w:ind w:left="-52" w:right="-61"/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Возможности для самореализации и развития талантов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  <w:r/>
          </w:p>
        </w:tc>
        <w:tc>
          <w:tcPr>
            <w:gridSpan w:val="16"/>
            <w:shd w:val="clear" w:color="auto" w:fill="auto"/>
            <w:tcW w:w="3919" w:type="pct"/>
            <w:textDirection w:val="lrTb"/>
            <w:noWrap w:val="false"/>
          </w:tcPr>
          <w:p>
            <w:pPr>
              <w:ind w:left="-52" w:right="-61"/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Создание возможностей для самореализации и развития талантов молодежи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  <w:r/>
          </w:p>
        </w:tc>
        <w:tc>
          <w:tcPr>
            <w:gridSpan w:val="16"/>
            <w:shd w:val="clear" w:color="auto" w:fill="auto"/>
            <w:tcW w:w="3919" w:type="pct"/>
            <w:textDirection w:val="lrTb"/>
            <w:noWrap w:val="false"/>
          </w:tcPr>
          <w:p>
            <w:pPr>
              <w:ind w:left="-52" w:right="-61"/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молодежи, ее самореализации в различных сферах жизнедеятельности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Подпрограммы</w:t>
            </w:r>
            <w:r/>
          </w:p>
        </w:tc>
        <w:tc>
          <w:tcPr>
            <w:gridSpan w:val="16"/>
            <w:shd w:val="clear" w:color="auto" w:fill="auto"/>
            <w:tcW w:w="3919" w:type="pct"/>
            <w:textDirection w:val="lrTb"/>
            <w:noWrap w:val="false"/>
          </w:tcPr>
          <w:p>
            <w:pPr>
              <w:ind w:left="-52" w:right="-61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restar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  <w:r/>
          </w:p>
        </w:tc>
        <w:tc>
          <w:tcPr>
            <w:shd w:val="clear" w:color="auto" w:fill="auto"/>
            <w:tcW w:w="174" w:type="pct"/>
            <w:vMerge w:val="restar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shd w:val="clear" w:color="auto" w:fill="auto"/>
            <w:tcW w:w="634" w:type="pct"/>
            <w:vMerge w:val="restar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  <w:r/>
          </w:p>
        </w:tc>
        <w:tc>
          <w:tcPr>
            <w:gridSpan w:val="2"/>
            <w:shd w:val="clear" w:color="auto" w:fill="auto"/>
            <w:tcW w:w="570" w:type="pct"/>
            <w:vMerge w:val="restar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Документ - основание </w:t>
            </w:r>
            <w:r/>
          </w:p>
        </w:tc>
        <w:tc>
          <w:tcPr>
            <w:gridSpan w:val="12"/>
            <w:shd w:val="clear" w:color="auto" w:fill="auto"/>
            <w:tcW w:w="2541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Значение показателя по годам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174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634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570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81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базовое значение </w:t>
            </w:r>
            <w:r/>
          </w:p>
        </w:tc>
        <w:tc>
          <w:tcPr>
            <w:shd w:val="clear" w:color="auto" w:fill="auto"/>
            <w:tcW w:w="284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2023</w:t>
            </w:r>
            <w:r/>
          </w:p>
        </w:tc>
        <w:tc>
          <w:tcPr>
            <w:gridSpan w:val="2"/>
            <w:shd w:val="clear" w:color="auto" w:fill="auto"/>
            <w:tcW w:w="238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2024</w:t>
            </w:r>
            <w:r/>
          </w:p>
        </w:tc>
        <w:tc>
          <w:tcPr>
            <w:gridSpan w:val="2"/>
            <w:shd w:val="clear" w:color="auto" w:fill="auto"/>
            <w:tcW w:w="284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2025</w:t>
            </w:r>
            <w:r/>
          </w:p>
        </w:tc>
        <w:tc>
          <w:tcPr>
            <w:gridSpan w:val="4"/>
            <w:shd w:val="clear" w:color="auto" w:fill="auto"/>
            <w:tcW w:w="617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на момент окончания реализации муниципальной программы </w:t>
            </w:r>
            <w:r/>
          </w:p>
        </w:tc>
        <w:tc>
          <w:tcPr>
            <w:shd w:val="clear" w:color="auto" w:fill="auto"/>
            <w:tcW w:w="737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ответственный исполнитель/ соисполнитель за достижение показателя 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174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shd w:val="clear" w:color="auto" w:fill="auto"/>
            <w:tcW w:w="634" w:type="pct"/>
            <w:textDirection w:val="lrTb"/>
            <w:noWrap w:val="false"/>
          </w:tcPr>
          <w:p>
            <w:pPr>
              <w:ind w:left="-52" w:right="-108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Общая численность граждан, вовлеченных центрами (сообществами, объединениями)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поддержки добровольчества (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волонтерства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) на базе образовательных организаций, некоммерческих организаций, государственных и муниципальных учреждений,</w:t>
            </w:r>
            <w:r/>
          </w:p>
          <w:p>
            <w:pPr>
              <w:ind w:left="-52" w:right="-108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в добровольческую (волонтерскую) деятельность</w:t>
            </w:r>
            <w:r/>
          </w:p>
          <w:p>
            <w:pPr>
              <w:ind w:left="-52" w:right="-108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Кондинском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районе,</w:t>
            </w:r>
            <w:r/>
          </w:p>
          <w:p>
            <w:pPr>
              <w:ind w:left="-52" w:right="-108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человек</w:t>
            </w:r>
            <w:r/>
          </w:p>
        </w:tc>
        <w:tc>
          <w:tcPr>
            <w:gridSpan w:val="2"/>
            <w:shd w:val="clear" w:color="auto" w:fill="auto"/>
            <w:tcW w:w="570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Региональный проект «Социальная активность», национальный проект «Образование»</w:t>
            </w:r>
            <w:r/>
          </w:p>
        </w:tc>
        <w:tc>
          <w:tcPr>
            <w:gridSpan w:val="2"/>
            <w:shd w:val="clear" w:color="auto" w:fill="auto"/>
            <w:tcW w:w="381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3 900</w:t>
            </w:r>
            <w:r/>
          </w:p>
        </w:tc>
        <w:tc>
          <w:tcPr>
            <w:shd w:val="clear" w:color="auto" w:fill="auto"/>
            <w:tcW w:w="284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4 171</w:t>
            </w:r>
            <w:r/>
          </w:p>
        </w:tc>
        <w:tc>
          <w:tcPr>
            <w:gridSpan w:val="2"/>
            <w:shd w:val="clear" w:color="auto" w:fill="auto"/>
            <w:tcW w:w="238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4 200</w:t>
            </w:r>
            <w:r/>
          </w:p>
        </w:tc>
        <w:tc>
          <w:tcPr>
            <w:gridSpan w:val="2"/>
            <w:shd w:val="clear" w:color="auto" w:fill="auto"/>
            <w:tcW w:w="284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4 300</w:t>
            </w:r>
            <w:r/>
          </w:p>
        </w:tc>
        <w:tc>
          <w:tcPr>
            <w:gridSpan w:val="4"/>
            <w:shd w:val="clear" w:color="auto" w:fill="auto"/>
            <w:tcW w:w="617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4 373</w:t>
            </w:r>
            <w:r/>
          </w:p>
        </w:tc>
        <w:tc>
          <w:tcPr>
            <w:shd w:val="clear" w:color="auto" w:fill="auto"/>
            <w:tcW w:w="737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Отдел молодежной политики администрации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restar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  <w:r/>
          </w:p>
        </w:tc>
        <w:tc>
          <w:tcPr>
            <w:gridSpan w:val="2"/>
            <w:shd w:val="clear" w:color="auto" w:fill="auto"/>
            <w:tcW w:w="808" w:type="pct"/>
            <w:vMerge w:val="restar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Источники финансирования</w:t>
            </w:r>
            <w:r/>
          </w:p>
        </w:tc>
        <w:tc>
          <w:tcPr>
            <w:gridSpan w:val="14"/>
            <w:shd w:val="clear" w:color="auto" w:fill="auto"/>
            <w:tcW w:w="3111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Расходы по годам (тыс. рублей)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808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570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всего</w:t>
            </w:r>
            <w:r/>
          </w:p>
        </w:tc>
        <w:tc>
          <w:tcPr>
            <w:gridSpan w:val="3"/>
            <w:shd w:val="clear" w:color="auto" w:fill="auto"/>
            <w:tcW w:w="665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2023</w:t>
            </w:r>
            <w:r/>
          </w:p>
        </w:tc>
        <w:tc>
          <w:tcPr>
            <w:gridSpan w:val="4"/>
            <w:shd w:val="clear" w:color="auto" w:fill="auto"/>
            <w:tcW w:w="522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2024</w:t>
            </w:r>
            <w:r/>
          </w:p>
        </w:tc>
        <w:tc>
          <w:tcPr>
            <w:gridSpan w:val="3"/>
            <w:shd w:val="clear" w:color="auto" w:fill="auto"/>
            <w:tcW w:w="573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2025</w:t>
            </w:r>
            <w:r/>
          </w:p>
        </w:tc>
        <w:tc>
          <w:tcPr>
            <w:gridSpan w:val="2"/>
            <w:shd w:val="clear" w:color="auto" w:fill="auto"/>
            <w:tcW w:w="781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2026-2030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808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всего</w:t>
            </w:r>
            <w:r/>
          </w:p>
        </w:tc>
        <w:tc>
          <w:tcPr>
            <w:gridSpan w:val="2"/>
            <w:shd w:val="clear" w:color="auto" w:fill="auto"/>
            <w:tcW w:w="5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191754,1</w:t>
            </w:r>
            <w:r/>
          </w:p>
        </w:tc>
        <w:tc>
          <w:tcPr>
            <w:gridSpan w:val="3"/>
            <w:shd w:val="clear" w:color="auto" w:fill="auto"/>
            <w:tcW w:w="665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30699,6</w:t>
            </w:r>
            <w:r/>
          </w:p>
        </w:tc>
        <w:tc>
          <w:tcPr>
            <w:gridSpan w:val="4"/>
            <w:shd w:val="clear" w:color="auto" w:fill="auto"/>
            <w:tcW w:w="522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23483,5</w:t>
            </w:r>
            <w:r/>
          </w:p>
        </w:tc>
        <w:tc>
          <w:tcPr>
            <w:gridSpan w:val="3"/>
            <w:shd w:val="clear" w:color="auto" w:fill="auto"/>
            <w:tcW w:w="57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tabs>
                <w:tab w:val="center" w:pos="442" w:leader="none"/>
              </w:tabs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22928,5</w:t>
            </w:r>
            <w:r/>
          </w:p>
        </w:tc>
        <w:tc>
          <w:tcPr>
            <w:gridSpan w:val="2"/>
            <w:shd w:val="clear" w:color="auto" w:fill="auto"/>
            <w:tcW w:w="781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114642,5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808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федеральный бюджет</w:t>
            </w:r>
            <w:r/>
          </w:p>
        </w:tc>
        <w:tc>
          <w:tcPr>
            <w:gridSpan w:val="2"/>
            <w:shd w:val="clear" w:color="auto" w:fill="auto"/>
            <w:tcW w:w="5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3"/>
            <w:shd w:val="clear" w:color="auto" w:fill="auto"/>
            <w:tcW w:w="665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4"/>
            <w:shd w:val="clear" w:color="auto" w:fill="auto"/>
            <w:tcW w:w="522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3"/>
            <w:shd w:val="clear" w:color="auto" w:fill="auto"/>
            <w:tcW w:w="57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W w:w="781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808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gridSpan w:val="2"/>
            <w:shd w:val="clear" w:color="auto" w:fill="auto"/>
            <w:tcW w:w="5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73200,0</w:t>
            </w:r>
            <w:r/>
          </w:p>
        </w:tc>
        <w:tc>
          <w:tcPr>
            <w:gridSpan w:val="3"/>
            <w:shd w:val="clear" w:color="auto" w:fill="auto"/>
            <w:tcW w:w="665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9150,0</w:t>
            </w:r>
            <w:r/>
          </w:p>
        </w:tc>
        <w:tc>
          <w:tcPr>
            <w:gridSpan w:val="4"/>
            <w:shd w:val="clear" w:color="auto" w:fill="auto"/>
            <w:tcW w:w="522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9150,0</w:t>
            </w:r>
            <w:r/>
          </w:p>
        </w:tc>
        <w:tc>
          <w:tcPr>
            <w:gridSpan w:val="3"/>
            <w:shd w:val="clear" w:color="auto" w:fill="auto"/>
            <w:tcW w:w="57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9150,0</w:t>
            </w:r>
            <w:r/>
          </w:p>
        </w:tc>
        <w:tc>
          <w:tcPr>
            <w:gridSpan w:val="2"/>
            <w:shd w:val="clear" w:color="auto" w:fill="auto"/>
            <w:tcW w:w="781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45750,0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808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gridSpan w:val="2"/>
            <w:shd w:val="clear" w:color="auto" w:fill="auto"/>
            <w:tcW w:w="5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118554,1</w:t>
            </w:r>
            <w:r/>
          </w:p>
        </w:tc>
        <w:tc>
          <w:tcPr>
            <w:gridSpan w:val="3"/>
            <w:shd w:val="clear" w:color="auto" w:fill="auto"/>
            <w:tcW w:w="665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21549,6</w:t>
            </w:r>
            <w:r/>
          </w:p>
        </w:tc>
        <w:tc>
          <w:tcPr>
            <w:gridSpan w:val="4"/>
            <w:shd w:val="clear" w:color="auto" w:fill="auto"/>
            <w:tcW w:w="522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14333,5</w:t>
            </w:r>
            <w:r/>
          </w:p>
        </w:tc>
        <w:tc>
          <w:tcPr>
            <w:gridSpan w:val="3"/>
            <w:shd w:val="clear" w:color="auto" w:fill="auto"/>
            <w:tcW w:w="57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tabs>
                <w:tab w:val="center" w:pos="442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13778,5</w:t>
            </w:r>
            <w:r/>
          </w:p>
        </w:tc>
        <w:tc>
          <w:tcPr>
            <w:gridSpan w:val="2"/>
            <w:shd w:val="clear" w:color="auto" w:fill="auto"/>
            <w:tcW w:w="781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68892,5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808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gridSpan w:val="2"/>
            <w:shd w:val="clear" w:color="auto" w:fill="auto"/>
            <w:tcW w:w="5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3"/>
            <w:shd w:val="clear" w:color="auto" w:fill="auto"/>
            <w:tcW w:w="665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4"/>
            <w:shd w:val="clear" w:color="auto" w:fill="auto"/>
            <w:tcW w:w="522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3"/>
            <w:shd w:val="clear" w:color="auto" w:fill="auto"/>
            <w:tcW w:w="57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W w:w="781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808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Справочно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: Межбюджетные трансферты городским и сельским поселениям района</w:t>
            </w:r>
            <w:r/>
          </w:p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57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2 920,00</w:t>
            </w:r>
            <w:r/>
          </w:p>
        </w:tc>
        <w:tc>
          <w:tcPr>
            <w:gridSpan w:val="3"/>
            <w:shd w:val="clear" w:color="auto" w:fill="auto"/>
            <w:tcW w:w="6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2 920,00</w:t>
            </w:r>
            <w:r/>
          </w:p>
        </w:tc>
        <w:tc>
          <w:tcPr>
            <w:gridSpan w:val="4"/>
            <w:shd w:val="clear" w:color="auto" w:fill="auto"/>
            <w:tcW w:w="52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3"/>
            <w:shd w:val="clear" w:color="auto" w:fill="auto"/>
            <w:tcW w:w="57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2"/>
            <w:shd w:val="clear" w:color="auto" w:fill="auto"/>
            <w:tcW w:w="78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restar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Параметры финансового обеспечения региональных проектов, проектов автономного округа и проектов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района, реализуемых </w:t>
            </w:r>
            <w:r/>
          </w:p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Кондинском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районе</w:t>
            </w:r>
            <w:r/>
          </w:p>
        </w:tc>
        <w:tc>
          <w:tcPr>
            <w:gridSpan w:val="2"/>
            <w:shd w:val="clear" w:color="auto" w:fill="auto"/>
            <w:tcW w:w="808" w:type="pct"/>
            <w:vMerge w:val="restar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Источники финансирования</w:t>
            </w:r>
            <w:r/>
          </w:p>
        </w:tc>
        <w:tc>
          <w:tcPr>
            <w:gridSpan w:val="12"/>
            <w:shd w:val="clear" w:color="auto" w:fill="auto"/>
            <w:tcW w:w="2330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Расходы по годам</w:t>
            </w:r>
            <w:r/>
          </w:p>
        </w:tc>
        <w:tc>
          <w:tcPr>
            <w:gridSpan w:val="2"/>
            <w:shd w:val="clear" w:color="auto" w:fill="auto"/>
            <w:tcW w:w="781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808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935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всего</w:t>
            </w:r>
            <w:r/>
          </w:p>
        </w:tc>
        <w:tc>
          <w:tcPr>
            <w:gridSpan w:val="3"/>
            <w:shd w:val="clear" w:color="auto" w:fill="auto"/>
            <w:tcW w:w="531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2023</w:t>
            </w:r>
            <w:r/>
          </w:p>
        </w:tc>
        <w:tc>
          <w:tcPr>
            <w:gridSpan w:val="4"/>
            <w:shd w:val="clear" w:color="auto" w:fill="auto"/>
            <w:tcW w:w="483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2024</w:t>
            </w:r>
            <w:r/>
          </w:p>
        </w:tc>
        <w:tc>
          <w:tcPr>
            <w:gridSpan w:val="2"/>
            <w:shd w:val="clear" w:color="auto" w:fill="auto"/>
            <w:tcW w:w="381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2025</w:t>
            </w:r>
            <w:r/>
          </w:p>
        </w:tc>
        <w:tc>
          <w:tcPr>
            <w:gridSpan w:val="2"/>
            <w:shd w:val="clear" w:color="auto" w:fill="auto"/>
            <w:tcW w:w="781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2026- 2030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16"/>
            <w:shd w:val="clear" w:color="auto" w:fill="auto"/>
            <w:tcW w:w="3919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Портфель проектов «Образование»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16"/>
            <w:shd w:val="clear" w:color="auto" w:fill="auto"/>
            <w:tcW w:w="3919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Региональный проект «Социальная активность» (01 января 2019 года - 31 декабря 2024 года)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808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всего</w:t>
            </w:r>
            <w:r/>
          </w:p>
        </w:tc>
        <w:tc>
          <w:tcPr>
            <w:gridSpan w:val="3"/>
            <w:shd w:val="clear" w:color="auto" w:fill="auto"/>
            <w:tcW w:w="935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 xml:space="preserve">2 799,9</w:t>
            </w:r>
            <w:r/>
          </w:p>
        </w:tc>
        <w:tc>
          <w:tcPr>
            <w:gridSpan w:val="3"/>
            <w:shd w:val="clear" w:color="auto" w:fill="auto"/>
            <w:tcW w:w="531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 xml:space="preserve">2 799,9</w:t>
            </w:r>
            <w:r/>
          </w:p>
        </w:tc>
        <w:tc>
          <w:tcPr>
            <w:gridSpan w:val="4"/>
            <w:shd w:val="clear" w:color="auto" w:fill="auto"/>
            <w:tcW w:w="483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W w:w="377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3"/>
            <w:shd w:val="clear" w:color="auto" w:fill="auto"/>
            <w:tcW w:w="785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808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федеральный бюджет</w:t>
            </w:r>
            <w:r/>
          </w:p>
        </w:tc>
        <w:tc>
          <w:tcPr>
            <w:gridSpan w:val="3"/>
            <w:shd w:val="clear" w:color="auto" w:fill="auto"/>
            <w:tcW w:w="935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3"/>
            <w:shd w:val="clear" w:color="auto" w:fill="auto"/>
            <w:tcW w:w="531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4"/>
            <w:shd w:val="clear" w:color="auto" w:fill="auto"/>
            <w:tcW w:w="483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W w:w="377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3"/>
            <w:shd w:val="clear" w:color="auto" w:fill="auto"/>
            <w:tcW w:w="785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808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gridSpan w:val="3"/>
            <w:shd w:val="clear" w:color="auto" w:fill="auto"/>
            <w:tcW w:w="935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3"/>
            <w:shd w:val="clear" w:color="auto" w:fill="auto"/>
            <w:tcW w:w="531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4"/>
            <w:shd w:val="clear" w:color="auto" w:fill="auto"/>
            <w:tcW w:w="483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W w:w="377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3"/>
            <w:shd w:val="clear" w:color="auto" w:fill="auto"/>
            <w:tcW w:w="785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808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gridSpan w:val="3"/>
            <w:shd w:val="clear" w:color="auto" w:fill="auto"/>
            <w:tcW w:w="935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2 799,9</w:t>
            </w:r>
            <w:r/>
          </w:p>
        </w:tc>
        <w:tc>
          <w:tcPr>
            <w:gridSpan w:val="3"/>
            <w:shd w:val="clear" w:color="auto" w:fill="auto"/>
            <w:tcW w:w="531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2 799,9</w:t>
            </w:r>
            <w:r/>
          </w:p>
        </w:tc>
        <w:tc>
          <w:tcPr>
            <w:gridSpan w:val="4"/>
            <w:shd w:val="clear" w:color="auto" w:fill="auto"/>
            <w:tcW w:w="483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W w:w="377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3"/>
            <w:shd w:val="clear" w:color="auto" w:fill="auto"/>
            <w:tcW w:w="785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1081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808" w:type="pc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gridSpan w:val="3"/>
            <w:shd w:val="clear" w:color="auto" w:fill="auto"/>
            <w:tcW w:w="935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3"/>
            <w:shd w:val="clear" w:color="auto" w:fill="auto"/>
            <w:tcW w:w="531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4"/>
            <w:shd w:val="clear" w:color="auto" w:fill="auto"/>
            <w:tcW w:w="483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W w:w="377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3"/>
            <w:shd w:val="clear" w:color="auto" w:fill="auto"/>
            <w:tcW w:w="785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3"/>
            <w:shd w:val="clear" w:color="auto" w:fill="auto"/>
            <w:tcW w:w="1889" w:type="pct"/>
            <w:vMerge w:val="restart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Объем налоговых расходов </w:t>
            </w:r>
            <w:r/>
          </w:p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gridSpan w:val="14"/>
            <w:shd w:val="clear" w:color="auto" w:fill="auto"/>
            <w:tcW w:w="3111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Расходы по годам (тыс. рублей)</w:t>
            </w:r>
            <w:r/>
          </w:p>
        </w:tc>
      </w:tr>
      <w:tr>
        <w:trPr>
          <w:trHeight w:val="68"/>
        </w:trPr>
        <w:tc>
          <w:tcPr>
            <w:gridSpan w:val="3"/>
            <w:shd w:val="clear" w:color="auto" w:fill="auto"/>
            <w:tcW w:w="1889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935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всего</w:t>
            </w:r>
            <w:r/>
          </w:p>
        </w:tc>
        <w:tc>
          <w:tcPr>
            <w:gridSpan w:val="3"/>
            <w:shd w:val="clear" w:color="auto" w:fill="auto"/>
            <w:tcW w:w="531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2023</w:t>
            </w:r>
            <w:r/>
          </w:p>
        </w:tc>
        <w:tc>
          <w:tcPr>
            <w:gridSpan w:val="4"/>
            <w:shd w:val="clear" w:color="auto" w:fill="auto"/>
            <w:tcW w:w="483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2024</w:t>
            </w:r>
            <w:r/>
          </w:p>
        </w:tc>
        <w:tc>
          <w:tcPr>
            <w:shd w:val="clear" w:color="auto" w:fill="auto"/>
            <w:tcW w:w="377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2025</w:t>
            </w:r>
            <w:r/>
          </w:p>
        </w:tc>
        <w:tc>
          <w:tcPr>
            <w:gridSpan w:val="3"/>
            <w:shd w:val="clear" w:color="auto" w:fill="auto"/>
            <w:tcW w:w="785" w:type="pct"/>
            <w:textDirection w:val="lrTb"/>
            <w:noWrap w:val="false"/>
          </w:tcPr>
          <w:p>
            <w:pPr>
              <w:ind w:left="-52" w:right="-6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2026-2030</w:t>
            </w:r>
            <w:r/>
          </w:p>
        </w:tc>
      </w:tr>
      <w:tr>
        <w:trPr>
          <w:trHeight w:val="68"/>
        </w:trPr>
        <w:tc>
          <w:tcPr>
            <w:gridSpan w:val="3"/>
            <w:shd w:val="clear" w:color="auto" w:fill="auto"/>
            <w:tcW w:w="1889" w:type="pct"/>
            <w:vMerge w:val="continue"/>
            <w:textDirection w:val="lrTb"/>
            <w:noWrap w:val="false"/>
          </w:tcPr>
          <w:p>
            <w:pPr>
              <w:ind w:left="-52" w:right="-61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93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3"/>
            <w:shd w:val="clear" w:color="auto" w:fill="auto"/>
            <w:tcW w:w="5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4"/>
            <w:shd w:val="clear" w:color="auto" w:fill="auto"/>
            <w:tcW w:w="4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W w:w="37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  <w:tc>
          <w:tcPr>
            <w:gridSpan w:val="3"/>
            <w:shd w:val="clear" w:color="auto" w:fill="auto"/>
            <w:tcW w:w="78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0,0</w:t>
            </w:r>
            <w:r/>
          </w:p>
        </w:tc>
      </w:tr>
    </w:tbl>
    <w:p>
      <w:pPr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sectPr>
          <w:footnotePr/>
          <w:endnotePr/>
          <w:type w:val="nextPage"/>
          <w:pgSz w:w="16834" w:h="11909" w:orient="landscape"/>
          <w:pgMar w:top="1701" w:right="1134" w:bottom="567" w:left="992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ind w:left="10206"/>
        <w:spacing w:after="0" w:line="240" w:lineRule="auto"/>
        <w:shd w:val="clear" w:color="auto" w:fill="ffffff"/>
        <w:tabs>
          <w:tab w:val="left" w:pos="1020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Приложение 2</w:t>
      </w:r>
      <w:r/>
    </w:p>
    <w:p>
      <w:pPr>
        <w:ind w:left="10206"/>
        <w:spacing w:after="0" w:line="240" w:lineRule="auto"/>
        <w:shd w:val="clear" w:color="auto" w:fill="ffffff"/>
        <w:tabs>
          <w:tab w:val="left" w:pos="1020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постановлению администрации района</w:t>
      </w:r>
      <w:r/>
    </w:p>
    <w:p>
      <w:pPr>
        <w:ind w:left="10206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«___» _______.20__ № ___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Таблица 1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Распределение финансовых ресурсов муниципальной программы (по годам)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tbl>
      <w:tblPr>
        <w:tblW w:w="4965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2340"/>
        <w:gridCol w:w="2365"/>
        <w:gridCol w:w="2251"/>
        <w:gridCol w:w="1211"/>
        <w:gridCol w:w="1663"/>
        <w:gridCol w:w="1511"/>
        <w:gridCol w:w="1486"/>
        <w:gridCol w:w="1657"/>
      </w:tblGrid>
      <w:tr>
        <w:trPr>
          <w:trHeight w:val="68"/>
        </w:trPr>
        <w:tc>
          <w:tcPr>
            <w:shd w:val="clear" w:color="auto" w:fill="auto"/>
            <w:tcW w:w="419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№</w:t>
            </w:r>
            <w:r/>
          </w:p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структурного элемента (основного мероприятия)</w:t>
            </w:r>
            <w:r/>
          </w:p>
        </w:tc>
        <w:tc>
          <w:tcPr>
            <w:shd w:val="clear" w:color="auto" w:fill="auto"/>
            <w:tcW w:w="740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Структурный элемент</w:t>
            </w:r>
            <w:r/>
          </w:p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(основное мероприятие) муниципальной программы </w:t>
            </w:r>
            <w:r/>
          </w:p>
        </w:tc>
        <w:tc>
          <w:tcPr>
            <w:shd w:val="clear" w:color="auto" w:fill="auto"/>
            <w:tcW w:w="748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Ответственный исполнитель/</w:t>
            </w:r>
            <w:r/>
          </w:p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соисполнитель </w:t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Источники финансирования</w:t>
            </w:r>
            <w:r/>
          </w:p>
        </w:tc>
        <w:tc>
          <w:tcPr>
            <w:gridSpan w:val="5"/>
            <w:shd w:val="clear" w:color="auto" w:fill="auto"/>
            <w:tcW w:w="2381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Финансовые затраты на реализацию (тыс. рублей) 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vMerge w:val="continue"/>
            <w:textDirection w:val="lrTb"/>
            <w:noWrap w:val="false"/>
          </w:tcPr>
          <w:p>
            <w:pPr>
              <w:ind w:left="-70" w:right="-8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83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4"/>
            <w:shd w:val="clear" w:color="auto" w:fill="auto"/>
            <w:tcW w:w="199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 том числе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vMerge w:val="continue"/>
            <w:textDirection w:val="lrTb"/>
            <w:noWrap w:val="false"/>
          </w:tcPr>
          <w:p>
            <w:pPr>
              <w:ind w:left="-70" w:right="-8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83" w:type="pct"/>
            <w:vMerge w:val="continue"/>
            <w:textDirection w:val="lrTb"/>
            <w:noWrap w:val="false"/>
          </w:tcPr>
          <w:p>
            <w:pPr>
              <w:ind w:left="-70" w:right="-8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2023 год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2024 год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2025 год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2026-2030 годы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auto"/>
            <w:tcW w:w="74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74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E8</w:t>
            </w:r>
            <w:r/>
          </w:p>
        </w:tc>
        <w:tc>
          <w:tcPr>
            <w:shd w:val="clear" w:color="auto" w:fill="auto"/>
            <w:tcW w:w="740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Региональный проект «Социальная активность»</w:t>
            </w:r>
            <w:r/>
          </w:p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(целевой показатель 1)</w:t>
            </w:r>
            <w:r/>
          </w:p>
        </w:tc>
        <w:tc>
          <w:tcPr>
            <w:shd w:val="clear" w:color="auto" w:fill="auto"/>
            <w:tcW w:w="748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Отдел молодежной политики администрации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района</w:t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2799,9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2799,9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2799,9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2799,9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W w:w="740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Работа с детьми</w:t>
            </w:r>
            <w:r/>
          </w:p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 молодежью</w:t>
            </w:r>
            <w:r/>
          </w:p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(целевой показатель 1 таблица 3)</w:t>
            </w:r>
            <w:r/>
          </w:p>
        </w:tc>
        <w:tc>
          <w:tcPr>
            <w:shd w:val="clear" w:color="auto" w:fill="auto"/>
            <w:tcW w:w="748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Отдел молодежной политики администрации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района</w:t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114633,5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17629,0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14333,5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tabs>
                <w:tab w:val="center" w:pos="442" w:leader="none"/>
              </w:tabs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13778,5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68892,5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97004,5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17629,0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14333,5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tabs>
                <w:tab w:val="center" w:pos="442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13778,5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68892,5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</w:t>
            </w:r>
            <w:r/>
          </w:p>
        </w:tc>
        <w:tc>
          <w:tcPr>
            <w:shd w:val="clear" w:color="auto" w:fill="auto"/>
            <w:tcW w:w="740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Предоставление субсидии из бюджета муниципального образования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Кондинский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район юридическим лицам </w:t>
            </w:r>
            <w:r/>
          </w:p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(за исключением государственных и муниципальных учреждений) индивидуальным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предпринимателям, </w:t>
            </w:r>
            <w:r/>
          </w:p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на оказание услуг (выполнение работ) </w:t>
            </w:r>
            <w:r/>
          </w:p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 сфере молодежной политики</w:t>
            </w:r>
            <w:r/>
          </w:p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(целевой показатель 2, 3 таблица 3)</w:t>
            </w:r>
            <w:r/>
          </w:p>
        </w:tc>
        <w:tc>
          <w:tcPr>
            <w:shd w:val="clear" w:color="auto" w:fill="auto"/>
            <w:tcW w:w="748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Отдел молодежной политики администрации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района</w:t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100,12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100,12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100,12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100,12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3.</w:t>
            </w:r>
            <w:r/>
          </w:p>
        </w:tc>
        <w:tc>
          <w:tcPr>
            <w:shd w:val="clear" w:color="auto" w:fill="auto"/>
            <w:tcW w:w="740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Организация временного трудоустройства несовершеннолетних граждан в возрасте</w:t>
            </w:r>
            <w:r/>
          </w:p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от 14 до 18 лет</w:t>
            </w:r>
            <w:r/>
          </w:p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 свободное</w:t>
            </w:r>
            <w:r/>
          </w:p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от учебы время</w:t>
            </w:r>
            <w:r/>
          </w:p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(целевой показатель 4 таблица 3)</w:t>
            </w:r>
            <w:r/>
          </w:p>
        </w:tc>
        <w:tc>
          <w:tcPr>
            <w:shd w:val="clear" w:color="auto" w:fill="auto"/>
            <w:tcW w:w="748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Отдел молодежной политики администрации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района,</w:t>
            </w:r>
            <w:r/>
          </w:p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комитет физической культуры и спорта администрации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района,</w:t>
            </w:r>
            <w:r/>
          </w:p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района,</w:t>
            </w:r>
            <w:r/>
          </w:p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комитет по финансам и налоговой политике администрации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района</w:t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74220,6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10170,6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9150,0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9150,0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45750,0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73200,0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9150,0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9150,0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9150,0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45750,0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1020,6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1020,6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shd w:val="clear" w:color="auto" w:fill="auto"/>
            <w:tcW w:w="41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40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 по муниципальной программе:</w:t>
            </w:r>
            <w:r/>
          </w:p>
        </w:tc>
        <w:tc>
          <w:tcPr>
            <w:shd w:val="clear" w:color="auto" w:fill="auto"/>
            <w:tcW w:w="748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191754,1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30699,6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23483,5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tabs>
                <w:tab w:val="center" w:pos="442" w:leader="none"/>
              </w:tabs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22928,5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114642,5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73200,0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9150,0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9150,0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9150,0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45750,0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118554,1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21549,6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14333,5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tabs>
                <w:tab w:val="center" w:pos="442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13778,5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68892,5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Справочно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: Межбюджетные трансферты городским и сельским поселениям района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 xml:space="preserve">2920,00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 xml:space="preserve">2920,00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ru-RU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W w:w="74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Проектная часть</w:t>
            </w:r>
            <w:r/>
          </w:p>
        </w:tc>
        <w:tc>
          <w:tcPr>
            <w:shd w:val="clear" w:color="auto" w:fill="auto"/>
            <w:tcW w:w="748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всего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191754,1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30699,6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23483,5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tabs>
                <w:tab w:val="center" w:pos="442" w:leader="none"/>
              </w:tabs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22928,5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114642,5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73200,0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9150,0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9150,0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9150,0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45750,0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118554,1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21549,6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14333,5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tabs>
                <w:tab w:val="center" w:pos="442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13778,5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68892,5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Процессная часть</w:t>
            </w:r>
            <w:r/>
          </w:p>
        </w:tc>
        <w:tc>
          <w:tcPr>
            <w:shd w:val="clear" w:color="auto" w:fill="auto"/>
            <w:tcW w:w="748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191754,1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30699,6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23483,5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tabs>
                <w:tab w:val="center" w:pos="442" w:leader="none"/>
              </w:tabs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22928,5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114642,5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73200,0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9150,0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9150,0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9150,0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45750,0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118554,1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21549,6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14333,5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tabs>
                <w:tab w:val="center" w:pos="442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13778,5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68892,5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shd w:val="clear" w:color="auto" w:fill="auto"/>
            <w:tcW w:w="74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Ответственный исполнитель</w:t>
            </w:r>
            <w:r/>
          </w:p>
        </w:tc>
        <w:tc>
          <w:tcPr>
            <w:shd w:val="clear" w:color="auto" w:fill="auto"/>
            <w:tcW w:w="748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отдел молодежной политики администрации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района</w:t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188834,1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27779,6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23483,5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tabs>
                <w:tab w:val="center" w:pos="442" w:leader="none"/>
              </w:tabs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22928,5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114642,5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70280,0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6230,0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9150,0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9150,0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45750,0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118554,1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21549,6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14333,5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tabs>
                <w:tab w:val="center" w:pos="442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13778,5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68892,5</w:t>
            </w:r>
            <w:r/>
          </w:p>
        </w:tc>
      </w:tr>
      <w:tr>
        <w:trPr>
          <w:trHeight w:val="400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источники финансирования</w:t>
            </w:r>
            <w:r/>
          </w:p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Соисполнитель</w:t>
            </w:r>
            <w:r/>
          </w:p>
        </w:tc>
        <w:tc>
          <w:tcPr>
            <w:shd w:val="clear" w:color="auto" w:fill="auto"/>
            <w:tcW w:w="748" w:type="pct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комитет по финансам и налоговой политике администрации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района</w:t>
            </w:r>
            <w:r/>
          </w:p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2920,00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2920,00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бюджет автономного округа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2920,00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2920,00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vMerge w:val="restar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shd w:val="clear" w:color="auto" w:fill="auto"/>
            <w:tcW w:w="1159" w:type="pct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48" w:type="pct"/>
            <w:vMerge w:val="continue"/>
            <w:textDirection w:val="lrTb"/>
            <w:noWrap w:val="false"/>
          </w:tcPr>
          <w:p>
            <w:pPr>
              <w:ind w:left="-70" w:right="-80"/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12" w:type="pct"/>
            <w:textDirection w:val="lrTb"/>
            <w:noWrap w:val="false"/>
          </w:tcPr>
          <w:p>
            <w:pPr>
              <w:ind w:left="-70" w:right="-80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источники финансирования</w:t>
            </w:r>
            <w:r/>
          </w:p>
        </w:tc>
        <w:tc>
          <w:tcPr>
            <w:shd w:val="clear" w:color="auto" w:fill="auto"/>
            <w:tcW w:w="383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6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8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470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shd w:val="clear" w:color="auto" w:fill="auto"/>
            <w:tcW w:w="524" w:type="pct"/>
            <w:textDirection w:val="lrTb"/>
            <w:noWrap w:val="false"/>
          </w:tcPr>
          <w:p>
            <w:pPr>
              <w:ind w:left="-70" w:right="-80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0,0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right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sectPr>
      <w:headerReference w:type="default" r:id="rId11"/>
      <w:headerReference w:type="even" r:id="rId12"/>
      <w:headerReference w:type="first" r:id="rId13"/>
      <w:footerReference w:type="default" r:id="rId14"/>
      <w:footerReference w:type="even" r:id="rId15"/>
      <w:footerReference w:type="first" r:id="rId16"/>
      <w:footnotePr/>
      <w:endnotePr/>
      <w:type w:val="nextPage"/>
      <w:pgSz w:w="16838" w:h="11906" w:orient="landscape"/>
      <w:pgMar w:top="992" w:right="709" w:bottom="851" w:left="42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">
    <w:panose1 w:val="02070309020205020404"/>
  </w:font>
  <w:font w:name="Calibri">
    <w:panose1 w:val="020F0502020204030204"/>
  </w:font>
  <w:font w:name="Courier New">
    <w:panose1 w:val="02070309020205020404"/>
  </w:font>
  <w:font w:name="Verdana">
    <w:panose1 w:val="020B0604030504040204"/>
  </w:font>
  <w:font w:name="Century Gothic">
    <w:panose1 w:val="020B0502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791"/>
      <w:ind w:right="360"/>
      <w:tabs>
        <w:tab w:val="clear" w:pos="4677" w:leader="none"/>
        <w:tab w:val="left" w:pos="5070" w:leader="none"/>
        <w:tab w:val="clear" w:pos="9355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rPr>
        <w:rStyle w:val="802"/>
      </w:rPr>
      <w:framePr w:wrap="around" w:vAnchor="text" w:hAnchor="margin" w:xAlign="center" w:y="1"/>
    </w:pPr>
    <w:r>
      <w:rPr>
        <w:rStyle w:val="802"/>
      </w:rPr>
      <w:fldChar w:fldCharType="begin"/>
    </w:r>
    <w:r>
      <w:rPr>
        <w:rStyle w:val="802"/>
      </w:rPr>
      <w:instrText xml:space="preserve">PAGE  </w:instrText>
    </w:r>
    <w:r>
      <w:rPr>
        <w:rStyle w:val="802"/>
      </w:rPr>
      <w:fldChar w:fldCharType="end"/>
    </w:r>
    <w:r/>
  </w:p>
  <w:p>
    <w:pPr>
      <w:pStyle w:val="791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ind w:right="360"/>
      <w:tabs>
        <w:tab w:val="clear" w:pos="4677" w:leader="none"/>
        <w:tab w:val="left" w:pos="5070" w:leader="none"/>
        <w:tab w:val="clear" w:pos="9355" w:leader="none"/>
      </w:tabs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rPr>
        <w:rStyle w:val="802"/>
      </w:rPr>
      <w:framePr w:wrap="around" w:vAnchor="text" w:hAnchor="margin" w:xAlign="center" w:y="1"/>
    </w:pPr>
    <w:r>
      <w:rPr>
        <w:rStyle w:val="802"/>
      </w:rPr>
      <w:fldChar w:fldCharType="begin"/>
    </w:r>
    <w:r>
      <w:rPr>
        <w:rStyle w:val="802"/>
      </w:rPr>
      <w:instrText xml:space="preserve">PAGE  </w:instrText>
    </w:r>
    <w:r>
      <w:rPr>
        <w:rStyle w:val="802"/>
      </w:rPr>
      <w:fldChar w:fldCharType="end"/>
    </w:r>
    <w:r/>
  </w:p>
  <w:p>
    <w:pPr>
      <w:pStyle w:val="791"/>
      <w:ind w:right="360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space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  <w:color w:val="ff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  <w:tabs>
          <w:tab w:val="num" w:pos="39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435"/>
        <w:tabs>
          <w:tab w:val="num" w:pos="4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1" w:hanging="360"/>
        <w:tabs>
          <w:tab w:val="num" w:pos="751" w:leader="none"/>
        </w:tabs>
      </w:pPr>
      <w:rPr>
        <w:rFonts w:hint="default"/>
        <w:i w:val="0"/>
      </w:rPr>
    </w:lvl>
    <w:lvl w:ilvl="1">
      <w:start w:val="1"/>
      <w:numFmt w:val="decimal"/>
      <w:isLgl/>
      <w:suff w:val="tab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5" w:hanging="375"/>
        <w:tabs>
          <w:tab w:val="num" w:pos="73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  <w:tabs>
          <w:tab w:val="num" w:pos="54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00" w:hanging="432"/>
        <w:tabs>
          <w:tab w:val="num" w:pos="100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645" w:hanging="504"/>
        <w:tabs>
          <w:tab w:val="num" w:pos="86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25" w:hanging="648"/>
        <w:tabs>
          <w:tab w:val="num" w:pos="2357" w:leader="none"/>
        </w:tabs>
      </w:pPr>
      <w:rPr>
        <w:rFonts w:hint="default"/>
      </w:rPr>
    </w:lvl>
    <w:lvl w:ilvl="4">
      <w:start w:val="1"/>
      <w:numFmt w:val="russianLower"/>
      <w:isLgl w:val="false"/>
      <w:suff w:val="tab"/>
      <w:lvlText w:val="%5)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bullet"/>
      <w:isLgl w:val="false"/>
      <w:suff w:val="tab"/>
      <w:lvlText w:val=""/>
      <w:lvlJc w:val="left"/>
      <w:pPr>
        <w:ind w:left="2736" w:hanging="936"/>
        <w:tabs>
          <w:tab w:val="num" w:pos="3240" w:leader="none"/>
        </w:tabs>
      </w:pPr>
      <w:rPr>
        <w:rFonts w:hint="default" w:ascii="Symbol" w:hAnsi="Symbol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0" w:firstLine="397"/>
        <w:tabs>
          <w:tab w:val="num" w:pos="360" w:leader="none"/>
        </w:tabs>
      </w:pPr>
      <w:rPr>
        <w:rFonts w:hint="default"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"/>
      <w:lvlJc w:val="left"/>
      <w:pPr>
        <w:ind w:left="0" w:firstLine="0"/>
        <w:tabs>
          <w:tab w:val="num" w:pos="113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  <w:tabs>
          <w:tab w:val="num" w:pos="21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suff w:val="tab"/>
      <w:lvlText w:val="%1.%2."/>
      <w:lvlJc w:val="left"/>
      <w:pPr>
        <w:ind w:left="1804" w:hanging="1095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1" w:hanging="86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5" w:hanging="645"/>
        <w:tabs>
          <w:tab w:val="num" w:pos="64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8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22"/>
  </w:num>
  <w:num w:numId="5">
    <w:abstractNumId w:val="17"/>
  </w:num>
  <w:num w:numId="6">
    <w:abstractNumId w:val="14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9"/>
  </w:num>
  <w:num w:numId="17">
    <w:abstractNumId w:val="18"/>
  </w:num>
  <w:num w:numId="18">
    <w:abstractNumId w:val="21"/>
  </w:num>
  <w:num w:numId="19">
    <w:abstractNumId w:val="11"/>
  </w:num>
  <w:num w:numId="20">
    <w:abstractNumId w:val="16"/>
  </w:num>
  <w:num w:numId="21">
    <w:abstractNumId w:val="0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85"/>
    <w:link w:val="78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85"/>
    <w:link w:val="78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85"/>
    <w:link w:val="78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85"/>
    <w:link w:val="784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80"/>
    <w:next w:val="78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8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80"/>
    <w:next w:val="78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8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80"/>
    <w:next w:val="78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8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80"/>
    <w:next w:val="78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8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80"/>
    <w:next w:val="78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85"/>
    <w:link w:val="28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85"/>
    <w:link w:val="800"/>
    <w:uiPriority w:val="10"/>
    <w:rPr>
      <w:sz w:val="48"/>
      <w:szCs w:val="48"/>
    </w:rPr>
  </w:style>
  <w:style w:type="paragraph" w:styleId="35">
    <w:name w:val="Subtitle"/>
    <w:basedOn w:val="780"/>
    <w:next w:val="78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85"/>
    <w:link w:val="35"/>
    <w:uiPriority w:val="11"/>
    <w:rPr>
      <w:sz w:val="24"/>
      <w:szCs w:val="24"/>
    </w:rPr>
  </w:style>
  <w:style w:type="paragraph" w:styleId="37">
    <w:name w:val="Quote"/>
    <w:basedOn w:val="780"/>
    <w:next w:val="78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80"/>
    <w:next w:val="78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85"/>
    <w:link w:val="791"/>
    <w:uiPriority w:val="99"/>
  </w:style>
  <w:style w:type="character" w:styleId="44">
    <w:name w:val="Footer Char"/>
    <w:basedOn w:val="785"/>
    <w:link w:val="793"/>
    <w:uiPriority w:val="99"/>
  </w:style>
  <w:style w:type="character" w:styleId="46">
    <w:name w:val="Caption Char"/>
    <w:basedOn w:val="808"/>
    <w:link w:val="793"/>
    <w:uiPriority w:val="99"/>
  </w:style>
  <w:style w:type="table" w:styleId="48">
    <w:name w:val="Table Grid Light"/>
    <w:basedOn w:val="7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8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85"/>
    <w:uiPriority w:val="99"/>
    <w:unhideWhenUsed/>
    <w:rPr>
      <w:vertAlign w:val="superscript"/>
    </w:rPr>
  </w:style>
  <w:style w:type="paragraph" w:styleId="177">
    <w:name w:val="endnote text"/>
    <w:basedOn w:val="78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85"/>
    <w:uiPriority w:val="99"/>
    <w:semiHidden/>
    <w:unhideWhenUsed/>
    <w:rPr>
      <w:vertAlign w:val="superscript"/>
    </w:rPr>
  </w:style>
  <w:style w:type="paragraph" w:styleId="180">
    <w:name w:val="toc 1"/>
    <w:basedOn w:val="780"/>
    <w:next w:val="78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80"/>
    <w:next w:val="78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80"/>
    <w:next w:val="78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80"/>
    <w:next w:val="78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80"/>
    <w:next w:val="78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80"/>
    <w:next w:val="78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80"/>
    <w:next w:val="78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80"/>
    <w:next w:val="78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80"/>
    <w:next w:val="78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80"/>
    <w:next w:val="780"/>
    <w:uiPriority w:val="99"/>
    <w:unhideWhenUsed/>
    <w:pPr>
      <w:spacing w:after="0" w:afterAutospacing="0"/>
    </w:pPr>
  </w:style>
  <w:style w:type="paragraph" w:styleId="780" w:default="1">
    <w:name w:val="Normal"/>
    <w:qFormat/>
  </w:style>
  <w:style w:type="paragraph" w:styleId="781">
    <w:name w:val="Heading 1"/>
    <w:basedOn w:val="780"/>
    <w:next w:val="780"/>
    <w:link w:val="803"/>
    <w:qFormat/>
    <w:pPr>
      <w:ind w:firstLine="567"/>
      <w:jc w:val="center"/>
      <w:spacing w:after="0" w:line="240" w:lineRule="auto"/>
      <w:outlineLvl w:val="0"/>
    </w:pPr>
    <w:rPr>
      <w:rFonts w:ascii="Arial" w:hAnsi="Arial" w:eastAsia="Times New Roman" w:cs="Times New Roman"/>
      <w:b/>
      <w:bCs/>
      <w:sz w:val="32"/>
      <w:szCs w:val="32"/>
    </w:rPr>
  </w:style>
  <w:style w:type="paragraph" w:styleId="782">
    <w:name w:val="Heading 2"/>
    <w:basedOn w:val="780"/>
    <w:link w:val="804"/>
    <w:qFormat/>
    <w:pPr>
      <w:ind w:firstLine="567"/>
      <w:jc w:val="center"/>
      <w:spacing w:after="0" w:line="240" w:lineRule="auto"/>
      <w:outlineLvl w:val="1"/>
    </w:pPr>
    <w:rPr>
      <w:rFonts w:ascii="Arial" w:hAnsi="Arial" w:eastAsia="Times New Roman" w:cs="Arial"/>
      <w:b/>
      <w:bCs/>
      <w:iCs/>
      <w:sz w:val="30"/>
      <w:szCs w:val="28"/>
      <w:lang w:eastAsia="ru-RU"/>
    </w:rPr>
  </w:style>
  <w:style w:type="paragraph" w:styleId="783">
    <w:name w:val="Heading 3"/>
    <w:basedOn w:val="780"/>
    <w:link w:val="805"/>
    <w:qFormat/>
    <w:pPr>
      <w:ind w:firstLine="567"/>
      <w:jc w:val="both"/>
      <w:spacing w:after="0" w:line="240" w:lineRule="auto"/>
      <w:outlineLvl w:val="2"/>
    </w:pPr>
    <w:rPr>
      <w:rFonts w:ascii="Arial" w:hAnsi="Arial" w:eastAsia="Times New Roman" w:cs="Arial"/>
      <w:b/>
      <w:bCs/>
      <w:sz w:val="28"/>
      <w:szCs w:val="26"/>
      <w:lang w:eastAsia="ru-RU"/>
    </w:rPr>
  </w:style>
  <w:style w:type="paragraph" w:styleId="784">
    <w:name w:val="Heading 4"/>
    <w:basedOn w:val="780"/>
    <w:link w:val="806"/>
    <w:qFormat/>
    <w:pPr>
      <w:ind w:firstLine="567"/>
      <w:jc w:val="both"/>
      <w:spacing w:after="0" w:line="240" w:lineRule="auto"/>
      <w:outlineLvl w:val="3"/>
    </w:pPr>
    <w:rPr>
      <w:rFonts w:ascii="Arial" w:hAnsi="Arial" w:eastAsia="Times New Roman" w:cs="Times New Roman"/>
      <w:b/>
      <w:bCs/>
      <w:sz w:val="26"/>
      <w:szCs w:val="28"/>
      <w:lang w:eastAsia="ru-RU"/>
    </w:rPr>
  </w:style>
  <w:style w:type="character" w:styleId="785" w:default="1">
    <w:name w:val="Default Paragraph Font"/>
    <w:uiPriority w:val="1"/>
    <w:semiHidden/>
    <w:unhideWhenUsed/>
  </w:style>
  <w:style w:type="table" w:styleId="7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7" w:default="1">
    <w:name w:val="No List"/>
    <w:uiPriority w:val="99"/>
    <w:semiHidden/>
    <w:unhideWhenUsed/>
  </w:style>
  <w:style w:type="paragraph" w:styleId="788">
    <w:name w:val="Balloon Text"/>
    <w:basedOn w:val="780"/>
    <w:link w:val="78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89" w:customStyle="1">
    <w:name w:val="Текст выноски Знак"/>
    <w:basedOn w:val="785"/>
    <w:link w:val="788"/>
    <w:uiPriority w:val="99"/>
    <w:semiHidden/>
    <w:rPr>
      <w:rFonts w:ascii="Tahoma" w:hAnsi="Tahoma" w:cs="Tahoma"/>
      <w:sz w:val="16"/>
      <w:szCs w:val="16"/>
    </w:rPr>
  </w:style>
  <w:style w:type="table" w:styleId="790">
    <w:name w:val="Table Grid"/>
    <w:basedOn w:val="78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91">
    <w:name w:val="Header"/>
    <w:basedOn w:val="780"/>
    <w:link w:val="79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92" w:customStyle="1">
    <w:name w:val="Верхний колонтитул Знак"/>
    <w:basedOn w:val="785"/>
    <w:link w:val="791"/>
    <w:uiPriority w:val="99"/>
  </w:style>
  <w:style w:type="paragraph" w:styleId="793">
    <w:name w:val="Footer"/>
    <w:basedOn w:val="780"/>
    <w:link w:val="794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94" w:customStyle="1">
    <w:name w:val="Нижний колонтитул Знак"/>
    <w:basedOn w:val="785"/>
    <w:link w:val="793"/>
  </w:style>
  <w:style w:type="paragraph" w:styleId="795" w:customStyle="1">
    <w:name w:val="ConsPlusTitle"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796">
    <w:name w:val="Body Text Indent"/>
    <w:basedOn w:val="780"/>
    <w:link w:val="797"/>
    <w:pPr>
      <w:ind w:left="283"/>
      <w:spacing w:after="120"/>
    </w:pPr>
    <w:rPr>
      <w:rFonts w:ascii="Century Gothic" w:hAnsi="Century Gothic" w:eastAsia="Times New Roman" w:cs="Times New Roman"/>
      <w:lang w:val="en-US"/>
    </w:rPr>
  </w:style>
  <w:style w:type="character" w:styleId="797" w:customStyle="1">
    <w:name w:val="Основной текст с отступом Знак"/>
    <w:basedOn w:val="785"/>
    <w:link w:val="796"/>
    <w:rPr>
      <w:rFonts w:ascii="Century Gothic" w:hAnsi="Century Gothic" w:eastAsia="Times New Roman" w:cs="Times New Roman"/>
      <w:lang w:val="en-US"/>
    </w:rPr>
  </w:style>
  <w:style w:type="paragraph" w:styleId="798">
    <w:name w:val="No Spacing"/>
    <w:link w:val="840"/>
    <w:uiPriority w:val="1"/>
    <w:qFormat/>
    <w:pPr>
      <w:spacing w:after="0" w:line="240" w:lineRule="auto"/>
    </w:pPr>
  </w:style>
  <w:style w:type="numbering" w:styleId="799" w:customStyle="1">
    <w:name w:val="Нет списка1"/>
    <w:next w:val="787"/>
    <w:uiPriority w:val="99"/>
    <w:semiHidden/>
    <w:unhideWhenUsed/>
  </w:style>
  <w:style w:type="paragraph" w:styleId="800">
    <w:name w:val="Title"/>
    <w:basedOn w:val="780"/>
    <w:next w:val="780"/>
    <w:link w:val="801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01" w:customStyle="1">
    <w:name w:val="Название Знак"/>
    <w:basedOn w:val="785"/>
    <w:link w:val="800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02">
    <w:name w:val="page number"/>
    <w:basedOn w:val="785"/>
  </w:style>
  <w:style w:type="character" w:styleId="803" w:customStyle="1">
    <w:name w:val="Заголовок 1 Знак"/>
    <w:basedOn w:val="785"/>
    <w:link w:val="781"/>
    <w:rPr>
      <w:rFonts w:ascii="Arial" w:hAnsi="Arial" w:eastAsia="Times New Roman" w:cs="Times New Roman"/>
      <w:b/>
      <w:bCs/>
      <w:sz w:val="32"/>
      <w:szCs w:val="32"/>
    </w:rPr>
  </w:style>
  <w:style w:type="character" w:styleId="804" w:customStyle="1">
    <w:name w:val="Заголовок 2 Знак"/>
    <w:basedOn w:val="785"/>
    <w:link w:val="782"/>
    <w:rPr>
      <w:rFonts w:ascii="Arial" w:hAnsi="Arial" w:eastAsia="Times New Roman" w:cs="Arial"/>
      <w:b/>
      <w:bCs/>
      <w:iCs/>
      <w:sz w:val="30"/>
      <w:szCs w:val="28"/>
      <w:lang w:eastAsia="ru-RU"/>
    </w:rPr>
  </w:style>
  <w:style w:type="character" w:styleId="805" w:customStyle="1">
    <w:name w:val="Заголовок 3 Знак"/>
    <w:basedOn w:val="785"/>
    <w:link w:val="783"/>
    <w:rPr>
      <w:rFonts w:ascii="Arial" w:hAnsi="Arial" w:eastAsia="Times New Roman" w:cs="Arial"/>
      <w:b/>
      <w:bCs/>
      <w:sz w:val="28"/>
      <w:szCs w:val="26"/>
      <w:lang w:eastAsia="ru-RU"/>
    </w:rPr>
  </w:style>
  <w:style w:type="character" w:styleId="806" w:customStyle="1">
    <w:name w:val="Заголовок 4 Знак"/>
    <w:basedOn w:val="785"/>
    <w:link w:val="784"/>
    <w:rPr>
      <w:rFonts w:ascii="Arial" w:hAnsi="Arial" w:eastAsia="Times New Roman" w:cs="Times New Roman"/>
      <w:b/>
      <w:bCs/>
      <w:sz w:val="26"/>
      <w:szCs w:val="28"/>
      <w:lang w:eastAsia="ru-RU"/>
    </w:rPr>
  </w:style>
  <w:style w:type="numbering" w:styleId="807" w:customStyle="1">
    <w:name w:val="Нет списка2"/>
    <w:next w:val="787"/>
    <w:semiHidden/>
  </w:style>
  <w:style w:type="paragraph" w:styleId="808">
    <w:name w:val="Caption"/>
    <w:basedOn w:val="780"/>
    <w:next w:val="780"/>
    <w:uiPriority w:val="35"/>
    <w:qFormat/>
    <w:pPr>
      <w:ind w:firstLine="567"/>
      <w:jc w:val="both"/>
      <w:spacing w:after="0" w:line="240" w:lineRule="auto"/>
    </w:pPr>
    <w:rPr>
      <w:rFonts w:ascii="Arial" w:hAnsi="Arial" w:eastAsia="Times New Roman" w:cs="Times New Roman"/>
      <w:sz w:val="28"/>
      <w:szCs w:val="24"/>
      <w:lang w:eastAsia="ru-RU"/>
    </w:rPr>
  </w:style>
  <w:style w:type="paragraph" w:styleId="809" w:customStyle="1">
    <w:name w:val="- СТРАНИЦА -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10" w:customStyle="1">
    <w:name w:val="Сетка таблицы1"/>
    <w:basedOn w:val="786"/>
    <w:next w:val="79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1" w:customStyle="1">
    <w:name w:val="Автозамена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2" w:customStyle="1">
    <w:name w:val="Знак"/>
    <w:basedOn w:val="780"/>
    <w:pPr>
      <w:ind w:firstLine="567"/>
      <w:jc w:val="both"/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character" w:styleId="813" w:customStyle="1">
    <w:name w:val="Цветовое выделение"/>
    <w:uiPriority w:val="99"/>
    <w:rPr>
      <w:b/>
      <w:bCs/>
      <w:color w:val="000080"/>
    </w:rPr>
  </w:style>
  <w:style w:type="character" w:styleId="814" w:customStyle="1">
    <w:name w:val="Гипертекстовая ссылка"/>
    <w:uiPriority w:val="99"/>
    <w:rPr>
      <w:b/>
      <w:bCs/>
      <w:color w:val="008000"/>
    </w:rPr>
  </w:style>
  <w:style w:type="paragraph" w:styleId="815" w:customStyle="1">
    <w:name w:val="Нормальный (таблица)"/>
    <w:basedOn w:val="780"/>
    <w:next w:val="780"/>
    <w:uiPriority w:val="99"/>
    <w:pPr>
      <w:ind w:firstLine="567"/>
      <w:jc w:val="both"/>
      <w:spacing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816" w:customStyle="1">
    <w:name w:val="Прижатый влево"/>
    <w:basedOn w:val="780"/>
    <w:next w:val="780"/>
    <w:uiPriority w:val="99"/>
    <w:pPr>
      <w:ind w:firstLine="567"/>
      <w:jc w:val="both"/>
      <w:spacing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character" w:styleId="817">
    <w:name w:val="Hyperlink"/>
    <w:rPr>
      <w:color w:val="0000ff"/>
      <w:u w:val="none"/>
    </w:rPr>
  </w:style>
  <w:style w:type="paragraph" w:styleId="818" w:customStyle="1">
    <w:name w:val="ConsNormal"/>
    <w:pPr>
      <w:ind w:firstLine="72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819">
    <w:name w:val="Plain Text"/>
    <w:basedOn w:val="780"/>
    <w:link w:val="820"/>
    <w:uiPriority w:val="99"/>
    <w:pPr>
      <w:ind w:firstLine="567"/>
      <w:jc w:val="both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820" w:customStyle="1">
    <w:name w:val="Текст Знак"/>
    <w:basedOn w:val="785"/>
    <w:link w:val="819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821">
    <w:name w:val="Body Text 2"/>
    <w:basedOn w:val="780"/>
    <w:link w:val="822"/>
    <w:pPr>
      <w:ind w:firstLine="567"/>
      <w:jc w:val="both"/>
      <w:spacing w:after="120" w:line="480" w:lineRule="auto"/>
    </w:pPr>
    <w:rPr>
      <w:rFonts w:ascii="Arial" w:hAnsi="Arial" w:eastAsia="Times New Roman" w:cs="Times New Roman"/>
      <w:sz w:val="24"/>
      <w:szCs w:val="24"/>
      <w:lang w:eastAsia="ru-RU"/>
    </w:rPr>
  </w:style>
  <w:style w:type="character" w:styleId="822" w:customStyle="1">
    <w:name w:val="Основной текст 2 Знак"/>
    <w:basedOn w:val="785"/>
    <w:link w:val="821"/>
    <w:rPr>
      <w:rFonts w:ascii="Arial" w:hAnsi="Arial" w:eastAsia="Times New Roman" w:cs="Times New Roman"/>
      <w:sz w:val="24"/>
      <w:szCs w:val="24"/>
      <w:lang w:eastAsia="ru-RU"/>
    </w:rPr>
  </w:style>
  <w:style w:type="paragraph" w:styleId="823" w:customStyle="1">
    <w:name w:val="Заголовок статьи"/>
    <w:basedOn w:val="780"/>
    <w:next w:val="780"/>
    <w:uiPriority w:val="99"/>
    <w:pPr>
      <w:ind w:left="1612" w:hanging="892"/>
      <w:jc w:val="both"/>
      <w:spacing w:after="0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paragraph" w:styleId="824">
    <w:name w:val="List Paragraph"/>
    <w:basedOn w:val="780"/>
    <w:qFormat/>
    <w:pPr>
      <w:contextualSpacing/>
      <w:ind w:left="720" w:firstLine="567"/>
      <w:jc w:val="both"/>
    </w:pPr>
    <w:rPr>
      <w:rFonts w:ascii="Calibri" w:hAnsi="Calibri" w:eastAsia="Calibri" w:cs="Times New Roman"/>
    </w:rPr>
  </w:style>
  <w:style w:type="paragraph" w:styleId="825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26">
    <w:name w:val="Body Text"/>
    <w:basedOn w:val="780"/>
    <w:link w:val="827"/>
    <w:pPr>
      <w:ind w:firstLine="567"/>
      <w:jc w:val="both"/>
      <w:spacing w:after="120" w:line="240" w:lineRule="auto"/>
    </w:pPr>
    <w:rPr>
      <w:rFonts w:ascii="Arial" w:hAnsi="Arial" w:eastAsia="Times New Roman" w:cs="Times New Roman"/>
      <w:sz w:val="24"/>
      <w:szCs w:val="24"/>
      <w:lang w:eastAsia="ru-RU"/>
    </w:rPr>
  </w:style>
  <w:style w:type="character" w:styleId="827" w:customStyle="1">
    <w:name w:val="Основной текст Знак"/>
    <w:basedOn w:val="785"/>
    <w:link w:val="826"/>
    <w:rPr>
      <w:rFonts w:ascii="Arial" w:hAnsi="Arial" w:eastAsia="Times New Roman" w:cs="Times New Roman"/>
      <w:sz w:val="24"/>
      <w:szCs w:val="24"/>
      <w:lang w:eastAsia="ru-RU"/>
    </w:rPr>
  </w:style>
  <w:style w:type="character" w:styleId="828" w:customStyle="1">
    <w:name w:val="apple-converted-space"/>
    <w:basedOn w:val="785"/>
  </w:style>
  <w:style w:type="character" w:styleId="829">
    <w:name w:val="HTML Variable"/>
    <w:rPr>
      <w:rFonts w:ascii="Arial" w:hAnsi="Arial"/>
      <w:b w:val="0"/>
      <w:i w:val="0"/>
      <w:iCs/>
      <w:color w:val="0000ff"/>
      <w:sz w:val="24"/>
      <w:u w:val="none"/>
    </w:rPr>
  </w:style>
  <w:style w:type="paragraph" w:styleId="830">
    <w:name w:val="annotation text"/>
    <w:basedOn w:val="780"/>
    <w:link w:val="831"/>
    <w:pPr>
      <w:ind w:firstLine="567"/>
      <w:jc w:val="both"/>
      <w:spacing w:after="0" w:line="240" w:lineRule="auto"/>
    </w:pPr>
    <w:rPr>
      <w:rFonts w:ascii="Courier" w:hAnsi="Courier" w:eastAsia="Times New Roman" w:cs="Times New Roman"/>
      <w:szCs w:val="20"/>
      <w:lang w:eastAsia="ru-RU"/>
    </w:rPr>
  </w:style>
  <w:style w:type="character" w:styleId="831" w:customStyle="1">
    <w:name w:val="Текст примечания Знак"/>
    <w:basedOn w:val="785"/>
    <w:link w:val="830"/>
    <w:rPr>
      <w:rFonts w:ascii="Courier" w:hAnsi="Courier" w:eastAsia="Times New Roman" w:cs="Times New Roman"/>
      <w:szCs w:val="20"/>
      <w:lang w:eastAsia="ru-RU"/>
    </w:rPr>
  </w:style>
  <w:style w:type="paragraph" w:styleId="832" w:customStyle="1">
    <w:name w:val="Title!Название НПА"/>
    <w:basedOn w:val="780"/>
    <w:pPr>
      <w:ind w:firstLine="567"/>
      <w:jc w:val="center"/>
      <w:spacing w:before="240" w:after="60" w:line="240" w:lineRule="auto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833" w:customStyle="1">
    <w:name w:val="Application!Приложение"/>
    <w:pPr>
      <w:jc w:val="right"/>
      <w:spacing w:before="120" w:after="120" w:line="240" w:lineRule="auto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834" w:customStyle="1">
    <w:name w:val="Table!Таблица"/>
    <w:pPr>
      <w:spacing w:after="0" w:line="240" w:lineRule="auto"/>
    </w:pPr>
    <w:rPr>
      <w:rFonts w:ascii="Arial" w:hAnsi="Arial" w:eastAsia="Times New Roman" w:cs="Arial"/>
      <w:bCs/>
      <w:sz w:val="24"/>
      <w:szCs w:val="32"/>
      <w:lang w:eastAsia="ru-RU"/>
    </w:rPr>
  </w:style>
  <w:style w:type="paragraph" w:styleId="835" w:customStyle="1">
    <w:name w:val="Table!"/>
    <w:next w:val="834"/>
    <w:pPr>
      <w:jc w:val="center"/>
      <w:spacing w:after="0" w:line="240" w:lineRule="auto"/>
    </w:pPr>
    <w:rPr>
      <w:rFonts w:ascii="Arial" w:hAnsi="Arial" w:eastAsia="Times New Roman" w:cs="Arial"/>
      <w:b/>
      <w:bCs/>
      <w:sz w:val="24"/>
      <w:szCs w:val="32"/>
      <w:lang w:eastAsia="ru-RU"/>
    </w:rPr>
  </w:style>
  <w:style w:type="character" w:styleId="836">
    <w:name w:val="FollowedHyperlink"/>
    <w:rPr>
      <w:color w:val="800080"/>
      <w:u w:val="single"/>
    </w:rPr>
  </w:style>
  <w:style w:type="paragraph" w:styleId="837" w:customStyle="1">
    <w:name w:val=".FORMATTEXT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38" w:customStyle="1">
    <w:name w:val=".HEADERTEXT"/>
    <w:uiPriority w:val="99"/>
    <w:pPr>
      <w:spacing w:after="0" w:line="240" w:lineRule="auto"/>
      <w:widowControl w:val="off"/>
    </w:pPr>
    <w:rPr>
      <w:rFonts w:ascii="Arial" w:hAnsi="Arial" w:eastAsia="Times New Roman" w:cs="Arial"/>
      <w:color w:val="2b4279"/>
      <w:sz w:val="20"/>
      <w:szCs w:val="20"/>
      <w:lang w:eastAsia="ru-RU"/>
    </w:rPr>
  </w:style>
  <w:style w:type="paragraph" w:styleId="839">
    <w:name w:val="Normal (Web)"/>
    <w:basedOn w:val="78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0" w:customStyle="1">
    <w:name w:val="Без интервала Знак"/>
    <w:link w:val="798"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9348-666E-4EEF-A9E9-41DDDCAC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Дело Шаблон глава.dotx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created xsi:type="dcterms:W3CDTF">2018-12-25T05:31:00Z</dcterms:created>
  <dcterms:modified xsi:type="dcterms:W3CDTF">2023-03-24T12:31:56Z</dcterms:modified>
</cp:coreProperties>
</file>