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5C" w:rsidRPr="006559CA" w:rsidRDefault="006559CA" w:rsidP="006559CA">
      <w:pPr>
        <w:pStyle w:val="a5"/>
        <w:jc w:val="right"/>
        <w:rPr>
          <w:rFonts w:ascii="Times New Roman" w:hAnsi="Times New Roman"/>
          <w:color w:val="000000"/>
          <w:sz w:val="26"/>
          <w:szCs w:val="26"/>
        </w:rPr>
      </w:pPr>
      <w:r w:rsidRPr="006559CA">
        <w:rPr>
          <w:rFonts w:ascii="Times New Roman" w:hAnsi="Times New Roman"/>
          <w:noProof/>
          <w:color w:val="000000"/>
          <w:sz w:val="26"/>
          <w:szCs w:val="26"/>
        </w:rPr>
        <w:t>ПРОЕКТ</w: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w:t>
      </w:r>
      <w:r w:rsidR="00501D70">
        <w:rPr>
          <w:b/>
          <w:bCs/>
          <w:color w:val="000000"/>
          <w:sz w:val="28"/>
          <w:szCs w:val="28"/>
        </w:rPr>
        <w:t xml:space="preserve"> </w:t>
      </w:r>
      <w:r w:rsidRPr="00C22549">
        <w:rPr>
          <w:b/>
          <w:bCs/>
          <w:color w:val="000000"/>
          <w:sz w:val="28"/>
          <w:szCs w:val="28"/>
        </w:rPr>
        <w:t>образование</w:t>
      </w:r>
      <w:r w:rsidR="00501D70">
        <w:rPr>
          <w:b/>
          <w:bCs/>
          <w:color w:val="000000"/>
          <w:sz w:val="28"/>
          <w:szCs w:val="28"/>
        </w:rPr>
        <w:t xml:space="preserve"> </w:t>
      </w:r>
      <w:r w:rsidRPr="00C22549">
        <w:rPr>
          <w:b/>
          <w:bCs/>
          <w:color w:val="000000"/>
          <w:sz w:val="28"/>
          <w:szCs w:val="28"/>
        </w:rPr>
        <w:t>Кондинский</w:t>
      </w:r>
      <w:r w:rsidR="00501D70">
        <w:rPr>
          <w:b/>
          <w:bCs/>
          <w:color w:val="000000"/>
          <w:sz w:val="28"/>
          <w:szCs w:val="28"/>
        </w:rPr>
        <w:t xml:space="preserve"> </w:t>
      </w:r>
      <w:r w:rsidRPr="00C22549">
        <w:rPr>
          <w:b/>
          <w:bCs/>
          <w:color w:val="000000"/>
          <w:sz w:val="28"/>
          <w:szCs w:val="28"/>
        </w:rPr>
        <w:t>район</w:t>
      </w:r>
    </w:p>
    <w:p w:rsidR="001A685C" w:rsidRPr="009E1AEA" w:rsidRDefault="001A685C" w:rsidP="001A685C">
      <w:pPr>
        <w:jc w:val="center"/>
        <w:rPr>
          <w:b/>
        </w:rPr>
      </w:pPr>
      <w:r w:rsidRPr="00C22549">
        <w:rPr>
          <w:b/>
        </w:rPr>
        <w:t>Ханты-Мансийского</w:t>
      </w:r>
      <w:r w:rsidR="00501D70">
        <w:rPr>
          <w:b/>
        </w:rPr>
        <w:t xml:space="preserve"> </w:t>
      </w:r>
      <w:r w:rsidRPr="00C22549">
        <w:rPr>
          <w:b/>
        </w:rPr>
        <w:t>автономного</w:t>
      </w:r>
      <w:r w:rsidR="00501D70">
        <w:rPr>
          <w:b/>
        </w:rPr>
        <w:t xml:space="preserve"> </w:t>
      </w:r>
      <w:r w:rsidRPr="00C22549">
        <w:rPr>
          <w:b/>
        </w:rPr>
        <w:t>округа</w:t>
      </w:r>
      <w:r w:rsidR="00501D70">
        <w:rPr>
          <w:b/>
        </w:rPr>
        <w:t xml:space="preserve"> </w:t>
      </w:r>
      <w:r w:rsidR="007C3DCA">
        <w:rPr>
          <w:b/>
        </w:rPr>
        <w:t>–</w:t>
      </w:r>
      <w:r w:rsidR="00501D70">
        <w:rPr>
          <w:b/>
        </w:rPr>
        <w:t xml:space="preserve"> </w:t>
      </w:r>
      <w:r w:rsidRPr="00C22549">
        <w:rPr>
          <w:b/>
        </w:rPr>
        <w:t>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w:t>
      </w:r>
      <w:r w:rsidR="00501D70">
        <w:rPr>
          <w:rFonts w:ascii="Times New Roman" w:hAnsi="Times New Roman"/>
          <w:b/>
          <w:bCs/>
          <w:color w:val="000000"/>
          <w:szCs w:val="32"/>
        </w:rPr>
        <w:t xml:space="preserve"> </w:t>
      </w:r>
      <w:r w:rsidRPr="007C276D">
        <w:rPr>
          <w:rFonts w:ascii="Times New Roman" w:hAnsi="Times New Roman"/>
          <w:b/>
          <w:bCs/>
          <w:color w:val="000000"/>
          <w:szCs w:val="32"/>
        </w:rPr>
        <w:t>КОНДИНСКОГО</w:t>
      </w:r>
      <w:r w:rsidR="00501D70">
        <w:rPr>
          <w:rFonts w:ascii="Times New Roman" w:hAnsi="Times New Roman"/>
          <w:b/>
          <w:bCs/>
          <w:color w:val="000000"/>
          <w:szCs w:val="32"/>
        </w:rPr>
        <w:t xml:space="preserve"> </w:t>
      </w:r>
      <w:r w:rsidRPr="007C276D">
        <w:rPr>
          <w:rFonts w:ascii="Times New Roman" w:hAnsi="Times New Roman"/>
          <w:b/>
          <w:bCs/>
          <w:color w:val="000000"/>
          <w:szCs w:val="32"/>
        </w:rPr>
        <w:t>РАЙОНА</w:t>
      </w:r>
    </w:p>
    <w:p w:rsidR="001A685C" w:rsidRPr="003427D1" w:rsidRDefault="001A685C" w:rsidP="001A685C">
      <w:pPr>
        <w:rPr>
          <w:color w:val="000000"/>
          <w:sz w:val="26"/>
          <w:szCs w:val="26"/>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C558FB" w:rsidRDefault="001A685C" w:rsidP="001A685C">
      <w:pPr>
        <w:suppressAutoHyphens/>
        <w:jc w:val="center"/>
        <w:rPr>
          <w:sz w:val="28"/>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0"/>
        <w:gridCol w:w="3071"/>
        <w:gridCol w:w="2202"/>
        <w:gridCol w:w="1276"/>
      </w:tblGrid>
      <w:tr w:rsidR="00D63E9B" w:rsidRPr="00C558FB" w:rsidTr="009B3127">
        <w:tc>
          <w:tcPr>
            <w:tcW w:w="3340" w:type="dxa"/>
            <w:tcBorders>
              <w:top w:val="nil"/>
              <w:left w:val="nil"/>
              <w:bottom w:val="nil"/>
              <w:right w:val="nil"/>
            </w:tcBorders>
          </w:tcPr>
          <w:p w:rsidR="00D63E9B" w:rsidRPr="00C558FB" w:rsidRDefault="00D63E9B" w:rsidP="00B4432F">
            <w:pPr>
              <w:rPr>
                <w:sz w:val="28"/>
                <w:szCs w:val="28"/>
              </w:rPr>
            </w:pPr>
            <w:r w:rsidRPr="00C558FB">
              <w:rPr>
                <w:sz w:val="28"/>
                <w:szCs w:val="28"/>
              </w:rPr>
              <w:t>от</w:t>
            </w:r>
            <w:r w:rsidR="00501D70" w:rsidRPr="00C558FB">
              <w:rPr>
                <w:sz w:val="28"/>
                <w:szCs w:val="28"/>
              </w:rPr>
              <w:t xml:space="preserve"> </w:t>
            </w:r>
            <w:r w:rsidR="00B701F4">
              <w:rPr>
                <w:sz w:val="28"/>
                <w:szCs w:val="28"/>
              </w:rPr>
              <w:t>____</w:t>
            </w:r>
            <w:r w:rsidR="00501D70" w:rsidRPr="00C558FB">
              <w:rPr>
                <w:sz w:val="28"/>
                <w:szCs w:val="28"/>
              </w:rPr>
              <w:t xml:space="preserve"> </w:t>
            </w:r>
            <w:r w:rsidR="00B4432F">
              <w:rPr>
                <w:sz w:val="28"/>
                <w:szCs w:val="28"/>
              </w:rPr>
              <w:t>января</w:t>
            </w:r>
            <w:r w:rsidR="00B701F4">
              <w:rPr>
                <w:sz w:val="28"/>
                <w:szCs w:val="28"/>
              </w:rPr>
              <w:t xml:space="preserve"> </w:t>
            </w:r>
            <w:r w:rsidR="0026636E" w:rsidRPr="00C558FB">
              <w:rPr>
                <w:sz w:val="28"/>
                <w:szCs w:val="28"/>
              </w:rPr>
              <w:t>202</w:t>
            </w:r>
            <w:r w:rsidR="00B4432F">
              <w:rPr>
                <w:sz w:val="28"/>
                <w:szCs w:val="28"/>
              </w:rPr>
              <w:t>6</w:t>
            </w:r>
            <w:r w:rsidR="00501D70" w:rsidRPr="00C558FB">
              <w:rPr>
                <w:sz w:val="28"/>
                <w:szCs w:val="28"/>
              </w:rPr>
              <w:t xml:space="preserve"> </w:t>
            </w:r>
            <w:r w:rsidRPr="00C558FB">
              <w:rPr>
                <w:sz w:val="28"/>
                <w:szCs w:val="28"/>
              </w:rPr>
              <w:t>года</w:t>
            </w:r>
          </w:p>
        </w:tc>
        <w:tc>
          <w:tcPr>
            <w:tcW w:w="3071" w:type="dxa"/>
            <w:tcBorders>
              <w:top w:val="nil"/>
              <w:left w:val="nil"/>
              <w:bottom w:val="nil"/>
              <w:right w:val="nil"/>
            </w:tcBorders>
          </w:tcPr>
          <w:p w:rsidR="00D63E9B" w:rsidRPr="00C558FB" w:rsidRDefault="00D63E9B" w:rsidP="00F40CE7">
            <w:pPr>
              <w:jc w:val="center"/>
              <w:rPr>
                <w:sz w:val="28"/>
                <w:szCs w:val="28"/>
              </w:rPr>
            </w:pPr>
          </w:p>
        </w:tc>
        <w:tc>
          <w:tcPr>
            <w:tcW w:w="2202" w:type="dxa"/>
            <w:tcBorders>
              <w:top w:val="nil"/>
              <w:left w:val="nil"/>
              <w:bottom w:val="nil"/>
              <w:right w:val="nil"/>
            </w:tcBorders>
          </w:tcPr>
          <w:p w:rsidR="00D63E9B" w:rsidRPr="00C558FB" w:rsidRDefault="00D63E9B" w:rsidP="00F40CE7">
            <w:pPr>
              <w:jc w:val="right"/>
              <w:rPr>
                <w:sz w:val="28"/>
                <w:szCs w:val="28"/>
              </w:rPr>
            </w:pPr>
          </w:p>
        </w:tc>
        <w:tc>
          <w:tcPr>
            <w:tcW w:w="1276" w:type="dxa"/>
            <w:tcBorders>
              <w:top w:val="nil"/>
              <w:left w:val="nil"/>
              <w:bottom w:val="nil"/>
              <w:right w:val="nil"/>
            </w:tcBorders>
          </w:tcPr>
          <w:p w:rsidR="00524544" w:rsidRPr="00C558FB" w:rsidRDefault="00524544" w:rsidP="000F2778">
            <w:pPr>
              <w:jc w:val="right"/>
              <w:rPr>
                <w:sz w:val="28"/>
                <w:szCs w:val="28"/>
              </w:rPr>
            </w:pPr>
            <w:r>
              <w:rPr>
                <w:sz w:val="28"/>
                <w:szCs w:val="28"/>
              </w:rPr>
              <w:t>№ _____</w:t>
            </w:r>
          </w:p>
        </w:tc>
      </w:tr>
      <w:tr w:rsidR="001A685C" w:rsidRPr="00C558FB" w:rsidTr="00D624B3">
        <w:tc>
          <w:tcPr>
            <w:tcW w:w="3340" w:type="dxa"/>
            <w:tcBorders>
              <w:top w:val="nil"/>
              <w:left w:val="nil"/>
              <w:bottom w:val="nil"/>
              <w:right w:val="nil"/>
            </w:tcBorders>
          </w:tcPr>
          <w:p w:rsidR="001A685C" w:rsidRPr="00C558FB" w:rsidRDefault="001A685C" w:rsidP="00F40CE7">
            <w:pPr>
              <w:rPr>
                <w:sz w:val="28"/>
                <w:szCs w:val="28"/>
              </w:rPr>
            </w:pPr>
          </w:p>
        </w:tc>
        <w:tc>
          <w:tcPr>
            <w:tcW w:w="3071" w:type="dxa"/>
            <w:tcBorders>
              <w:top w:val="nil"/>
              <w:left w:val="nil"/>
              <w:bottom w:val="nil"/>
              <w:right w:val="nil"/>
            </w:tcBorders>
          </w:tcPr>
          <w:p w:rsidR="001A685C" w:rsidRPr="00C558FB" w:rsidRDefault="001A685C" w:rsidP="00F40CE7">
            <w:pPr>
              <w:jc w:val="center"/>
              <w:rPr>
                <w:sz w:val="28"/>
                <w:szCs w:val="28"/>
              </w:rPr>
            </w:pPr>
            <w:proofErr w:type="spellStart"/>
            <w:r w:rsidRPr="00C558FB">
              <w:rPr>
                <w:sz w:val="28"/>
                <w:szCs w:val="28"/>
              </w:rPr>
              <w:t>пгт</w:t>
            </w:r>
            <w:proofErr w:type="spellEnd"/>
            <w:r w:rsidRPr="00C558FB">
              <w:rPr>
                <w:sz w:val="28"/>
                <w:szCs w:val="28"/>
              </w:rPr>
              <w:t>.</w:t>
            </w:r>
            <w:r w:rsidR="00501D70" w:rsidRPr="00C558FB">
              <w:rPr>
                <w:sz w:val="28"/>
                <w:szCs w:val="28"/>
              </w:rPr>
              <w:t xml:space="preserve"> </w:t>
            </w:r>
            <w:r w:rsidRPr="00C558FB">
              <w:rPr>
                <w:sz w:val="28"/>
                <w:szCs w:val="28"/>
              </w:rPr>
              <w:t>Междуреченский</w:t>
            </w:r>
          </w:p>
        </w:tc>
        <w:tc>
          <w:tcPr>
            <w:tcW w:w="3478" w:type="dxa"/>
            <w:gridSpan w:val="2"/>
            <w:tcBorders>
              <w:top w:val="nil"/>
              <w:left w:val="nil"/>
              <w:bottom w:val="nil"/>
              <w:right w:val="nil"/>
            </w:tcBorders>
          </w:tcPr>
          <w:p w:rsidR="001A685C" w:rsidRPr="00C558FB" w:rsidRDefault="001A685C" w:rsidP="00F40CE7">
            <w:pPr>
              <w:jc w:val="right"/>
              <w:rPr>
                <w:sz w:val="28"/>
                <w:szCs w:val="28"/>
              </w:rPr>
            </w:pPr>
          </w:p>
        </w:tc>
      </w:tr>
    </w:tbl>
    <w:p w:rsidR="00717CB3" w:rsidRPr="00C558FB" w:rsidRDefault="00717CB3" w:rsidP="00F40CE7">
      <w:pPr>
        <w:shd w:val="clear" w:color="auto" w:fill="FFFFFF"/>
        <w:autoSpaceDE w:val="0"/>
        <w:autoSpaceDN w:val="0"/>
        <w:adjustRightInd w:val="0"/>
        <w:jc w:val="both"/>
        <w:rPr>
          <w:sz w:val="28"/>
          <w:szCs w:val="28"/>
        </w:rPr>
      </w:pPr>
    </w:p>
    <w:tbl>
      <w:tblPr>
        <w:tblW w:w="0" w:type="auto"/>
        <w:tblLook w:val="04A0"/>
      </w:tblPr>
      <w:tblGrid>
        <w:gridCol w:w="5920"/>
      </w:tblGrid>
      <w:tr w:rsidR="003E3AB0" w:rsidRPr="00C558FB" w:rsidTr="007F3E73">
        <w:tc>
          <w:tcPr>
            <w:tcW w:w="5920" w:type="dxa"/>
          </w:tcPr>
          <w:p w:rsidR="00B701F4" w:rsidRDefault="00B701F4" w:rsidP="00B701F4">
            <w:pPr>
              <w:shd w:val="clear" w:color="auto" w:fill="FFFFFF"/>
              <w:rPr>
                <w:sz w:val="28"/>
                <w:szCs w:val="28"/>
              </w:rPr>
            </w:pPr>
            <w:r>
              <w:rPr>
                <w:sz w:val="28"/>
                <w:szCs w:val="28"/>
              </w:rPr>
              <w:t xml:space="preserve">О внесении изменений в </w:t>
            </w:r>
            <w:r w:rsidR="00FF0350">
              <w:rPr>
                <w:sz w:val="28"/>
                <w:szCs w:val="28"/>
              </w:rPr>
              <w:t xml:space="preserve">постановление администрации Кондинского района </w:t>
            </w:r>
            <w:r>
              <w:rPr>
                <w:sz w:val="28"/>
                <w:szCs w:val="28"/>
              </w:rPr>
              <w:t>от 26 декабря 2024 года №</w:t>
            </w:r>
            <w:r w:rsidR="00FF0350">
              <w:rPr>
                <w:sz w:val="28"/>
                <w:szCs w:val="28"/>
              </w:rPr>
              <w:t xml:space="preserve"> </w:t>
            </w:r>
            <w:r>
              <w:rPr>
                <w:sz w:val="28"/>
                <w:szCs w:val="28"/>
              </w:rPr>
              <w:t>138</w:t>
            </w:r>
            <w:r w:rsidR="00524544">
              <w:rPr>
                <w:sz w:val="28"/>
                <w:szCs w:val="28"/>
              </w:rPr>
              <w:t>1</w:t>
            </w:r>
            <w:r>
              <w:rPr>
                <w:sz w:val="28"/>
                <w:szCs w:val="28"/>
              </w:rPr>
              <w:t xml:space="preserve"> </w:t>
            </w:r>
          </w:p>
          <w:p w:rsidR="00501D70" w:rsidRPr="00C558FB" w:rsidRDefault="00B701F4" w:rsidP="00B701F4">
            <w:pPr>
              <w:shd w:val="clear" w:color="auto" w:fill="FFFFFF"/>
              <w:rPr>
                <w:sz w:val="28"/>
                <w:szCs w:val="28"/>
              </w:rPr>
            </w:pPr>
            <w:r>
              <w:rPr>
                <w:sz w:val="28"/>
                <w:szCs w:val="28"/>
              </w:rPr>
              <w:t>«</w:t>
            </w:r>
            <w:r w:rsidR="00501D70" w:rsidRPr="00C558FB">
              <w:rPr>
                <w:sz w:val="28"/>
                <w:szCs w:val="28"/>
              </w:rPr>
              <w:t xml:space="preserve">О муниципальной программе Кондинского района </w:t>
            </w:r>
            <w:r w:rsidR="003675FA" w:rsidRPr="00C558FB">
              <w:rPr>
                <w:sz w:val="28"/>
                <w:szCs w:val="28"/>
              </w:rPr>
              <w:t>«</w:t>
            </w:r>
            <w:r w:rsidR="00524544">
              <w:rPr>
                <w:sz w:val="28"/>
                <w:szCs w:val="28"/>
              </w:rPr>
              <w:t>Развитие экономического потенциала</w:t>
            </w:r>
            <w:r w:rsidR="003675FA" w:rsidRPr="00C558FB">
              <w:rPr>
                <w:sz w:val="28"/>
                <w:szCs w:val="28"/>
              </w:rPr>
              <w:t>»</w:t>
            </w:r>
          </w:p>
        </w:tc>
      </w:tr>
    </w:tbl>
    <w:p w:rsidR="00885373" w:rsidRPr="00C558FB" w:rsidRDefault="00885373" w:rsidP="00501D70">
      <w:pPr>
        <w:autoSpaceDE w:val="0"/>
        <w:autoSpaceDN w:val="0"/>
        <w:adjustRightInd w:val="0"/>
        <w:ind w:firstLine="709"/>
        <w:jc w:val="both"/>
        <w:rPr>
          <w:sz w:val="28"/>
          <w:szCs w:val="28"/>
        </w:rPr>
      </w:pPr>
    </w:p>
    <w:p w:rsidR="00501D70" w:rsidRPr="004F2AC6" w:rsidRDefault="00501D70" w:rsidP="002F18BE">
      <w:pPr>
        <w:ind w:firstLine="709"/>
        <w:jc w:val="both"/>
        <w:rPr>
          <w:b/>
          <w:sz w:val="26"/>
          <w:szCs w:val="26"/>
        </w:rPr>
      </w:pPr>
      <w:proofErr w:type="gramStart"/>
      <w:r w:rsidRPr="00EC3D59">
        <w:rPr>
          <w:sz w:val="28"/>
          <w:szCs w:val="28"/>
        </w:rPr>
        <w:t xml:space="preserve">В соответствии </w:t>
      </w:r>
      <w:r w:rsidRPr="00EC3D59">
        <w:rPr>
          <w:rFonts w:cs="Arial"/>
          <w:sz w:val="28"/>
          <w:szCs w:val="28"/>
        </w:rPr>
        <w:t xml:space="preserve">со статьей 179 </w:t>
      </w:r>
      <w:hyperlink r:id="rId7" w:tooltip="ФЕДЕРАЛЬНЫЙ ЗАКОН от 31.07.1998 № 145-ФЗ&#10;ГОСУДАРСТВЕННАЯ ДУМА ФЕДЕРАЛЬНОГО СОБРАНИЯ РФ&#10;&#10;БЮДЖЕТНЫЙ КОДЕКС РОССИЙСКОЙ ФЕДЕРАЦИИ" w:history="1">
        <w:r w:rsidRPr="00EC3D59">
          <w:rPr>
            <w:rStyle w:val="af3"/>
            <w:rFonts w:cs="Arial"/>
            <w:color w:val="auto"/>
            <w:sz w:val="28"/>
            <w:szCs w:val="28"/>
            <w:u w:val="none"/>
          </w:rPr>
          <w:t>Бюджетного кодекса Российской Федерации</w:t>
        </w:r>
      </w:hyperlink>
      <w:r w:rsidRPr="00EC3D59">
        <w:rPr>
          <w:rFonts w:cs="Arial"/>
          <w:sz w:val="28"/>
          <w:szCs w:val="28"/>
        </w:rPr>
        <w:t>,</w:t>
      </w:r>
      <w:r w:rsidRPr="00EC3D59">
        <w:rPr>
          <w:sz w:val="28"/>
          <w:szCs w:val="28"/>
        </w:rPr>
        <w:t xml:space="preserve"> </w:t>
      </w:r>
      <w:r w:rsidR="00C558FB" w:rsidRPr="00EC3D59">
        <w:rPr>
          <w:sz w:val="28"/>
          <w:szCs w:val="28"/>
        </w:rPr>
        <w:t>У</w:t>
      </w:r>
      <w:r w:rsidR="00A17FBB" w:rsidRPr="00EC3D59">
        <w:rPr>
          <w:sz w:val="28"/>
          <w:szCs w:val="28"/>
        </w:rPr>
        <w:t>каз</w:t>
      </w:r>
      <w:r w:rsidR="00C558FB" w:rsidRPr="00EC3D59">
        <w:rPr>
          <w:sz w:val="28"/>
          <w:szCs w:val="28"/>
        </w:rPr>
        <w:t>ом</w:t>
      </w:r>
      <w:r w:rsidR="00A17FBB" w:rsidRPr="00EC3D59">
        <w:rPr>
          <w:sz w:val="28"/>
          <w:szCs w:val="28"/>
        </w:rPr>
        <w:t xml:space="preserve"> Президента Российской Федерации от 07 мая 2024 года</w:t>
      </w:r>
      <w:r w:rsidR="004F2AC6">
        <w:rPr>
          <w:sz w:val="28"/>
          <w:szCs w:val="28"/>
        </w:rPr>
        <w:t xml:space="preserve"> </w:t>
      </w:r>
      <w:r w:rsidR="00A17FBB" w:rsidRPr="00EC3D59">
        <w:rPr>
          <w:sz w:val="28"/>
          <w:szCs w:val="28"/>
        </w:rPr>
        <w:t xml:space="preserve">№ 309 «О национальных целях развития Российской Федерации на период </w:t>
      </w:r>
      <w:r w:rsidR="004F2AC6">
        <w:rPr>
          <w:sz w:val="28"/>
          <w:szCs w:val="28"/>
        </w:rPr>
        <w:t xml:space="preserve"> </w:t>
      </w:r>
      <w:r w:rsidR="00A17FBB" w:rsidRPr="00EC3D59">
        <w:rPr>
          <w:sz w:val="28"/>
          <w:szCs w:val="28"/>
        </w:rPr>
        <w:t>до 2030 года и на перспективу до 2036 года»</w:t>
      </w:r>
      <w:r w:rsidRPr="00EC3D59">
        <w:rPr>
          <w:rFonts w:cs="Arial"/>
          <w:sz w:val="28"/>
          <w:szCs w:val="28"/>
        </w:rPr>
        <w:t>,</w:t>
      </w:r>
      <w:r w:rsidR="00A17FBB" w:rsidRPr="00EC3D59">
        <w:rPr>
          <w:rFonts w:cs="Arial"/>
          <w:sz w:val="28"/>
          <w:szCs w:val="28"/>
        </w:rPr>
        <w:t xml:space="preserve"> руководствуясь</w:t>
      </w:r>
      <w:r w:rsidRPr="00EC3D59">
        <w:rPr>
          <w:rFonts w:cs="Arial"/>
          <w:sz w:val="28"/>
          <w:szCs w:val="28"/>
        </w:rPr>
        <w:t xml:space="preserve"> </w:t>
      </w:r>
      <w:r w:rsidR="004F2AC6" w:rsidRPr="006B5735">
        <w:rPr>
          <w:rFonts w:cs="Arial"/>
          <w:sz w:val="28"/>
          <w:szCs w:val="28"/>
        </w:rPr>
        <w:t xml:space="preserve">решением Думы Кондинского </w:t>
      </w:r>
      <w:r w:rsidR="004F2AC6" w:rsidRPr="006B5735">
        <w:rPr>
          <w:sz w:val="28"/>
          <w:szCs w:val="28"/>
        </w:rPr>
        <w:t>района от 25 декабря 2024 года № 1212 «О бюджете муниципального образования Кондинский район на 2025 год и на плановый период</w:t>
      </w:r>
      <w:proofErr w:type="gramEnd"/>
      <w:r w:rsidR="004F2AC6" w:rsidRPr="006B5735">
        <w:rPr>
          <w:sz w:val="28"/>
          <w:szCs w:val="28"/>
        </w:rPr>
        <w:t xml:space="preserve"> </w:t>
      </w:r>
      <w:proofErr w:type="gramStart"/>
      <w:r w:rsidR="004F2AC6" w:rsidRPr="006B5735">
        <w:rPr>
          <w:sz w:val="28"/>
          <w:szCs w:val="28"/>
        </w:rPr>
        <w:t>2026 и 2027 годов»,</w:t>
      </w:r>
      <w:r w:rsidR="004F2AC6" w:rsidRPr="004F2AC6">
        <w:rPr>
          <w:sz w:val="28"/>
          <w:szCs w:val="28"/>
        </w:rPr>
        <w:t xml:space="preserve"> </w:t>
      </w:r>
      <w:r w:rsidR="005E43CD" w:rsidRPr="006B5735">
        <w:rPr>
          <w:rFonts w:cs="Arial"/>
          <w:sz w:val="28"/>
          <w:szCs w:val="28"/>
        </w:rPr>
        <w:t xml:space="preserve">решением Думы Кондинского </w:t>
      </w:r>
      <w:r w:rsidR="005E43CD" w:rsidRPr="006B5735">
        <w:rPr>
          <w:sz w:val="28"/>
          <w:szCs w:val="28"/>
        </w:rPr>
        <w:t>района от 25 декабря 202</w:t>
      </w:r>
      <w:r w:rsidR="005E43CD">
        <w:rPr>
          <w:sz w:val="28"/>
          <w:szCs w:val="28"/>
        </w:rPr>
        <w:t>5</w:t>
      </w:r>
      <w:r w:rsidR="005E43CD" w:rsidRPr="006B5735">
        <w:rPr>
          <w:sz w:val="28"/>
          <w:szCs w:val="28"/>
        </w:rPr>
        <w:t xml:space="preserve"> года № 1</w:t>
      </w:r>
      <w:r w:rsidR="005E43CD">
        <w:rPr>
          <w:sz w:val="28"/>
          <w:szCs w:val="28"/>
        </w:rPr>
        <w:t>320</w:t>
      </w:r>
      <w:r w:rsidR="005E43CD" w:rsidRPr="006B5735">
        <w:rPr>
          <w:sz w:val="28"/>
          <w:szCs w:val="28"/>
        </w:rPr>
        <w:t xml:space="preserve"> «О бюджете муниципального образования Кондинский район на 202</w:t>
      </w:r>
      <w:r w:rsidR="005E43CD">
        <w:rPr>
          <w:sz w:val="28"/>
          <w:szCs w:val="28"/>
        </w:rPr>
        <w:t>6</w:t>
      </w:r>
      <w:r w:rsidR="005E43CD" w:rsidRPr="006B5735">
        <w:rPr>
          <w:sz w:val="28"/>
          <w:szCs w:val="28"/>
        </w:rPr>
        <w:t xml:space="preserve"> год и на плановый период 202</w:t>
      </w:r>
      <w:r w:rsidR="005E43CD">
        <w:rPr>
          <w:sz w:val="28"/>
          <w:szCs w:val="28"/>
        </w:rPr>
        <w:t>7</w:t>
      </w:r>
      <w:r w:rsidR="005E43CD" w:rsidRPr="006B5735">
        <w:rPr>
          <w:sz w:val="28"/>
          <w:szCs w:val="28"/>
        </w:rPr>
        <w:t xml:space="preserve"> и 202</w:t>
      </w:r>
      <w:r w:rsidR="005E43CD">
        <w:rPr>
          <w:sz w:val="28"/>
          <w:szCs w:val="28"/>
        </w:rPr>
        <w:t xml:space="preserve">8 </w:t>
      </w:r>
      <w:r w:rsidR="005E43CD" w:rsidRPr="006B5735">
        <w:rPr>
          <w:sz w:val="28"/>
          <w:szCs w:val="28"/>
        </w:rPr>
        <w:t>годов»</w:t>
      </w:r>
      <w:r w:rsidR="005E43CD">
        <w:rPr>
          <w:sz w:val="28"/>
          <w:szCs w:val="28"/>
        </w:rPr>
        <w:t xml:space="preserve">, </w:t>
      </w:r>
      <w:r w:rsidRPr="004F2AC6">
        <w:rPr>
          <w:sz w:val="28"/>
          <w:szCs w:val="28"/>
        </w:rPr>
        <w:t>постановлени</w:t>
      </w:r>
      <w:r w:rsidR="00A17FBB" w:rsidRPr="004F2AC6">
        <w:rPr>
          <w:sz w:val="28"/>
          <w:szCs w:val="28"/>
        </w:rPr>
        <w:t>ями</w:t>
      </w:r>
      <w:r w:rsidRPr="00EC3D59">
        <w:rPr>
          <w:rFonts w:cs="Arial"/>
          <w:sz w:val="28"/>
          <w:szCs w:val="28"/>
        </w:rPr>
        <w:t xml:space="preserve"> администрации Кондинского района </w:t>
      </w:r>
      <w:r w:rsidR="00A17FBB" w:rsidRPr="00EC3D59">
        <w:rPr>
          <w:sz w:val="28"/>
          <w:szCs w:val="28"/>
        </w:rPr>
        <w:t>от 29 августа 2022 года № 2010</w:t>
      </w:r>
      <w:r w:rsidR="004F2AC6">
        <w:rPr>
          <w:sz w:val="28"/>
          <w:szCs w:val="28"/>
        </w:rPr>
        <w:t xml:space="preserve"> </w:t>
      </w:r>
      <w:r w:rsidR="00A17FBB" w:rsidRPr="00EC3D59">
        <w:rPr>
          <w:sz w:val="28"/>
          <w:szCs w:val="28"/>
        </w:rPr>
        <w:t xml:space="preserve">«О порядке разработки и реализации муниципальных программ Кондинского района», </w:t>
      </w:r>
      <w:r w:rsidR="00A17FBB" w:rsidRPr="00EC3D59">
        <w:rPr>
          <w:rFonts w:cs="Arial"/>
          <w:sz w:val="28"/>
          <w:szCs w:val="28"/>
        </w:rPr>
        <w:t>распоряжением администрации Кондинского района</w:t>
      </w:r>
      <w:r w:rsidR="00B701F4" w:rsidRPr="00EC3D59">
        <w:rPr>
          <w:rFonts w:cs="Arial"/>
          <w:sz w:val="28"/>
          <w:szCs w:val="28"/>
        </w:rPr>
        <w:t xml:space="preserve"> </w:t>
      </w:r>
      <w:r w:rsidR="00A17FBB" w:rsidRPr="00EC3D59">
        <w:rPr>
          <w:color w:val="000000"/>
          <w:sz w:val="28"/>
          <w:szCs w:val="28"/>
        </w:rPr>
        <w:t>от 17 октября 2024 года № 663-р</w:t>
      </w:r>
      <w:proofErr w:type="gramEnd"/>
      <w:r w:rsidR="00A17FBB" w:rsidRPr="00EC3D59">
        <w:rPr>
          <w:color w:val="000000"/>
          <w:sz w:val="28"/>
          <w:szCs w:val="28"/>
        </w:rPr>
        <w:t xml:space="preserve"> </w:t>
      </w:r>
      <w:r w:rsidR="00CA3A10" w:rsidRPr="00EC3D59">
        <w:rPr>
          <w:color w:val="000000"/>
          <w:sz w:val="28"/>
          <w:szCs w:val="28"/>
        </w:rPr>
        <w:t>«</w:t>
      </w:r>
      <w:r w:rsidR="00A17FBB" w:rsidRPr="00EC3D59">
        <w:rPr>
          <w:rFonts w:eastAsia="Calibri"/>
          <w:sz w:val="28"/>
          <w:szCs w:val="28"/>
          <w:lang w:eastAsia="en-US"/>
        </w:rPr>
        <w:t>Об утверждении Методических рекомендаций по разработке проектов муниципальных программ Кондинского района</w:t>
      </w:r>
      <w:r w:rsidR="00B701F4" w:rsidRPr="00EC3D59">
        <w:rPr>
          <w:rFonts w:eastAsia="Calibri"/>
          <w:sz w:val="28"/>
          <w:szCs w:val="28"/>
          <w:lang w:eastAsia="en-US"/>
        </w:rPr>
        <w:t xml:space="preserve"> </w:t>
      </w:r>
      <w:r w:rsidRPr="00EC3D59">
        <w:rPr>
          <w:b/>
          <w:sz w:val="28"/>
          <w:szCs w:val="28"/>
        </w:rPr>
        <w:t>администрация Кондинского района постановляет:</w:t>
      </w:r>
      <w:r w:rsidRPr="00EC3D59">
        <w:rPr>
          <w:b/>
          <w:spacing w:val="20"/>
          <w:sz w:val="28"/>
          <w:szCs w:val="28"/>
        </w:rPr>
        <w:t xml:space="preserve"> </w:t>
      </w:r>
    </w:p>
    <w:p w:rsidR="002F18BE" w:rsidRDefault="002F18BE" w:rsidP="002F18BE">
      <w:pPr>
        <w:shd w:val="clear" w:color="auto" w:fill="FFFFFF"/>
        <w:autoSpaceDE w:val="0"/>
        <w:autoSpaceDN w:val="0"/>
        <w:adjustRightInd w:val="0"/>
        <w:ind w:firstLine="709"/>
        <w:jc w:val="both"/>
        <w:rPr>
          <w:sz w:val="28"/>
          <w:szCs w:val="28"/>
        </w:rPr>
      </w:pPr>
      <w:r w:rsidRPr="00EC3D59">
        <w:rPr>
          <w:sz w:val="28"/>
          <w:szCs w:val="28"/>
        </w:rPr>
        <w:t>1. Внести в постановлени</w:t>
      </w:r>
      <w:r>
        <w:rPr>
          <w:sz w:val="28"/>
          <w:szCs w:val="28"/>
        </w:rPr>
        <w:t>е</w:t>
      </w:r>
      <w:r w:rsidRPr="00EC3D59">
        <w:rPr>
          <w:sz w:val="28"/>
          <w:szCs w:val="28"/>
        </w:rPr>
        <w:t xml:space="preserve"> администрации Кондинского района от 26 декабря 2024 года № 138</w:t>
      </w:r>
      <w:r>
        <w:rPr>
          <w:sz w:val="28"/>
          <w:szCs w:val="28"/>
        </w:rPr>
        <w:t>1</w:t>
      </w:r>
      <w:r w:rsidRPr="00EC3D59">
        <w:rPr>
          <w:sz w:val="28"/>
          <w:szCs w:val="28"/>
        </w:rPr>
        <w:t xml:space="preserve"> «О муниципальной программе Кондинского района «Развитие </w:t>
      </w:r>
      <w:r>
        <w:rPr>
          <w:sz w:val="28"/>
          <w:szCs w:val="28"/>
        </w:rPr>
        <w:t>экономического</w:t>
      </w:r>
      <w:r w:rsidRPr="00EC3D59">
        <w:rPr>
          <w:sz w:val="28"/>
          <w:szCs w:val="28"/>
        </w:rPr>
        <w:t xml:space="preserve"> </w:t>
      </w:r>
      <w:r>
        <w:rPr>
          <w:sz w:val="28"/>
          <w:szCs w:val="28"/>
        </w:rPr>
        <w:t>потенциала</w:t>
      </w:r>
      <w:r w:rsidRPr="00EC3D59">
        <w:rPr>
          <w:sz w:val="28"/>
          <w:szCs w:val="28"/>
        </w:rPr>
        <w:t>» следующие изменения:</w:t>
      </w:r>
    </w:p>
    <w:p w:rsidR="002F18BE" w:rsidRDefault="002F18BE" w:rsidP="002F18BE">
      <w:pPr>
        <w:ind w:firstLine="709"/>
        <w:jc w:val="both"/>
        <w:rPr>
          <w:sz w:val="26"/>
          <w:szCs w:val="26"/>
        </w:rPr>
      </w:pPr>
      <w:r w:rsidRPr="00613047">
        <w:rPr>
          <w:sz w:val="26"/>
          <w:szCs w:val="26"/>
        </w:rPr>
        <w:t>В приложении к постановлению:</w:t>
      </w:r>
    </w:p>
    <w:p w:rsidR="002F18BE" w:rsidRPr="003B27F8" w:rsidRDefault="002F18BE" w:rsidP="002F18BE">
      <w:pPr>
        <w:shd w:val="clear" w:color="auto" w:fill="FFFFFF"/>
        <w:autoSpaceDE w:val="0"/>
        <w:autoSpaceDN w:val="0"/>
        <w:adjustRightInd w:val="0"/>
        <w:ind w:firstLine="709"/>
        <w:jc w:val="both"/>
        <w:rPr>
          <w:sz w:val="28"/>
          <w:szCs w:val="28"/>
        </w:rPr>
      </w:pPr>
      <w:r>
        <w:rPr>
          <w:sz w:val="28"/>
          <w:szCs w:val="28"/>
        </w:rPr>
        <w:t xml:space="preserve">1.1. </w:t>
      </w:r>
      <w:r w:rsidRPr="003B27F8">
        <w:rPr>
          <w:sz w:val="28"/>
          <w:szCs w:val="28"/>
        </w:rPr>
        <w:t xml:space="preserve">В </w:t>
      </w:r>
      <w:r>
        <w:rPr>
          <w:sz w:val="28"/>
          <w:szCs w:val="28"/>
        </w:rPr>
        <w:t>с</w:t>
      </w:r>
      <w:r w:rsidRPr="003B27F8">
        <w:rPr>
          <w:sz w:val="28"/>
          <w:szCs w:val="28"/>
        </w:rPr>
        <w:t xml:space="preserve">троке </w:t>
      </w:r>
      <w:r w:rsidRPr="003B27F8">
        <w:rPr>
          <w:sz w:val="28"/>
          <w:szCs w:val="28"/>
          <w:lang w:eastAsia="en-US"/>
        </w:rPr>
        <w:t>объемы финансового обеспечения за весь период реализации цифру «</w:t>
      </w:r>
      <w:r>
        <w:rPr>
          <w:sz w:val="28"/>
          <w:szCs w:val="28"/>
          <w:lang w:eastAsia="en-US"/>
        </w:rPr>
        <w:t>5</w:t>
      </w:r>
      <w:r w:rsidR="00F474A0" w:rsidRPr="00F474A0">
        <w:rPr>
          <w:sz w:val="28"/>
          <w:szCs w:val="28"/>
          <w:lang w:eastAsia="en-US"/>
        </w:rPr>
        <w:t>86</w:t>
      </w:r>
      <w:r w:rsidRPr="003B27F8">
        <w:rPr>
          <w:sz w:val="28"/>
          <w:szCs w:val="28"/>
          <w:lang w:eastAsia="en-US"/>
        </w:rPr>
        <w:t xml:space="preserve"> </w:t>
      </w:r>
      <w:r w:rsidR="00F474A0" w:rsidRPr="00F474A0">
        <w:rPr>
          <w:sz w:val="28"/>
          <w:szCs w:val="28"/>
          <w:lang w:eastAsia="en-US"/>
        </w:rPr>
        <w:t>876</w:t>
      </w:r>
      <w:r w:rsidRPr="003B27F8">
        <w:rPr>
          <w:sz w:val="28"/>
          <w:szCs w:val="28"/>
          <w:lang w:eastAsia="en-US"/>
        </w:rPr>
        <w:t>,</w:t>
      </w:r>
      <w:r w:rsidR="00F474A0" w:rsidRPr="00F474A0">
        <w:rPr>
          <w:sz w:val="28"/>
          <w:szCs w:val="28"/>
          <w:lang w:eastAsia="en-US"/>
        </w:rPr>
        <w:t>7</w:t>
      </w:r>
      <w:r w:rsidRPr="003B27F8">
        <w:rPr>
          <w:sz w:val="28"/>
          <w:szCs w:val="28"/>
          <w:lang w:eastAsia="en-US"/>
        </w:rPr>
        <w:t>» заменить на «</w:t>
      </w:r>
      <w:r w:rsidR="005E43CD">
        <w:rPr>
          <w:sz w:val="28"/>
          <w:szCs w:val="28"/>
          <w:lang w:eastAsia="en-US"/>
        </w:rPr>
        <w:t>448</w:t>
      </w:r>
      <w:r w:rsidRPr="003B27F8">
        <w:rPr>
          <w:color w:val="000000"/>
          <w:sz w:val="28"/>
          <w:szCs w:val="28"/>
          <w:lang w:eastAsia="en-US"/>
        </w:rPr>
        <w:t> </w:t>
      </w:r>
      <w:r w:rsidR="005E43CD">
        <w:rPr>
          <w:color w:val="000000"/>
          <w:sz w:val="28"/>
          <w:szCs w:val="28"/>
          <w:lang w:eastAsia="en-US"/>
        </w:rPr>
        <w:t>411</w:t>
      </w:r>
      <w:r w:rsidRPr="003B27F8">
        <w:rPr>
          <w:color w:val="000000"/>
          <w:sz w:val="28"/>
          <w:szCs w:val="28"/>
          <w:lang w:eastAsia="en-US"/>
        </w:rPr>
        <w:t>,</w:t>
      </w:r>
      <w:r w:rsidR="00F474A0" w:rsidRPr="00F474A0">
        <w:rPr>
          <w:color w:val="000000"/>
          <w:sz w:val="28"/>
          <w:szCs w:val="28"/>
          <w:lang w:eastAsia="en-US"/>
        </w:rPr>
        <w:t>9</w:t>
      </w:r>
      <w:r w:rsidRPr="003B27F8">
        <w:rPr>
          <w:color w:val="000000"/>
          <w:sz w:val="28"/>
          <w:szCs w:val="28"/>
          <w:lang w:eastAsia="en-US"/>
        </w:rPr>
        <w:t>»</w:t>
      </w:r>
      <w:r>
        <w:rPr>
          <w:color w:val="000000"/>
          <w:sz w:val="28"/>
          <w:szCs w:val="28"/>
          <w:lang w:eastAsia="en-US"/>
        </w:rPr>
        <w:t xml:space="preserve">; </w:t>
      </w:r>
    </w:p>
    <w:p w:rsidR="002F18BE" w:rsidRPr="00EC3D59" w:rsidRDefault="002F18BE" w:rsidP="002F18BE">
      <w:pPr>
        <w:shd w:val="clear" w:color="auto" w:fill="FFFFFF"/>
        <w:autoSpaceDE w:val="0"/>
        <w:autoSpaceDN w:val="0"/>
        <w:adjustRightInd w:val="0"/>
        <w:ind w:firstLine="709"/>
        <w:jc w:val="both"/>
        <w:rPr>
          <w:sz w:val="28"/>
          <w:szCs w:val="28"/>
        </w:rPr>
      </w:pPr>
      <w:r>
        <w:rPr>
          <w:sz w:val="28"/>
          <w:szCs w:val="28"/>
        </w:rPr>
        <w:t xml:space="preserve">1.2. </w:t>
      </w:r>
      <w:r w:rsidRPr="00EC3D59">
        <w:rPr>
          <w:sz w:val="28"/>
          <w:szCs w:val="28"/>
        </w:rPr>
        <w:t>Раздел 4. «Финансовое обеспечение муниципальной программы» изложить в новой редакции (приложение).</w:t>
      </w:r>
    </w:p>
    <w:p w:rsidR="002F18BE" w:rsidRPr="00EC3D59" w:rsidRDefault="002F18BE" w:rsidP="002F18BE">
      <w:pPr>
        <w:widowControl w:val="0"/>
        <w:autoSpaceDE w:val="0"/>
        <w:autoSpaceDN w:val="0"/>
        <w:adjustRightInd w:val="0"/>
        <w:ind w:right="-1" w:firstLine="709"/>
        <w:jc w:val="both"/>
        <w:rPr>
          <w:sz w:val="28"/>
          <w:szCs w:val="28"/>
        </w:rPr>
      </w:pPr>
      <w:r w:rsidRPr="00EC3D59">
        <w:rPr>
          <w:sz w:val="28"/>
          <w:szCs w:val="28"/>
        </w:rPr>
        <w:t xml:space="preserve">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2F18BE" w:rsidRPr="005E43CD" w:rsidRDefault="002F18BE" w:rsidP="002F18BE">
      <w:pPr>
        <w:shd w:val="clear" w:color="auto" w:fill="FFFFFF"/>
        <w:autoSpaceDE w:val="0"/>
        <w:autoSpaceDN w:val="0"/>
        <w:adjustRightInd w:val="0"/>
        <w:ind w:firstLine="709"/>
        <w:jc w:val="both"/>
        <w:rPr>
          <w:sz w:val="28"/>
          <w:szCs w:val="28"/>
        </w:rPr>
      </w:pPr>
      <w:r w:rsidRPr="00EC3D59">
        <w:rPr>
          <w:sz w:val="28"/>
          <w:szCs w:val="28"/>
        </w:rPr>
        <w:lastRenderedPageBreak/>
        <w:t>3. Постановление вступает в силу после его обнародования.</w:t>
      </w:r>
    </w:p>
    <w:p w:rsidR="00F474A0" w:rsidRDefault="00F474A0" w:rsidP="002F18BE">
      <w:pPr>
        <w:shd w:val="clear" w:color="auto" w:fill="FFFFFF"/>
        <w:autoSpaceDE w:val="0"/>
        <w:autoSpaceDN w:val="0"/>
        <w:adjustRightInd w:val="0"/>
        <w:ind w:firstLine="709"/>
        <w:jc w:val="both"/>
        <w:rPr>
          <w:sz w:val="28"/>
          <w:szCs w:val="28"/>
        </w:rPr>
      </w:pPr>
    </w:p>
    <w:p w:rsidR="005E43CD" w:rsidRDefault="005E43CD" w:rsidP="002F18BE">
      <w:pPr>
        <w:shd w:val="clear" w:color="auto" w:fill="FFFFFF"/>
        <w:autoSpaceDE w:val="0"/>
        <w:autoSpaceDN w:val="0"/>
        <w:adjustRightInd w:val="0"/>
        <w:ind w:firstLine="709"/>
        <w:jc w:val="both"/>
        <w:rPr>
          <w:sz w:val="28"/>
          <w:szCs w:val="28"/>
        </w:rPr>
      </w:pPr>
    </w:p>
    <w:p w:rsidR="005E43CD" w:rsidRDefault="005E43CD" w:rsidP="002F18BE">
      <w:pPr>
        <w:shd w:val="clear" w:color="auto" w:fill="FFFFFF"/>
        <w:autoSpaceDE w:val="0"/>
        <w:autoSpaceDN w:val="0"/>
        <w:adjustRightInd w:val="0"/>
        <w:ind w:firstLine="709"/>
        <w:jc w:val="both"/>
        <w:rPr>
          <w:sz w:val="28"/>
          <w:szCs w:val="28"/>
        </w:rPr>
      </w:pPr>
    </w:p>
    <w:p w:rsidR="005E43CD" w:rsidRPr="005E43CD" w:rsidRDefault="005E43CD" w:rsidP="002F18BE">
      <w:pPr>
        <w:shd w:val="clear" w:color="auto" w:fill="FFFFFF"/>
        <w:autoSpaceDE w:val="0"/>
        <w:autoSpaceDN w:val="0"/>
        <w:adjustRightInd w:val="0"/>
        <w:ind w:firstLine="709"/>
        <w:jc w:val="both"/>
        <w:rPr>
          <w:sz w:val="28"/>
          <w:szCs w:val="28"/>
        </w:rPr>
      </w:pPr>
    </w:p>
    <w:tbl>
      <w:tblPr>
        <w:tblW w:w="0" w:type="auto"/>
        <w:tblLook w:val="01E0"/>
      </w:tblPr>
      <w:tblGrid>
        <w:gridCol w:w="4656"/>
        <w:gridCol w:w="1861"/>
        <w:gridCol w:w="3339"/>
      </w:tblGrid>
      <w:tr w:rsidR="00424B28" w:rsidRPr="00C558FB" w:rsidTr="00F474A0">
        <w:tc>
          <w:tcPr>
            <w:tcW w:w="4656" w:type="dxa"/>
          </w:tcPr>
          <w:p w:rsidR="00424B28" w:rsidRPr="00C558FB" w:rsidRDefault="009362FE" w:rsidP="004221F7">
            <w:pPr>
              <w:jc w:val="both"/>
              <w:rPr>
                <w:sz w:val="28"/>
                <w:szCs w:val="28"/>
              </w:rPr>
            </w:pPr>
            <w:r w:rsidRPr="00C558FB">
              <w:rPr>
                <w:sz w:val="28"/>
                <w:szCs w:val="28"/>
              </w:rPr>
              <w:t>Глава</w:t>
            </w:r>
            <w:r w:rsidR="00501D70" w:rsidRPr="00C558FB">
              <w:rPr>
                <w:sz w:val="28"/>
                <w:szCs w:val="28"/>
              </w:rPr>
              <w:t xml:space="preserve"> </w:t>
            </w:r>
            <w:r w:rsidR="00424B28" w:rsidRPr="00C558FB">
              <w:rPr>
                <w:sz w:val="28"/>
                <w:szCs w:val="28"/>
              </w:rPr>
              <w:t>района</w:t>
            </w:r>
          </w:p>
        </w:tc>
        <w:tc>
          <w:tcPr>
            <w:tcW w:w="1861" w:type="dxa"/>
          </w:tcPr>
          <w:p w:rsidR="00424B28" w:rsidRPr="00C558FB" w:rsidRDefault="00424B28" w:rsidP="004221F7">
            <w:pPr>
              <w:jc w:val="center"/>
              <w:rPr>
                <w:sz w:val="28"/>
                <w:szCs w:val="28"/>
              </w:rPr>
            </w:pPr>
          </w:p>
        </w:tc>
        <w:tc>
          <w:tcPr>
            <w:tcW w:w="3339" w:type="dxa"/>
            <w:tcBorders>
              <w:left w:val="nil"/>
            </w:tcBorders>
          </w:tcPr>
          <w:p w:rsidR="00424B28" w:rsidRPr="00C558FB" w:rsidRDefault="009A3AC0" w:rsidP="009362FE">
            <w:pPr>
              <w:ind w:left="1335"/>
              <w:jc w:val="right"/>
              <w:rPr>
                <w:sz w:val="28"/>
                <w:szCs w:val="28"/>
                <w:highlight w:val="green"/>
              </w:rPr>
            </w:pPr>
            <w:r w:rsidRPr="00C558FB">
              <w:rPr>
                <w:sz w:val="28"/>
                <w:szCs w:val="28"/>
              </w:rPr>
              <w:t>А.В.</w:t>
            </w:r>
            <w:r w:rsidR="00EC3D59">
              <w:rPr>
                <w:sz w:val="28"/>
                <w:szCs w:val="28"/>
              </w:rPr>
              <w:t xml:space="preserve"> </w:t>
            </w:r>
            <w:proofErr w:type="spellStart"/>
            <w:r w:rsidRPr="00C558FB">
              <w:rPr>
                <w:sz w:val="28"/>
                <w:szCs w:val="28"/>
              </w:rPr>
              <w:t>Зяблицев</w:t>
            </w:r>
            <w:proofErr w:type="spellEnd"/>
          </w:p>
        </w:tc>
      </w:tr>
    </w:tbl>
    <w:p w:rsidR="00501D70" w:rsidRPr="003427D1" w:rsidRDefault="00501D70" w:rsidP="0023731C">
      <w:pPr>
        <w:rPr>
          <w:color w:val="000000"/>
          <w:sz w:val="12"/>
          <w:szCs w:val="16"/>
        </w:rPr>
      </w:pPr>
    </w:p>
    <w:p w:rsidR="00A114CF" w:rsidRDefault="00A114CF" w:rsidP="0023731C">
      <w:pPr>
        <w:rPr>
          <w:color w:val="000000"/>
          <w:sz w:val="16"/>
          <w:szCs w:val="16"/>
        </w:rPr>
      </w:pPr>
    </w:p>
    <w:p w:rsidR="00501D70" w:rsidRDefault="00501D70" w:rsidP="001F3064">
      <w:pPr>
        <w:shd w:val="clear" w:color="auto" w:fill="FFFFFF"/>
        <w:tabs>
          <w:tab w:val="left" w:pos="4962"/>
        </w:tabs>
        <w:autoSpaceDE w:val="0"/>
        <w:autoSpaceDN w:val="0"/>
        <w:adjustRightInd w:val="0"/>
        <w:ind w:left="4962"/>
        <w:sectPr w:rsidR="00501D70" w:rsidSect="005E43CD">
          <w:headerReference w:type="default" r:id="rId8"/>
          <w:pgSz w:w="11909" w:h="16834"/>
          <w:pgMar w:top="851" w:right="851" w:bottom="851" w:left="1418" w:header="720" w:footer="720" w:gutter="0"/>
          <w:cols w:space="720"/>
          <w:noEndnote/>
          <w:titlePg/>
          <w:docGrid w:linePitch="326"/>
        </w:sectPr>
      </w:pPr>
    </w:p>
    <w:p w:rsidR="002F18BE" w:rsidRPr="002F18BE" w:rsidRDefault="002F18BE" w:rsidP="002F18BE">
      <w:pPr>
        <w:jc w:val="right"/>
        <w:rPr>
          <w:rFonts w:cs="Arial"/>
        </w:rPr>
      </w:pPr>
      <w:r w:rsidRPr="002F18BE">
        <w:rPr>
          <w:rFonts w:cs="Arial"/>
        </w:rPr>
        <w:lastRenderedPageBreak/>
        <w:t>Приложение</w:t>
      </w:r>
    </w:p>
    <w:p w:rsidR="001E384B" w:rsidRPr="00622240" w:rsidRDefault="001E384B" w:rsidP="001E384B">
      <w:pPr>
        <w:jc w:val="center"/>
        <w:rPr>
          <w:rFonts w:cs="Arial"/>
          <w:b/>
        </w:rPr>
      </w:pPr>
      <w:r w:rsidRPr="00622240">
        <w:rPr>
          <w:rFonts w:cs="Arial"/>
          <w:b/>
        </w:rPr>
        <w:t>4. Финансовое обеспечение муниципальной программы</w:t>
      </w:r>
    </w:p>
    <w:p w:rsidR="001E384B" w:rsidRPr="00181D24" w:rsidRDefault="001E384B" w:rsidP="001E384B">
      <w:pPr>
        <w:jc w:val="center"/>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6"/>
        <w:gridCol w:w="1151"/>
        <w:gridCol w:w="1299"/>
        <w:gridCol w:w="1296"/>
        <w:gridCol w:w="1299"/>
        <w:gridCol w:w="1299"/>
        <w:gridCol w:w="1299"/>
        <w:gridCol w:w="1627"/>
      </w:tblGrid>
      <w:tr w:rsidR="001E384B" w:rsidRPr="005E43CD" w:rsidTr="00F474A0">
        <w:trPr>
          <w:trHeight w:val="68"/>
          <w:jc w:val="center"/>
        </w:trPr>
        <w:tc>
          <w:tcPr>
            <w:tcW w:w="2088" w:type="pct"/>
            <w:vMerge w:val="restart"/>
            <w:shd w:val="clear" w:color="auto" w:fill="auto"/>
            <w:vAlign w:val="center"/>
            <w:hideMark/>
          </w:tcPr>
          <w:p w:rsidR="001E384B" w:rsidRPr="005E43CD" w:rsidRDefault="001E384B" w:rsidP="002F18BE">
            <w:pPr>
              <w:jc w:val="center"/>
              <w:rPr>
                <w:sz w:val="22"/>
                <w:szCs w:val="22"/>
              </w:rPr>
            </w:pPr>
            <w:r w:rsidRPr="005E43CD">
              <w:rPr>
                <w:sz w:val="22"/>
                <w:szCs w:val="22"/>
              </w:rPr>
              <w:t>Наименование муниципальной программы, структурного элемента, источник финансового обеспечения</w:t>
            </w:r>
          </w:p>
        </w:tc>
        <w:tc>
          <w:tcPr>
            <w:tcW w:w="2912" w:type="pct"/>
            <w:gridSpan w:val="7"/>
            <w:shd w:val="clear" w:color="auto" w:fill="auto"/>
            <w:hideMark/>
          </w:tcPr>
          <w:p w:rsidR="001E384B" w:rsidRPr="005E43CD" w:rsidRDefault="001E384B" w:rsidP="00464994">
            <w:pPr>
              <w:jc w:val="center"/>
              <w:rPr>
                <w:sz w:val="22"/>
                <w:szCs w:val="22"/>
              </w:rPr>
            </w:pPr>
            <w:r w:rsidRPr="005E43CD">
              <w:rPr>
                <w:sz w:val="22"/>
                <w:szCs w:val="22"/>
              </w:rPr>
              <w:t xml:space="preserve">Объем финансового обеспечения по годам (тыс. рублей) </w:t>
            </w:r>
          </w:p>
        </w:tc>
      </w:tr>
      <w:tr w:rsidR="001E384B" w:rsidRPr="005E43CD" w:rsidTr="00F474A0">
        <w:trPr>
          <w:trHeight w:val="470"/>
          <w:jc w:val="center"/>
        </w:trPr>
        <w:tc>
          <w:tcPr>
            <w:tcW w:w="2088" w:type="pct"/>
            <w:vMerge/>
            <w:shd w:val="clear" w:color="auto" w:fill="auto"/>
            <w:hideMark/>
          </w:tcPr>
          <w:p w:rsidR="001E384B" w:rsidRPr="005E43CD" w:rsidRDefault="001E384B" w:rsidP="00464994">
            <w:pPr>
              <w:jc w:val="center"/>
              <w:rPr>
                <w:sz w:val="22"/>
                <w:szCs w:val="22"/>
              </w:rPr>
            </w:pPr>
          </w:p>
        </w:tc>
        <w:tc>
          <w:tcPr>
            <w:tcW w:w="362" w:type="pct"/>
            <w:shd w:val="clear" w:color="auto" w:fill="auto"/>
            <w:hideMark/>
          </w:tcPr>
          <w:p w:rsidR="001E384B" w:rsidRPr="005E43CD" w:rsidRDefault="001E384B" w:rsidP="00464994">
            <w:pPr>
              <w:jc w:val="center"/>
              <w:rPr>
                <w:bCs/>
                <w:sz w:val="22"/>
                <w:szCs w:val="22"/>
              </w:rPr>
            </w:pPr>
            <w:r w:rsidRPr="005E43CD">
              <w:rPr>
                <w:bCs/>
                <w:sz w:val="22"/>
                <w:szCs w:val="22"/>
              </w:rPr>
              <w:t>2025</w:t>
            </w:r>
          </w:p>
          <w:p w:rsidR="001E384B" w:rsidRPr="005E43CD" w:rsidRDefault="001E384B" w:rsidP="00464994">
            <w:pPr>
              <w:jc w:val="center"/>
              <w:rPr>
                <w:bCs/>
                <w:sz w:val="22"/>
                <w:szCs w:val="22"/>
              </w:rPr>
            </w:pPr>
            <w:r w:rsidRPr="005E43CD">
              <w:rPr>
                <w:bCs/>
                <w:sz w:val="22"/>
                <w:szCs w:val="22"/>
              </w:rPr>
              <w:t>год</w:t>
            </w:r>
          </w:p>
        </w:tc>
        <w:tc>
          <w:tcPr>
            <w:tcW w:w="408" w:type="pct"/>
            <w:shd w:val="clear" w:color="auto" w:fill="auto"/>
            <w:hideMark/>
          </w:tcPr>
          <w:p w:rsidR="001E384B" w:rsidRPr="005E43CD" w:rsidRDefault="001E384B" w:rsidP="00464994">
            <w:pPr>
              <w:jc w:val="center"/>
              <w:rPr>
                <w:bCs/>
                <w:sz w:val="22"/>
                <w:szCs w:val="22"/>
              </w:rPr>
            </w:pPr>
            <w:r w:rsidRPr="005E43CD">
              <w:rPr>
                <w:bCs/>
                <w:sz w:val="22"/>
                <w:szCs w:val="22"/>
              </w:rPr>
              <w:t>2026</w:t>
            </w:r>
          </w:p>
          <w:p w:rsidR="001E384B" w:rsidRPr="005E43CD" w:rsidRDefault="001E384B" w:rsidP="00464994">
            <w:pPr>
              <w:jc w:val="center"/>
              <w:rPr>
                <w:bCs/>
                <w:sz w:val="22"/>
                <w:szCs w:val="22"/>
              </w:rPr>
            </w:pPr>
            <w:r w:rsidRPr="005E43CD">
              <w:rPr>
                <w:bCs/>
                <w:sz w:val="22"/>
                <w:szCs w:val="22"/>
              </w:rPr>
              <w:t>год</w:t>
            </w:r>
          </w:p>
        </w:tc>
        <w:tc>
          <w:tcPr>
            <w:tcW w:w="407" w:type="pct"/>
            <w:shd w:val="clear" w:color="auto" w:fill="auto"/>
            <w:hideMark/>
          </w:tcPr>
          <w:p w:rsidR="001E384B" w:rsidRPr="005E43CD" w:rsidRDefault="001E384B" w:rsidP="00464994">
            <w:pPr>
              <w:jc w:val="center"/>
              <w:rPr>
                <w:bCs/>
                <w:sz w:val="22"/>
                <w:szCs w:val="22"/>
              </w:rPr>
            </w:pPr>
            <w:r w:rsidRPr="005E43CD">
              <w:rPr>
                <w:bCs/>
                <w:sz w:val="22"/>
                <w:szCs w:val="22"/>
              </w:rPr>
              <w:t>2027</w:t>
            </w:r>
          </w:p>
          <w:p w:rsidR="001E384B" w:rsidRPr="005E43CD" w:rsidRDefault="001E384B" w:rsidP="00464994">
            <w:pPr>
              <w:jc w:val="center"/>
              <w:rPr>
                <w:bCs/>
                <w:sz w:val="22"/>
                <w:szCs w:val="22"/>
              </w:rPr>
            </w:pPr>
            <w:r w:rsidRPr="005E43CD">
              <w:rPr>
                <w:bCs/>
                <w:sz w:val="22"/>
                <w:szCs w:val="22"/>
              </w:rPr>
              <w:t>год</w:t>
            </w:r>
          </w:p>
        </w:tc>
        <w:tc>
          <w:tcPr>
            <w:tcW w:w="408" w:type="pct"/>
            <w:shd w:val="clear" w:color="auto" w:fill="auto"/>
            <w:hideMark/>
          </w:tcPr>
          <w:p w:rsidR="001E384B" w:rsidRPr="005E43CD" w:rsidRDefault="001E384B" w:rsidP="00464994">
            <w:pPr>
              <w:jc w:val="center"/>
              <w:rPr>
                <w:bCs/>
                <w:sz w:val="22"/>
                <w:szCs w:val="22"/>
              </w:rPr>
            </w:pPr>
            <w:r w:rsidRPr="005E43CD">
              <w:rPr>
                <w:bCs/>
                <w:sz w:val="22"/>
                <w:szCs w:val="22"/>
              </w:rPr>
              <w:t>2028</w:t>
            </w:r>
          </w:p>
          <w:p w:rsidR="001E384B" w:rsidRPr="005E43CD" w:rsidRDefault="001E384B" w:rsidP="00464994">
            <w:pPr>
              <w:jc w:val="center"/>
              <w:rPr>
                <w:bCs/>
                <w:sz w:val="22"/>
                <w:szCs w:val="22"/>
              </w:rPr>
            </w:pPr>
            <w:r w:rsidRPr="005E43CD">
              <w:rPr>
                <w:bCs/>
                <w:sz w:val="22"/>
                <w:szCs w:val="22"/>
              </w:rPr>
              <w:t>год</w:t>
            </w:r>
          </w:p>
        </w:tc>
        <w:tc>
          <w:tcPr>
            <w:tcW w:w="408" w:type="pct"/>
            <w:shd w:val="clear" w:color="auto" w:fill="auto"/>
            <w:hideMark/>
          </w:tcPr>
          <w:p w:rsidR="001E384B" w:rsidRPr="005E43CD" w:rsidRDefault="001E384B" w:rsidP="00464994">
            <w:pPr>
              <w:jc w:val="center"/>
              <w:rPr>
                <w:bCs/>
                <w:sz w:val="22"/>
                <w:szCs w:val="22"/>
              </w:rPr>
            </w:pPr>
            <w:r w:rsidRPr="005E43CD">
              <w:rPr>
                <w:bCs/>
                <w:sz w:val="22"/>
                <w:szCs w:val="22"/>
              </w:rPr>
              <w:t>2029</w:t>
            </w:r>
          </w:p>
          <w:p w:rsidR="001E384B" w:rsidRPr="005E43CD" w:rsidRDefault="001E384B" w:rsidP="00464994">
            <w:pPr>
              <w:jc w:val="center"/>
              <w:rPr>
                <w:bCs/>
                <w:sz w:val="22"/>
                <w:szCs w:val="22"/>
              </w:rPr>
            </w:pPr>
            <w:r w:rsidRPr="005E43CD">
              <w:rPr>
                <w:bCs/>
                <w:sz w:val="22"/>
                <w:szCs w:val="22"/>
              </w:rPr>
              <w:t>год</w:t>
            </w:r>
          </w:p>
        </w:tc>
        <w:tc>
          <w:tcPr>
            <w:tcW w:w="408" w:type="pct"/>
            <w:shd w:val="clear" w:color="auto" w:fill="auto"/>
            <w:hideMark/>
          </w:tcPr>
          <w:p w:rsidR="001E384B" w:rsidRPr="005E43CD" w:rsidRDefault="001E384B" w:rsidP="00464994">
            <w:pPr>
              <w:jc w:val="center"/>
              <w:rPr>
                <w:bCs/>
                <w:sz w:val="22"/>
                <w:szCs w:val="22"/>
              </w:rPr>
            </w:pPr>
            <w:r w:rsidRPr="005E43CD">
              <w:rPr>
                <w:bCs/>
                <w:sz w:val="22"/>
                <w:szCs w:val="22"/>
              </w:rPr>
              <w:t>2030</w:t>
            </w:r>
          </w:p>
          <w:p w:rsidR="001E384B" w:rsidRPr="005E43CD" w:rsidRDefault="001E384B" w:rsidP="00464994">
            <w:pPr>
              <w:jc w:val="center"/>
              <w:rPr>
                <w:bCs/>
                <w:sz w:val="22"/>
                <w:szCs w:val="22"/>
              </w:rPr>
            </w:pPr>
            <w:r w:rsidRPr="005E43CD">
              <w:rPr>
                <w:bCs/>
                <w:sz w:val="22"/>
                <w:szCs w:val="22"/>
              </w:rPr>
              <w:t>год</w:t>
            </w:r>
          </w:p>
        </w:tc>
        <w:tc>
          <w:tcPr>
            <w:tcW w:w="511" w:type="pct"/>
            <w:shd w:val="clear" w:color="auto" w:fill="auto"/>
            <w:hideMark/>
          </w:tcPr>
          <w:p w:rsidR="001E384B" w:rsidRPr="005E43CD" w:rsidRDefault="001E384B" w:rsidP="00464994">
            <w:pPr>
              <w:jc w:val="center"/>
              <w:rPr>
                <w:bCs/>
                <w:sz w:val="22"/>
                <w:szCs w:val="22"/>
              </w:rPr>
            </w:pPr>
            <w:r w:rsidRPr="005E43CD">
              <w:rPr>
                <w:bCs/>
                <w:sz w:val="22"/>
                <w:szCs w:val="22"/>
              </w:rPr>
              <w:t>Всего</w:t>
            </w:r>
          </w:p>
        </w:tc>
      </w:tr>
      <w:tr w:rsidR="001E384B" w:rsidRPr="005E43CD" w:rsidTr="00F474A0">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1</w:t>
            </w:r>
          </w:p>
        </w:tc>
        <w:tc>
          <w:tcPr>
            <w:tcW w:w="362" w:type="pct"/>
            <w:shd w:val="clear" w:color="auto" w:fill="auto"/>
            <w:hideMark/>
          </w:tcPr>
          <w:p w:rsidR="001E384B" w:rsidRPr="005E43CD" w:rsidRDefault="001E384B" w:rsidP="00464994">
            <w:pPr>
              <w:jc w:val="center"/>
              <w:rPr>
                <w:sz w:val="22"/>
                <w:szCs w:val="22"/>
              </w:rPr>
            </w:pPr>
            <w:r w:rsidRPr="005E43CD">
              <w:rPr>
                <w:sz w:val="22"/>
                <w:szCs w:val="22"/>
              </w:rPr>
              <w:t>2</w:t>
            </w:r>
          </w:p>
        </w:tc>
        <w:tc>
          <w:tcPr>
            <w:tcW w:w="408" w:type="pct"/>
            <w:shd w:val="clear" w:color="auto" w:fill="auto"/>
            <w:hideMark/>
          </w:tcPr>
          <w:p w:rsidR="001E384B" w:rsidRPr="005E43CD" w:rsidRDefault="001E384B" w:rsidP="00464994">
            <w:pPr>
              <w:jc w:val="center"/>
              <w:rPr>
                <w:sz w:val="22"/>
                <w:szCs w:val="22"/>
              </w:rPr>
            </w:pPr>
            <w:r w:rsidRPr="005E43CD">
              <w:rPr>
                <w:sz w:val="22"/>
                <w:szCs w:val="22"/>
              </w:rPr>
              <w:t>3</w:t>
            </w:r>
          </w:p>
        </w:tc>
        <w:tc>
          <w:tcPr>
            <w:tcW w:w="407" w:type="pct"/>
            <w:shd w:val="clear" w:color="auto" w:fill="auto"/>
            <w:hideMark/>
          </w:tcPr>
          <w:p w:rsidR="001E384B" w:rsidRPr="005E43CD" w:rsidRDefault="001E384B" w:rsidP="00464994">
            <w:pPr>
              <w:jc w:val="center"/>
              <w:rPr>
                <w:sz w:val="22"/>
                <w:szCs w:val="22"/>
              </w:rPr>
            </w:pPr>
            <w:r w:rsidRPr="005E43CD">
              <w:rPr>
                <w:sz w:val="22"/>
                <w:szCs w:val="22"/>
              </w:rPr>
              <w:t>4</w:t>
            </w:r>
          </w:p>
        </w:tc>
        <w:tc>
          <w:tcPr>
            <w:tcW w:w="408" w:type="pct"/>
            <w:shd w:val="clear" w:color="auto" w:fill="auto"/>
            <w:hideMark/>
          </w:tcPr>
          <w:p w:rsidR="001E384B" w:rsidRPr="005E43CD" w:rsidRDefault="001E384B" w:rsidP="00464994">
            <w:pPr>
              <w:jc w:val="center"/>
              <w:rPr>
                <w:sz w:val="22"/>
                <w:szCs w:val="22"/>
              </w:rPr>
            </w:pPr>
            <w:r w:rsidRPr="005E43CD">
              <w:rPr>
                <w:sz w:val="22"/>
                <w:szCs w:val="22"/>
              </w:rPr>
              <w:t>5</w:t>
            </w:r>
          </w:p>
        </w:tc>
        <w:tc>
          <w:tcPr>
            <w:tcW w:w="408" w:type="pct"/>
            <w:shd w:val="clear" w:color="auto" w:fill="auto"/>
            <w:hideMark/>
          </w:tcPr>
          <w:p w:rsidR="001E384B" w:rsidRPr="005E43CD" w:rsidRDefault="001E384B" w:rsidP="00464994">
            <w:pPr>
              <w:jc w:val="center"/>
              <w:rPr>
                <w:sz w:val="22"/>
                <w:szCs w:val="22"/>
              </w:rPr>
            </w:pPr>
            <w:r w:rsidRPr="005E43CD">
              <w:rPr>
                <w:sz w:val="22"/>
                <w:szCs w:val="22"/>
              </w:rPr>
              <w:t>6</w:t>
            </w:r>
          </w:p>
        </w:tc>
        <w:tc>
          <w:tcPr>
            <w:tcW w:w="408" w:type="pct"/>
            <w:shd w:val="clear" w:color="auto" w:fill="auto"/>
            <w:hideMark/>
          </w:tcPr>
          <w:p w:rsidR="001E384B" w:rsidRPr="005E43CD" w:rsidRDefault="001E384B" w:rsidP="00464994">
            <w:pPr>
              <w:jc w:val="center"/>
              <w:rPr>
                <w:sz w:val="22"/>
                <w:szCs w:val="22"/>
              </w:rPr>
            </w:pPr>
            <w:r w:rsidRPr="005E43CD">
              <w:rPr>
                <w:sz w:val="22"/>
                <w:szCs w:val="22"/>
              </w:rPr>
              <w:t>7</w:t>
            </w:r>
          </w:p>
        </w:tc>
        <w:tc>
          <w:tcPr>
            <w:tcW w:w="511" w:type="pct"/>
            <w:shd w:val="clear" w:color="auto" w:fill="auto"/>
            <w:hideMark/>
          </w:tcPr>
          <w:p w:rsidR="001E384B" w:rsidRPr="005E43CD" w:rsidRDefault="001E384B" w:rsidP="00464994">
            <w:pPr>
              <w:jc w:val="center"/>
              <w:rPr>
                <w:sz w:val="22"/>
                <w:szCs w:val="22"/>
              </w:rPr>
            </w:pPr>
            <w:r w:rsidRPr="005E43CD">
              <w:rPr>
                <w:sz w:val="22"/>
                <w:szCs w:val="22"/>
              </w:rPr>
              <w:t>8</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bCs/>
                <w:sz w:val="22"/>
                <w:szCs w:val="22"/>
              </w:rPr>
            </w:pPr>
            <w:r w:rsidRPr="005E43CD">
              <w:rPr>
                <w:bCs/>
                <w:sz w:val="22"/>
                <w:szCs w:val="22"/>
              </w:rPr>
              <w:t>Муниципальная программа «Развитие экономического потенциала»</w:t>
            </w:r>
            <w:r w:rsidRPr="005E43CD">
              <w:rPr>
                <w:sz w:val="22"/>
                <w:szCs w:val="22"/>
              </w:rPr>
              <w:t xml:space="preserve"> (всего), в том числе: </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204 171,5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66 271,7</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65 287,2</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37 560,5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37 560,5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37 560,5</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448 411,9</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sz w:val="22"/>
                <w:szCs w:val="22"/>
              </w:rPr>
            </w:pPr>
            <w:r w:rsidRPr="005E43CD">
              <w:rPr>
                <w:sz w:val="22"/>
                <w:szCs w:val="22"/>
              </w:rPr>
              <w:t>Бюджет Кондинского района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204 171,5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66 271,7</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65 287,2</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37 560,5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37 560,5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37 560,5</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448 411,9</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13 394,0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8 956,7</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8 462,8</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8 162,0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8 162,0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8 162,0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55 299,5</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sz w:val="22"/>
                <w:szCs w:val="22"/>
              </w:rPr>
            </w:pPr>
            <w:r w:rsidRPr="005E43CD">
              <w:rPr>
                <w:sz w:val="22"/>
                <w:szCs w:val="22"/>
              </w:rPr>
              <w:t>местный бюджет</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190 777,5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57 315,0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56 824,4</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29 398,5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29 398,5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29 398,5</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393 112,4</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sz w:val="22"/>
                <w:szCs w:val="22"/>
              </w:rPr>
            </w:pPr>
            <w:r w:rsidRPr="005E43CD">
              <w:rPr>
                <w:sz w:val="22"/>
                <w:szCs w:val="22"/>
              </w:rPr>
              <w:t>Иные источники</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D967DB">
            <w:pPr>
              <w:jc w:val="center"/>
              <w:rPr>
                <w:sz w:val="22"/>
                <w:szCs w:val="22"/>
              </w:rPr>
            </w:pPr>
            <w:r w:rsidRPr="005E43CD">
              <w:rPr>
                <w:sz w:val="22"/>
                <w:szCs w:val="22"/>
              </w:rPr>
              <w:t>Объем налоговых расходов (справочно)</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Справочно: межбюджетные трансферты городских и сельских поселений Кондинского района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2 455,9</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2 010,5</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1 797,1</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6 263,5</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bCs/>
                <w:sz w:val="22"/>
                <w:szCs w:val="22"/>
              </w:rPr>
            </w:pPr>
            <w:r w:rsidRPr="005E43CD">
              <w:rPr>
                <w:bCs/>
                <w:sz w:val="22"/>
                <w:szCs w:val="22"/>
              </w:rPr>
              <w:t>1.1. Региональный проект «Малое и среднее предпринимательство и поддержка индивидуальной предпринимательской инициативы»</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3 723,8</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3 723,8</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Бюджет Кондинского района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3 723,8</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3 723,8</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 </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 </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 </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 </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 </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 </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 </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3 537,6</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3 537,6</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186,2</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186,2</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Иные источники</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bCs/>
                <w:sz w:val="22"/>
                <w:szCs w:val="22"/>
              </w:rPr>
            </w:pPr>
            <w:r w:rsidRPr="005E43CD">
              <w:rPr>
                <w:bCs/>
                <w:sz w:val="22"/>
                <w:szCs w:val="22"/>
              </w:rPr>
              <w:t>1.2. Комплекс процессных мероприятий «Финансовая поддержка субъектов малого и среднего предпринимательства, осуществляющих социально значимые виды деятельности, определенные муниципальными образованиями и деятельность в социальной сфере»</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1 130,7</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1 130,7</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Бюджет Кондинского района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1 130,7</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1 130,7</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1 130,7</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1 130,7</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Иные источники</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bCs/>
                <w:sz w:val="22"/>
                <w:szCs w:val="22"/>
              </w:rPr>
            </w:pPr>
            <w:r w:rsidRPr="005E43CD">
              <w:rPr>
                <w:bCs/>
                <w:sz w:val="22"/>
                <w:szCs w:val="22"/>
              </w:rPr>
              <w:t>1.3. Комплекс процессных мероприятий «Организация мероприятий по популяризации и пропаганде предпринимательской деятельности»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141,1</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713,7</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3 714,8</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Бюджет Кондинского района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141,1</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713,7</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715,0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3 714,8</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lastRenderedPageBreak/>
              <w:t>в том числе межбюджетные трансферты из окружного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141,1</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713,7</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715,0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715,0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715,0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715,0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3 714,8</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Иные источники</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bCs/>
                <w:sz w:val="22"/>
                <w:szCs w:val="22"/>
              </w:rPr>
            </w:pPr>
            <w:r w:rsidRPr="005E43CD">
              <w:rPr>
                <w:bCs/>
                <w:sz w:val="22"/>
                <w:szCs w:val="22"/>
              </w:rPr>
              <w:t>1.4. Комплекс процессных мероприятий «Оказание информационно-консультационной поддержки»</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Бюджет Кондинского района (всего), из них:</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Иные источники</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bCs/>
                <w:sz w:val="22"/>
                <w:szCs w:val="22"/>
              </w:rPr>
            </w:pPr>
            <w:r w:rsidRPr="005E43CD">
              <w:rPr>
                <w:bCs/>
                <w:sz w:val="22"/>
                <w:szCs w:val="22"/>
              </w:rPr>
              <w:t>1.5. Комплекс процессных мероприятий «Предоставление неотложных мер поддержки субъектам малого и среднего предпринимательства, осуществляющим деятельность в отраслях, пострадавших от распространения новой коронавирусной инфекции»</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Бюджет Кондинского района (всего), из них:</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1E384B" w:rsidRPr="005E43CD" w:rsidTr="005E43CD">
        <w:trPr>
          <w:trHeight w:val="68"/>
          <w:jc w:val="center"/>
        </w:trPr>
        <w:tc>
          <w:tcPr>
            <w:tcW w:w="2088" w:type="pct"/>
            <w:shd w:val="clear" w:color="auto" w:fill="auto"/>
            <w:hideMark/>
          </w:tcPr>
          <w:p w:rsidR="001E384B" w:rsidRPr="005E43CD" w:rsidRDefault="001E384B" w:rsidP="00464994">
            <w:pPr>
              <w:jc w:val="center"/>
              <w:rPr>
                <w:sz w:val="22"/>
                <w:szCs w:val="22"/>
              </w:rPr>
            </w:pPr>
            <w:r w:rsidRPr="005E43CD">
              <w:rPr>
                <w:sz w:val="22"/>
                <w:szCs w:val="22"/>
              </w:rPr>
              <w:t>Иные источники</w:t>
            </w:r>
          </w:p>
        </w:tc>
        <w:tc>
          <w:tcPr>
            <w:tcW w:w="362"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7"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408"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c>
          <w:tcPr>
            <w:tcW w:w="511" w:type="pct"/>
            <w:shd w:val="clear" w:color="auto" w:fill="auto"/>
            <w:vAlign w:val="center"/>
            <w:hideMark/>
          </w:tcPr>
          <w:p w:rsidR="001E384B" w:rsidRPr="005E43CD" w:rsidRDefault="001E384B"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bCs/>
                <w:sz w:val="22"/>
                <w:szCs w:val="22"/>
              </w:rPr>
            </w:pPr>
            <w:r w:rsidRPr="005E43CD">
              <w:rPr>
                <w:bCs/>
                <w:sz w:val="22"/>
                <w:szCs w:val="22"/>
              </w:rPr>
              <w:t xml:space="preserve">2. Комплекс процессных мероприятий «Содействие трудоустройству граждан, не занятых трудовой деятельностью и безработных граждан, в том числе граждан с инвалидностью» </w:t>
            </w:r>
            <w:r w:rsidRPr="005E43CD">
              <w:rPr>
                <w:sz w:val="22"/>
                <w:szCs w:val="22"/>
              </w:rPr>
              <w:t>(всего),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16 395,4</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15 473,2</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14 488,7</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8 162,0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8 162,0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8 162,0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70 843,3</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2.1. Бюджет Кондинского района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16 395,4</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15 473,2</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14 488,7</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8 162,0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8 162,0</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8 162,0</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70 843,3</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9 856,4</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8 956,7</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8 462,8</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8 162,0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8 162,0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8 162,0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51 761,9</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6 539,0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6 516,5</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6 025,9</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19 081,4</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2.2. Иные источники</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bCs/>
                <w:sz w:val="22"/>
                <w:szCs w:val="22"/>
              </w:rPr>
            </w:pPr>
            <w:r w:rsidRPr="005E43CD">
              <w:rPr>
                <w:bCs/>
                <w:sz w:val="22"/>
                <w:szCs w:val="22"/>
              </w:rPr>
              <w:t>3. Комплекс процессных мероприятий «Обеспечение повышения качества и доступности транспортных услуг, оказываемых с использованием автомобильного, воздушного, водного, железнодорожного транспорта»</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182 780,5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50 084,8</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50 083,5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28 683,5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28 683,5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28 683,5</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368 999,3</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3.1. Бюджет Кондинского района (всего), из них:</w:t>
            </w:r>
          </w:p>
        </w:tc>
        <w:tc>
          <w:tcPr>
            <w:tcW w:w="362" w:type="pct"/>
            <w:shd w:val="clear" w:color="auto" w:fill="auto"/>
            <w:vAlign w:val="center"/>
            <w:hideMark/>
          </w:tcPr>
          <w:p w:rsidR="005E43CD" w:rsidRPr="005E43CD" w:rsidRDefault="005E43CD" w:rsidP="005E43CD">
            <w:pPr>
              <w:jc w:val="right"/>
              <w:rPr>
                <w:bCs/>
                <w:sz w:val="22"/>
                <w:szCs w:val="22"/>
              </w:rPr>
            </w:pPr>
            <w:r w:rsidRPr="005E43CD">
              <w:rPr>
                <w:bCs/>
                <w:sz w:val="22"/>
                <w:szCs w:val="22"/>
              </w:rPr>
              <w:t>182 780,5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50 084,8</w:t>
            </w:r>
          </w:p>
        </w:tc>
        <w:tc>
          <w:tcPr>
            <w:tcW w:w="407" w:type="pct"/>
            <w:shd w:val="clear" w:color="auto" w:fill="auto"/>
            <w:vAlign w:val="center"/>
            <w:hideMark/>
          </w:tcPr>
          <w:p w:rsidR="005E43CD" w:rsidRPr="005E43CD" w:rsidRDefault="005E43CD" w:rsidP="005E43CD">
            <w:pPr>
              <w:jc w:val="right"/>
              <w:rPr>
                <w:bCs/>
                <w:sz w:val="22"/>
                <w:szCs w:val="22"/>
              </w:rPr>
            </w:pPr>
            <w:r w:rsidRPr="005E43CD">
              <w:rPr>
                <w:bCs/>
                <w:sz w:val="22"/>
                <w:szCs w:val="22"/>
              </w:rPr>
              <w:t>50 083,5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28 683,5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28 683,5</w:t>
            </w:r>
          </w:p>
        </w:tc>
        <w:tc>
          <w:tcPr>
            <w:tcW w:w="408" w:type="pct"/>
            <w:shd w:val="clear" w:color="auto" w:fill="auto"/>
            <w:vAlign w:val="center"/>
            <w:hideMark/>
          </w:tcPr>
          <w:p w:rsidR="005E43CD" w:rsidRPr="005E43CD" w:rsidRDefault="005E43CD" w:rsidP="005E43CD">
            <w:pPr>
              <w:jc w:val="right"/>
              <w:rPr>
                <w:bCs/>
                <w:sz w:val="22"/>
                <w:szCs w:val="22"/>
              </w:rPr>
            </w:pPr>
            <w:r w:rsidRPr="005E43CD">
              <w:rPr>
                <w:bCs/>
                <w:sz w:val="22"/>
                <w:szCs w:val="22"/>
              </w:rPr>
              <w:t>28 683,5</w:t>
            </w:r>
          </w:p>
        </w:tc>
        <w:tc>
          <w:tcPr>
            <w:tcW w:w="511" w:type="pct"/>
            <w:shd w:val="clear" w:color="auto" w:fill="auto"/>
            <w:vAlign w:val="center"/>
            <w:hideMark/>
          </w:tcPr>
          <w:p w:rsidR="005E43CD" w:rsidRPr="005E43CD" w:rsidRDefault="005E43CD" w:rsidP="005E43CD">
            <w:pPr>
              <w:jc w:val="right"/>
              <w:rPr>
                <w:bCs/>
                <w:sz w:val="22"/>
                <w:szCs w:val="22"/>
              </w:rPr>
            </w:pPr>
            <w:r w:rsidRPr="005E43CD">
              <w:rPr>
                <w:bCs/>
                <w:sz w:val="22"/>
                <w:szCs w:val="22"/>
              </w:rPr>
              <w:t>368 999,3</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федерального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в том числе межбюджетные трансферты из окружного бюджета:</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местный бюджет</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182 780,5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50 084,8</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50 083,5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28 683,5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28 683,5</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28 683,5</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368 999,3</w:t>
            </w:r>
          </w:p>
        </w:tc>
      </w:tr>
      <w:tr w:rsidR="005E43CD" w:rsidRPr="005E43CD" w:rsidTr="005E43CD">
        <w:trPr>
          <w:trHeight w:val="68"/>
          <w:jc w:val="center"/>
        </w:trPr>
        <w:tc>
          <w:tcPr>
            <w:tcW w:w="2088" w:type="pct"/>
            <w:shd w:val="clear" w:color="auto" w:fill="auto"/>
            <w:hideMark/>
          </w:tcPr>
          <w:p w:rsidR="005E43CD" w:rsidRPr="005E43CD" w:rsidRDefault="005E43CD" w:rsidP="00464994">
            <w:pPr>
              <w:jc w:val="center"/>
              <w:rPr>
                <w:sz w:val="22"/>
                <w:szCs w:val="22"/>
              </w:rPr>
            </w:pPr>
            <w:r w:rsidRPr="005E43CD">
              <w:rPr>
                <w:sz w:val="22"/>
                <w:szCs w:val="22"/>
              </w:rPr>
              <w:t>3.2. Иные источники</w:t>
            </w:r>
          </w:p>
        </w:tc>
        <w:tc>
          <w:tcPr>
            <w:tcW w:w="362"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7"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408"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c>
          <w:tcPr>
            <w:tcW w:w="511" w:type="pct"/>
            <w:shd w:val="clear" w:color="auto" w:fill="auto"/>
            <w:vAlign w:val="center"/>
            <w:hideMark/>
          </w:tcPr>
          <w:p w:rsidR="005E43CD" w:rsidRPr="005E43CD" w:rsidRDefault="005E43CD" w:rsidP="005E43CD">
            <w:pPr>
              <w:jc w:val="right"/>
              <w:rPr>
                <w:sz w:val="22"/>
                <w:szCs w:val="22"/>
              </w:rPr>
            </w:pPr>
            <w:r w:rsidRPr="005E43CD">
              <w:rPr>
                <w:sz w:val="22"/>
                <w:szCs w:val="22"/>
              </w:rPr>
              <w:t>0,0</w:t>
            </w:r>
          </w:p>
        </w:tc>
      </w:tr>
    </w:tbl>
    <w:p w:rsidR="00B9312D" w:rsidRDefault="00B9312D" w:rsidP="000574B3">
      <w:pPr>
        <w:tabs>
          <w:tab w:val="left" w:pos="9930"/>
        </w:tabs>
        <w:rPr>
          <w:color w:val="000000"/>
          <w:sz w:val="16"/>
          <w:szCs w:val="16"/>
        </w:rPr>
      </w:pPr>
    </w:p>
    <w:sectPr w:rsidR="00B9312D" w:rsidSect="00F474A0">
      <w:headerReference w:type="even" r:id="rId9"/>
      <w:headerReference w:type="default" r:id="rId10"/>
      <w:pgSz w:w="16834" w:h="11909" w:orient="landscape"/>
      <w:pgMar w:top="1134" w:right="567" w:bottom="567" w:left="567"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3CD" w:rsidRDefault="005E43CD">
      <w:r>
        <w:separator/>
      </w:r>
    </w:p>
  </w:endnote>
  <w:endnote w:type="continuationSeparator" w:id="0">
    <w:p w:rsidR="005E43CD" w:rsidRDefault="005E43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3CD" w:rsidRDefault="005E43CD">
      <w:r>
        <w:separator/>
      </w:r>
    </w:p>
  </w:footnote>
  <w:footnote w:type="continuationSeparator" w:id="0">
    <w:p w:rsidR="005E43CD" w:rsidRDefault="005E4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CD" w:rsidRPr="00524544" w:rsidRDefault="005E43CD" w:rsidP="00D71871">
    <w:pPr>
      <w:pStyle w:val="a7"/>
      <w:jc w:val="center"/>
      <w:rPr>
        <w:sz w:val="20"/>
        <w:szCs w:val="20"/>
      </w:rPr>
    </w:pPr>
    <w:r w:rsidRPr="00524544">
      <w:rPr>
        <w:sz w:val="20"/>
        <w:szCs w:val="20"/>
      </w:rPr>
      <w:fldChar w:fldCharType="begin"/>
    </w:r>
    <w:r w:rsidRPr="00524544">
      <w:rPr>
        <w:sz w:val="20"/>
        <w:szCs w:val="20"/>
      </w:rPr>
      <w:instrText>PAGE   \* MERGEFORMAT</w:instrText>
    </w:r>
    <w:r w:rsidRPr="00524544">
      <w:rPr>
        <w:sz w:val="20"/>
        <w:szCs w:val="20"/>
      </w:rPr>
      <w:fldChar w:fldCharType="separate"/>
    </w:r>
    <w:r w:rsidR="00DE2B23">
      <w:rPr>
        <w:noProof/>
        <w:sz w:val="20"/>
        <w:szCs w:val="20"/>
      </w:rPr>
      <w:t>2</w:t>
    </w:r>
    <w:r w:rsidRPr="00524544">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CD" w:rsidRDefault="005E43C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E43CD" w:rsidRDefault="005E43CD">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CD" w:rsidRPr="00F474A0" w:rsidRDefault="005E43CD" w:rsidP="00F474A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Moves/>
  <w:defaultTabStop w:val="709"/>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7AD8"/>
    <w:rsid w:val="00000252"/>
    <w:rsid w:val="000013A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74B3"/>
    <w:rsid w:val="000577A7"/>
    <w:rsid w:val="00060139"/>
    <w:rsid w:val="0006020B"/>
    <w:rsid w:val="0006027A"/>
    <w:rsid w:val="000608AE"/>
    <w:rsid w:val="000611F8"/>
    <w:rsid w:val="000623FA"/>
    <w:rsid w:val="000626CC"/>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4CFE"/>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A757C"/>
    <w:rsid w:val="000B031F"/>
    <w:rsid w:val="000B0BAC"/>
    <w:rsid w:val="000B1859"/>
    <w:rsid w:val="000B1FCA"/>
    <w:rsid w:val="000B2550"/>
    <w:rsid w:val="000B2832"/>
    <w:rsid w:val="000B2B00"/>
    <w:rsid w:val="000B3321"/>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215D"/>
    <w:rsid w:val="000E21D0"/>
    <w:rsid w:val="000E2688"/>
    <w:rsid w:val="000E31F2"/>
    <w:rsid w:val="000E5B05"/>
    <w:rsid w:val="000E5F72"/>
    <w:rsid w:val="000F1BA3"/>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162"/>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4760B"/>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0A4E"/>
    <w:rsid w:val="00161305"/>
    <w:rsid w:val="001617A6"/>
    <w:rsid w:val="00163566"/>
    <w:rsid w:val="00164B2C"/>
    <w:rsid w:val="00165A51"/>
    <w:rsid w:val="00167145"/>
    <w:rsid w:val="00167323"/>
    <w:rsid w:val="00167A67"/>
    <w:rsid w:val="00170498"/>
    <w:rsid w:val="0017106D"/>
    <w:rsid w:val="0017164E"/>
    <w:rsid w:val="00171DDE"/>
    <w:rsid w:val="0017233A"/>
    <w:rsid w:val="001732F8"/>
    <w:rsid w:val="00173426"/>
    <w:rsid w:val="00174058"/>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87EE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3CE9"/>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84B"/>
    <w:rsid w:val="001E39A5"/>
    <w:rsid w:val="001E43B7"/>
    <w:rsid w:val="001E479C"/>
    <w:rsid w:val="001E4C21"/>
    <w:rsid w:val="001E65F2"/>
    <w:rsid w:val="001E765D"/>
    <w:rsid w:val="001F0796"/>
    <w:rsid w:val="001F0A17"/>
    <w:rsid w:val="001F15CB"/>
    <w:rsid w:val="001F1A75"/>
    <w:rsid w:val="001F1EF6"/>
    <w:rsid w:val="001F243E"/>
    <w:rsid w:val="001F268E"/>
    <w:rsid w:val="001F2AD5"/>
    <w:rsid w:val="001F3064"/>
    <w:rsid w:val="001F3242"/>
    <w:rsid w:val="001F37D5"/>
    <w:rsid w:val="001F380A"/>
    <w:rsid w:val="001F3A08"/>
    <w:rsid w:val="001F527A"/>
    <w:rsid w:val="001F5501"/>
    <w:rsid w:val="001F5BBC"/>
    <w:rsid w:val="001F7664"/>
    <w:rsid w:val="00200312"/>
    <w:rsid w:val="002015AD"/>
    <w:rsid w:val="00201D6F"/>
    <w:rsid w:val="00202AB1"/>
    <w:rsid w:val="002038E3"/>
    <w:rsid w:val="00204677"/>
    <w:rsid w:val="00204870"/>
    <w:rsid w:val="00205BCA"/>
    <w:rsid w:val="002061C6"/>
    <w:rsid w:val="00207157"/>
    <w:rsid w:val="00210A99"/>
    <w:rsid w:val="00211D6C"/>
    <w:rsid w:val="0021312E"/>
    <w:rsid w:val="002136D5"/>
    <w:rsid w:val="00213864"/>
    <w:rsid w:val="002152F2"/>
    <w:rsid w:val="00215686"/>
    <w:rsid w:val="00215829"/>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6E5C"/>
    <w:rsid w:val="0023731C"/>
    <w:rsid w:val="00237740"/>
    <w:rsid w:val="002377BE"/>
    <w:rsid w:val="00237C24"/>
    <w:rsid w:val="00240015"/>
    <w:rsid w:val="00240A80"/>
    <w:rsid w:val="00240AE3"/>
    <w:rsid w:val="0024185C"/>
    <w:rsid w:val="002433B7"/>
    <w:rsid w:val="00244CA5"/>
    <w:rsid w:val="00245752"/>
    <w:rsid w:val="00245FB8"/>
    <w:rsid w:val="002460AF"/>
    <w:rsid w:val="002474E8"/>
    <w:rsid w:val="002507B8"/>
    <w:rsid w:val="002507E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410B"/>
    <w:rsid w:val="002651C1"/>
    <w:rsid w:val="00265E20"/>
    <w:rsid w:val="00265FB8"/>
    <w:rsid w:val="0026636E"/>
    <w:rsid w:val="00266AB4"/>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D69D2"/>
    <w:rsid w:val="002E0849"/>
    <w:rsid w:val="002E0FAA"/>
    <w:rsid w:val="002E168A"/>
    <w:rsid w:val="002E2541"/>
    <w:rsid w:val="002E2D51"/>
    <w:rsid w:val="002E3726"/>
    <w:rsid w:val="002E3BD7"/>
    <w:rsid w:val="002E4FEC"/>
    <w:rsid w:val="002E500A"/>
    <w:rsid w:val="002E6FE7"/>
    <w:rsid w:val="002E755D"/>
    <w:rsid w:val="002F04E7"/>
    <w:rsid w:val="002F166A"/>
    <w:rsid w:val="002F18BE"/>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41E"/>
    <w:rsid w:val="00325A07"/>
    <w:rsid w:val="00325C6C"/>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27D1"/>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01E"/>
    <w:rsid w:val="003675FA"/>
    <w:rsid w:val="00367AFC"/>
    <w:rsid w:val="00370AD0"/>
    <w:rsid w:val="00371103"/>
    <w:rsid w:val="003718C6"/>
    <w:rsid w:val="0037211F"/>
    <w:rsid w:val="00374237"/>
    <w:rsid w:val="003744EB"/>
    <w:rsid w:val="0037484A"/>
    <w:rsid w:val="0037510A"/>
    <w:rsid w:val="003751FD"/>
    <w:rsid w:val="00375E49"/>
    <w:rsid w:val="00380C7E"/>
    <w:rsid w:val="00381D9E"/>
    <w:rsid w:val="00381FCE"/>
    <w:rsid w:val="003828AD"/>
    <w:rsid w:val="00384332"/>
    <w:rsid w:val="00384B39"/>
    <w:rsid w:val="00384D96"/>
    <w:rsid w:val="00384FDB"/>
    <w:rsid w:val="00385143"/>
    <w:rsid w:val="00385640"/>
    <w:rsid w:val="003861F1"/>
    <w:rsid w:val="003866C8"/>
    <w:rsid w:val="0038688B"/>
    <w:rsid w:val="00387636"/>
    <w:rsid w:val="0038795E"/>
    <w:rsid w:val="003911C6"/>
    <w:rsid w:val="003926BC"/>
    <w:rsid w:val="00394BC0"/>
    <w:rsid w:val="00394CE7"/>
    <w:rsid w:val="0039525A"/>
    <w:rsid w:val="003963EC"/>
    <w:rsid w:val="003966D8"/>
    <w:rsid w:val="00397060"/>
    <w:rsid w:val="003977D9"/>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27F8"/>
    <w:rsid w:val="003B30AE"/>
    <w:rsid w:val="003B47A3"/>
    <w:rsid w:val="003B5775"/>
    <w:rsid w:val="003B5DA2"/>
    <w:rsid w:val="003B6918"/>
    <w:rsid w:val="003B6FB2"/>
    <w:rsid w:val="003B77DD"/>
    <w:rsid w:val="003C0381"/>
    <w:rsid w:val="003C1544"/>
    <w:rsid w:val="003C2535"/>
    <w:rsid w:val="003C2E1D"/>
    <w:rsid w:val="003C2F40"/>
    <w:rsid w:val="003C31A5"/>
    <w:rsid w:val="003C4E86"/>
    <w:rsid w:val="003C5DAE"/>
    <w:rsid w:val="003C62D5"/>
    <w:rsid w:val="003C7125"/>
    <w:rsid w:val="003C7622"/>
    <w:rsid w:val="003D17B5"/>
    <w:rsid w:val="003D1D9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3D01"/>
    <w:rsid w:val="003E40BF"/>
    <w:rsid w:val="003E4FFB"/>
    <w:rsid w:val="003E57A1"/>
    <w:rsid w:val="003E5F44"/>
    <w:rsid w:val="003E6B1C"/>
    <w:rsid w:val="003E6DBE"/>
    <w:rsid w:val="003E7652"/>
    <w:rsid w:val="003E7C45"/>
    <w:rsid w:val="003F070B"/>
    <w:rsid w:val="003F29D4"/>
    <w:rsid w:val="003F35B7"/>
    <w:rsid w:val="003F38CF"/>
    <w:rsid w:val="003F435F"/>
    <w:rsid w:val="003F4542"/>
    <w:rsid w:val="003F455C"/>
    <w:rsid w:val="003F4E30"/>
    <w:rsid w:val="003F534C"/>
    <w:rsid w:val="003F57FD"/>
    <w:rsid w:val="003F6B89"/>
    <w:rsid w:val="003F7233"/>
    <w:rsid w:val="003F744F"/>
    <w:rsid w:val="003F754A"/>
    <w:rsid w:val="00400521"/>
    <w:rsid w:val="00400D35"/>
    <w:rsid w:val="00401FAD"/>
    <w:rsid w:val="00402623"/>
    <w:rsid w:val="00402D0A"/>
    <w:rsid w:val="004044FC"/>
    <w:rsid w:val="00404AC5"/>
    <w:rsid w:val="00404D0B"/>
    <w:rsid w:val="00406A6D"/>
    <w:rsid w:val="00407A54"/>
    <w:rsid w:val="00407B5C"/>
    <w:rsid w:val="00407B7D"/>
    <w:rsid w:val="00412089"/>
    <w:rsid w:val="00412411"/>
    <w:rsid w:val="00412C0E"/>
    <w:rsid w:val="00413775"/>
    <w:rsid w:val="00413CFC"/>
    <w:rsid w:val="00414E23"/>
    <w:rsid w:val="004152A2"/>
    <w:rsid w:val="00416EE9"/>
    <w:rsid w:val="004173B2"/>
    <w:rsid w:val="00417452"/>
    <w:rsid w:val="00421B1A"/>
    <w:rsid w:val="004221F7"/>
    <w:rsid w:val="00422B38"/>
    <w:rsid w:val="0042442F"/>
    <w:rsid w:val="004249B5"/>
    <w:rsid w:val="00424B28"/>
    <w:rsid w:val="0042531D"/>
    <w:rsid w:val="004255CC"/>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2BB5"/>
    <w:rsid w:val="0045383F"/>
    <w:rsid w:val="00454354"/>
    <w:rsid w:val="00454A08"/>
    <w:rsid w:val="0045700E"/>
    <w:rsid w:val="00457476"/>
    <w:rsid w:val="00457FA7"/>
    <w:rsid w:val="00460451"/>
    <w:rsid w:val="004612D7"/>
    <w:rsid w:val="004621F3"/>
    <w:rsid w:val="00462228"/>
    <w:rsid w:val="004623B2"/>
    <w:rsid w:val="004624B4"/>
    <w:rsid w:val="004645B4"/>
    <w:rsid w:val="0046499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6F9C"/>
    <w:rsid w:val="0047701F"/>
    <w:rsid w:val="004771EE"/>
    <w:rsid w:val="004775D7"/>
    <w:rsid w:val="0047763C"/>
    <w:rsid w:val="00477FF5"/>
    <w:rsid w:val="00480231"/>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4CC5"/>
    <w:rsid w:val="004A652C"/>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3D2D"/>
    <w:rsid w:val="004C3ECD"/>
    <w:rsid w:val="004C4236"/>
    <w:rsid w:val="004C4B47"/>
    <w:rsid w:val="004C5E98"/>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F02DE"/>
    <w:rsid w:val="004F0DC0"/>
    <w:rsid w:val="004F0EAB"/>
    <w:rsid w:val="004F1877"/>
    <w:rsid w:val="004F1A28"/>
    <w:rsid w:val="004F1A7E"/>
    <w:rsid w:val="004F2AC6"/>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D70"/>
    <w:rsid w:val="005025DB"/>
    <w:rsid w:val="00503686"/>
    <w:rsid w:val="00504430"/>
    <w:rsid w:val="00504640"/>
    <w:rsid w:val="00506996"/>
    <w:rsid w:val="00511AC2"/>
    <w:rsid w:val="00511FBA"/>
    <w:rsid w:val="00513240"/>
    <w:rsid w:val="00513FA5"/>
    <w:rsid w:val="005158F3"/>
    <w:rsid w:val="00516133"/>
    <w:rsid w:val="00516FEB"/>
    <w:rsid w:val="005171FC"/>
    <w:rsid w:val="00517917"/>
    <w:rsid w:val="00522730"/>
    <w:rsid w:val="005229A3"/>
    <w:rsid w:val="00522D2B"/>
    <w:rsid w:val="00523090"/>
    <w:rsid w:val="0052341E"/>
    <w:rsid w:val="00523B7B"/>
    <w:rsid w:val="00524544"/>
    <w:rsid w:val="00525305"/>
    <w:rsid w:val="00526424"/>
    <w:rsid w:val="00526988"/>
    <w:rsid w:val="00527263"/>
    <w:rsid w:val="00527945"/>
    <w:rsid w:val="005301B5"/>
    <w:rsid w:val="005303C2"/>
    <w:rsid w:val="0053043A"/>
    <w:rsid w:val="00530727"/>
    <w:rsid w:val="00531925"/>
    <w:rsid w:val="00531C9F"/>
    <w:rsid w:val="005338AB"/>
    <w:rsid w:val="005408D6"/>
    <w:rsid w:val="0054234C"/>
    <w:rsid w:val="00542856"/>
    <w:rsid w:val="00542B3F"/>
    <w:rsid w:val="00545055"/>
    <w:rsid w:val="00545338"/>
    <w:rsid w:val="00547B23"/>
    <w:rsid w:val="00547DD4"/>
    <w:rsid w:val="005503A0"/>
    <w:rsid w:val="00550558"/>
    <w:rsid w:val="00550C87"/>
    <w:rsid w:val="0055179C"/>
    <w:rsid w:val="005519D0"/>
    <w:rsid w:val="005520F2"/>
    <w:rsid w:val="005523EB"/>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59E9"/>
    <w:rsid w:val="005774CF"/>
    <w:rsid w:val="005776F2"/>
    <w:rsid w:val="00580740"/>
    <w:rsid w:val="00581A93"/>
    <w:rsid w:val="005833CE"/>
    <w:rsid w:val="00584DBB"/>
    <w:rsid w:val="0058619A"/>
    <w:rsid w:val="00586B48"/>
    <w:rsid w:val="005877BA"/>
    <w:rsid w:val="00587C84"/>
    <w:rsid w:val="005918D7"/>
    <w:rsid w:val="00591D47"/>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C8A"/>
    <w:rsid w:val="005D5FCB"/>
    <w:rsid w:val="005D6CC8"/>
    <w:rsid w:val="005D7E51"/>
    <w:rsid w:val="005E040A"/>
    <w:rsid w:val="005E093C"/>
    <w:rsid w:val="005E0D2F"/>
    <w:rsid w:val="005E33C3"/>
    <w:rsid w:val="005E35E2"/>
    <w:rsid w:val="005E42FB"/>
    <w:rsid w:val="005E43CD"/>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6CAA"/>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EF0"/>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CA1"/>
    <w:rsid w:val="00647EE5"/>
    <w:rsid w:val="00650267"/>
    <w:rsid w:val="00650F4A"/>
    <w:rsid w:val="00653380"/>
    <w:rsid w:val="00653A8C"/>
    <w:rsid w:val="00653BE4"/>
    <w:rsid w:val="00655424"/>
    <w:rsid w:val="006559CA"/>
    <w:rsid w:val="00655A52"/>
    <w:rsid w:val="00657F3E"/>
    <w:rsid w:val="00660BF1"/>
    <w:rsid w:val="00661733"/>
    <w:rsid w:val="006644AD"/>
    <w:rsid w:val="0066499D"/>
    <w:rsid w:val="00664D08"/>
    <w:rsid w:val="00664D64"/>
    <w:rsid w:val="0066514C"/>
    <w:rsid w:val="00665EC7"/>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9A5"/>
    <w:rsid w:val="00681DCC"/>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3279"/>
    <w:rsid w:val="006A3E8F"/>
    <w:rsid w:val="006A6194"/>
    <w:rsid w:val="006A7B06"/>
    <w:rsid w:val="006B172D"/>
    <w:rsid w:val="006B5428"/>
    <w:rsid w:val="006B5431"/>
    <w:rsid w:val="006B5735"/>
    <w:rsid w:val="006B5942"/>
    <w:rsid w:val="006B5D6B"/>
    <w:rsid w:val="006B61E0"/>
    <w:rsid w:val="006B678C"/>
    <w:rsid w:val="006B7026"/>
    <w:rsid w:val="006B790D"/>
    <w:rsid w:val="006C0018"/>
    <w:rsid w:val="006C0BC9"/>
    <w:rsid w:val="006C1145"/>
    <w:rsid w:val="006C11F0"/>
    <w:rsid w:val="006C1224"/>
    <w:rsid w:val="006C3812"/>
    <w:rsid w:val="006C616F"/>
    <w:rsid w:val="006C649F"/>
    <w:rsid w:val="006C7497"/>
    <w:rsid w:val="006C7B7A"/>
    <w:rsid w:val="006C7CCD"/>
    <w:rsid w:val="006D1FF8"/>
    <w:rsid w:val="006D2680"/>
    <w:rsid w:val="006D2BBB"/>
    <w:rsid w:val="006D3D9A"/>
    <w:rsid w:val="006D46A4"/>
    <w:rsid w:val="006D48C7"/>
    <w:rsid w:val="006D4BB5"/>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400"/>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A709C"/>
    <w:rsid w:val="007B0B41"/>
    <w:rsid w:val="007B0F25"/>
    <w:rsid w:val="007B3588"/>
    <w:rsid w:val="007B37B2"/>
    <w:rsid w:val="007B49E9"/>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5AC"/>
    <w:rsid w:val="007E0CA6"/>
    <w:rsid w:val="007E29ED"/>
    <w:rsid w:val="007E2D6B"/>
    <w:rsid w:val="007E3594"/>
    <w:rsid w:val="007E44EB"/>
    <w:rsid w:val="007E47CA"/>
    <w:rsid w:val="007E4B12"/>
    <w:rsid w:val="007E561D"/>
    <w:rsid w:val="007E60AA"/>
    <w:rsid w:val="007E61A2"/>
    <w:rsid w:val="007E69A4"/>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5C27"/>
    <w:rsid w:val="00826334"/>
    <w:rsid w:val="008300AA"/>
    <w:rsid w:val="0083140A"/>
    <w:rsid w:val="00831956"/>
    <w:rsid w:val="008334D8"/>
    <w:rsid w:val="008335DC"/>
    <w:rsid w:val="00833979"/>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373"/>
    <w:rsid w:val="008854B2"/>
    <w:rsid w:val="00885637"/>
    <w:rsid w:val="00886B71"/>
    <w:rsid w:val="00886D03"/>
    <w:rsid w:val="00887C15"/>
    <w:rsid w:val="008901BE"/>
    <w:rsid w:val="00890445"/>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2A9"/>
    <w:rsid w:val="008C6ABD"/>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4914"/>
    <w:rsid w:val="008F65CC"/>
    <w:rsid w:val="008F6917"/>
    <w:rsid w:val="008F6D8B"/>
    <w:rsid w:val="008F7F3E"/>
    <w:rsid w:val="00900C5F"/>
    <w:rsid w:val="0090116B"/>
    <w:rsid w:val="009016D6"/>
    <w:rsid w:val="00902ADD"/>
    <w:rsid w:val="00903657"/>
    <w:rsid w:val="009045CA"/>
    <w:rsid w:val="009052DE"/>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2FE"/>
    <w:rsid w:val="00936449"/>
    <w:rsid w:val="0093698B"/>
    <w:rsid w:val="00936D22"/>
    <w:rsid w:val="009370C2"/>
    <w:rsid w:val="00940001"/>
    <w:rsid w:val="00943A61"/>
    <w:rsid w:val="00944CA8"/>
    <w:rsid w:val="00944ED3"/>
    <w:rsid w:val="00945345"/>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2ED8"/>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F33F9"/>
    <w:rsid w:val="009F3A82"/>
    <w:rsid w:val="009F3B7B"/>
    <w:rsid w:val="009F46A5"/>
    <w:rsid w:val="009F4858"/>
    <w:rsid w:val="009F503C"/>
    <w:rsid w:val="009F78B2"/>
    <w:rsid w:val="00A00207"/>
    <w:rsid w:val="00A004AD"/>
    <w:rsid w:val="00A00A38"/>
    <w:rsid w:val="00A01DE5"/>
    <w:rsid w:val="00A02E3D"/>
    <w:rsid w:val="00A05361"/>
    <w:rsid w:val="00A05614"/>
    <w:rsid w:val="00A06EAD"/>
    <w:rsid w:val="00A07E59"/>
    <w:rsid w:val="00A102E8"/>
    <w:rsid w:val="00A107D9"/>
    <w:rsid w:val="00A1100A"/>
    <w:rsid w:val="00A114CF"/>
    <w:rsid w:val="00A11AC6"/>
    <w:rsid w:val="00A12206"/>
    <w:rsid w:val="00A123C4"/>
    <w:rsid w:val="00A1307C"/>
    <w:rsid w:val="00A14048"/>
    <w:rsid w:val="00A14586"/>
    <w:rsid w:val="00A14968"/>
    <w:rsid w:val="00A15B02"/>
    <w:rsid w:val="00A16304"/>
    <w:rsid w:val="00A16B40"/>
    <w:rsid w:val="00A16E58"/>
    <w:rsid w:val="00A17AC7"/>
    <w:rsid w:val="00A17FBB"/>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F04"/>
    <w:rsid w:val="00A76081"/>
    <w:rsid w:val="00A7691F"/>
    <w:rsid w:val="00A76BFF"/>
    <w:rsid w:val="00A77121"/>
    <w:rsid w:val="00A77163"/>
    <w:rsid w:val="00A77524"/>
    <w:rsid w:val="00A7766B"/>
    <w:rsid w:val="00A77B0A"/>
    <w:rsid w:val="00A77BAD"/>
    <w:rsid w:val="00A77ECE"/>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469F"/>
    <w:rsid w:val="00AA53C2"/>
    <w:rsid w:val="00AA6D09"/>
    <w:rsid w:val="00AA7CAE"/>
    <w:rsid w:val="00AB0709"/>
    <w:rsid w:val="00AB0A01"/>
    <w:rsid w:val="00AB0D46"/>
    <w:rsid w:val="00AB2438"/>
    <w:rsid w:val="00AB2CA2"/>
    <w:rsid w:val="00AB38F0"/>
    <w:rsid w:val="00AB69F2"/>
    <w:rsid w:val="00AB6B6D"/>
    <w:rsid w:val="00AB77D8"/>
    <w:rsid w:val="00AC0850"/>
    <w:rsid w:val="00AC1898"/>
    <w:rsid w:val="00AC2312"/>
    <w:rsid w:val="00AC26CB"/>
    <w:rsid w:val="00AC2762"/>
    <w:rsid w:val="00AC42EB"/>
    <w:rsid w:val="00AC48D2"/>
    <w:rsid w:val="00AC5D07"/>
    <w:rsid w:val="00AC727B"/>
    <w:rsid w:val="00AD024E"/>
    <w:rsid w:val="00AD07F6"/>
    <w:rsid w:val="00AD08B5"/>
    <w:rsid w:val="00AD18D4"/>
    <w:rsid w:val="00AD1A71"/>
    <w:rsid w:val="00AD2971"/>
    <w:rsid w:val="00AD2992"/>
    <w:rsid w:val="00AD46C1"/>
    <w:rsid w:val="00AD521A"/>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A5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E1D"/>
    <w:rsid w:val="00B1652C"/>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32F"/>
    <w:rsid w:val="00B44685"/>
    <w:rsid w:val="00B45345"/>
    <w:rsid w:val="00B462F7"/>
    <w:rsid w:val="00B47537"/>
    <w:rsid w:val="00B476EC"/>
    <w:rsid w:val="00B5019E"/>
    <w:rsid w:val="00B503F0"/>
    <w:rsid w:val="00B50869"/>
    <w:rsid w:val="00B52D4D"/>
    <w:rsid w:val="00B53334"/>
    <w:rsid w:val="00B53E3F"/>
    <w:rsid w:val="00B5479D"/>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44DD"/>
    <w:rsid w:val="00B65B9F"/>
    <w:rsid w:val="00B65EA7"/>
    <w:rsid w:val="00B6785D"/>
    <w:rsid w:val="00B679D3"/>
    <w:rsid w:val="00B67C9B"/>
    <w:rsid w:val="00B701F4"/>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312D"/>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7AA"/>
    <w:rsid w:val="00BB7FC1"/>
    <w:rsid w:val="00BC0361"/>
    <w:rsid w:val="00BC0EC7"/>
    <w:rsid w:val="00BC0F3C"/>
    <w:rsid w:val="00BC1DAF"/>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D7DB8"/>
    <w:rsid w:val="00BE1CF0"/>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6F18"/>
    <w:rsid w:val="00C471E0"/>
    <w:rsid w:val="00C473C1"/>
    <w:rsid w:val="00C478B7"/>
    <w:rsid w:val="00C47C9E"/>
    <w:rsid w:val="00C52606"/>
    <w:rsid w:val="00C52D55"/>
    <w:rsid w:val="00C53CE2"/>
    <w:rsid w:val="00C53E3E"/>
    <w:rsid w:val="00C540F1"/>
    <w:rsid w:val="00C54202"/>
    <w:rsid w:val="00C54274"/>
    <w:rsid w:val="00C552D4"/>
    <w:rsid w:val="00C558FB"/>
    <w:rsid w:val="00C56190"/>
    <w:rsid w:val="00C569D4"/>
    <w:rsid w:val="00C608E9"/>
    <w:rsid w:val="00C613F4"/>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92E"/>
    <w:rsid w:val="00C856F5"/>
    <w:rsid w:val="00C903ED"/>
    <w:rsid w:val="00C914CF"/>
    <w:rsid w:val="00C91920"/>
    <w:rsid w:val="00C92C6D"/>
    <w:rsid w:val="00C933C1"/>
    <w:rsid w:val="00C93992"/>
    <w:rsid w:val="00C9476D"/>
    <w:rsid w:val="00C9528C"/>
    <w:rsid w:val="00CA014A"/>
    <w:rsid w:val="00CA028E"/>
    <w:rsid w:val="00CA16D3"/>
    <w:rsid w:val="00CA2222"/>
    <w:rsid w:val="00CA27B1"/>
    <w:rsid w:val="00CA30A7"/>
    <w:rsid w:val="00CA3A10"/>
    <w:rsid w:val="00CA3A26"/>
    <w:rsid w:val="00CA3D81"/>
    <w:rsid w:val="00CA431C"/>
    <w:rsid w:val="00CA43A0"/>
    <w:rsid w:val="00CA46BE"/>
    <w:rsid w:val="00CA5274"/>
    <w:rsid w:val="00CA6657"/>
    <w:rsid w:val="00CA6890"/>
    <w:rsid w:val="00CA69F7"/>
    <w:rsid w:val="00CA70B1"/>
    <w:rsid w:val="00CB0EB5"/>
    <w:rsid w:val="00CB16CB"/>
    <w:rsid w:val="00CB18D8"/>
    <w:rsid w:val="00CB242C"/>
    <w:rsid w:val="00CB273E"/>
    <w:rsid w:val="00CB2807"/>
    <w:rsid w:val="00CB309F"/>
    <w:rsid w:val="00CB311B"/>
    <w:rsid w:val="00CB41BC"/>
    <w:rsid w:val="00CB511D"/>
    <w:rsid w:val="00CB57B5"/>
    <w:rsid w:val="00CB5EB9"/>
    <w:rsid w:val="00CB72A6"/>
    <w:rsid w:val="00CC0518"/>
    <w:rsid w:val="00CC1869"/>
    <w:rsid w:val="00CC25DC"/>
    <w:rsid w:val="00CC2B72"/>
    <w:rsid w:val="00CC2F3D"/>
    <w:rsid w:val="00CC4875"/>
    <w:rsid w:val="00CC4A9D"/>
    <w:rsid w:val="00CC4D1F"/>
    <w:rsid w:val="00CC562B"/>
    <w:rsid w:val="00CC5F13"/>
    <w:rsid w:val="00CC5F23"/>
    <w:rsid w:val="00CC62D7"/>
    <w:rsid w:val="00CC64D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A89"/>
    <w:rsid w:val="00CD7CEF"/>
    <w:rsid w:val="00CE034D"/>
    <w:rsid w:val="00CE0842"/>
    <w:rsid w:val="00CE0859"/>
    <w:rsid w:val="00CE0FF9"/>
    <w:rsid w:val="00CE10FD"/>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F3"/>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0F8A"/>
    <w:rsid w:val="00D713FF"/>
    <w:rsid w:val="00D71871"/>
    <w:rsid w:val="00D71FEC"/>
    <w:rsid w:val="00D72C9D"/>
    <w:rsid w:val="00D72E8F"/>
    <w:rsid w:val="00D73A22"/>
    <w:rsid w:val="00D77CCA"/>
    <w:rsid w:val="00D803B9"/>
    <w:rsid w:val="00D811DD"/>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3FB7"/>
    <w:rsid w:val="00D959FC"/>
    <w:rsid w:val="00D95B0B"/>
    <w:rsid w:val="00D95CBE"/>
    <w:rsid w:val="00D95DC4"/>
    <w:rsid w:val="00D95E3B"/>
    <w:rsid w:val="00D96785"/>
    <w:rsid w:val="00D967DB"/>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0F12"/>
    <w:rsid w:val="00DE1339"/>
    <w:rsid w:val="00DE176D"/>
    <w:rsid w:val="00DE1C16"/>
    <w:rsid w:val="00DE2756"/>
    <w:rsid w:val="00DE2B23"/>
    <w:rsid w:val="00DE2C99"/>
    <w:rsid w:val="00DE2F7D"/>
    <w:rsid w:val="00DE3652"/>
    <w:rsid w:val="00DE3D6A"/>
    <w:rsid w:val="00DE4170"/>
    <w:rsid w:val="00DE4B1D"/>
    <w:rsid w:val="00DE5366"/>
    <w:rsid w:val="00DE5C13"/>
    <w:rsid w:val="00DE6402"/>
    <w:rsid w:val="00DE6EAE"/>
    <w:rsid w:val="00DE750C"/>
    <w:rsid w:val="00DE76AB"/>
    <w:rsid w:val="00DF0B37"/>
    <w:rsid w:val="00DF179A"/>
    <w:rsid w:val="00DF24A6"/>
    <w:rsid w:val="00DF272E"/>
    <w:rsid w:val="00DF2C98"/>
    <w:rsid w:val="00DF39D6"/>
    <w:rsid w:val="00DF3DDC"/>
    <w:rsid w:val="00DF46A9"/>
    <w:rsid w:val="00DF4CBA"/>
    <w:rsid w:val="00DF72C1"/>
    <w:rsid w:val="00DF7EFA"/>
    <w:rsid w:val="00E0203D"/>
    <w:rsid w:val="00E0293F"/>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42C"/>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A60"/>
    <w:rsid w:val="00E93048"/>
    <w:rsid w:val="00E93F72"/>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0335"/>
    <w:rsid w:val="00EB1E1A"/>
    <w:rsid w:val="00EB28D5"/>
    <w:rsid w:val="00EB30E1"/>
    <w:rsid w:val="00EB328E"/>
    <w:rsid w:val="00EB4A02"/>
    <w:rsid w:val="00EB6065"/>
    <w:rsid w:val="00EB6395"/>
    <w:rsid w:val="00EB78DF"/>
    <w:rsid w:val="00EC069B"/>
    <w:rsid w:val="00EC0FDA"/>
    <w:rsid w:val="00EC12AE"/>
    <w:rsid w:val="00EC1C0E"/>
    <w:rsid w:val="00EC2237"/>
    <w:rsid w:val="00EC3D59"/>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EF0"/>
    <w:rsid w:val="00EE64FE"/>
    <w:rsid w:val="00EE66EB"/>
    <w:rsid w:val="00EE6C89"/>
    <w:rsid w:val="00EE7A40"/>
    <w:rsid w:val="00EE7E0E"/>
    <w:rsid w:val="00EF108D"/>
    <w:rsid w:val="00EF24B9"/>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E6F"/>
    <w:rsid w:val="00F1009D"/>
    <w:rsid w:val="00F10ECA"/>
    <w:rsid w:val="00F129C5"/>
    <w:rsid w:val="00F12ADC"/>
    <w:rsid w:val="00F1369F"/>
    <w:rsid w:val="00F14700"/>
    <w:rsid w:val="00F14B65"/>
    <w:rsid w:val="00F15D85"/>
    <w:rsid w:val="00F17FBC"/>
    <w:rsid w:val="00F20112"/>
    <w:rsid w:val="00F20131"/>
    <w:rsid w:val="00F206F2"/>
    <w:rsid w:val="00F20DA4"/>
    <w:rsid w:val="00F21A59"/>
    <w:rsid w:val="00F22BA9"/>
    <w:rsid w:val="00F231F1"/>
    <w:rsid w:val="00F23E97"/>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085"/>
    <w:rsid w:val="00F4341D"/>
    <w:rsid w:val="00F436C4"/>
    <w:rsid w:val="00F44091"/>
    <w:rsid w:val="00F4423D"/>
    <w:rsid w:val="00F4463D"/>
    <w:rsid w:val="00F4475A"/>
    <w:rsid w:val="00F44F11"/>
    <w:rsid w:val="00F450D6"/>
    <w:rsid w:val="00F4522D"/>
    <w:rsid w:val="00F46B22"/>
    <w:rsid w:val="00F474A0"/>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7818"/>
    <w:rsid w:val="00F9053A"/>
    <w:rsid w:val="00F91183"/>
    <w:rsid w:val="00F911E8"/>
    <w:rsid w:val="00F92673"/>
    <w:rsid w:val="00F93136"/>
    <w:rsid w:val="00F940EE"/>
    <w:rsid w:val="00F9442B"/>
    <w:rsid w:val="00F94D17"/>
    <w:rsid w:val="00F955F3"/>
    <w:rsid w:val="00F957BC"/>
    <w:rsid w:val="00F959DB"/>
    <w:rsid w:val="00F971DA"/>
    <w:rsid w:val="00F97209"/>
    <w:rsid w:val="00F97291"/>
    <w:rsid w:val="00F97A33"/>
    <w:rsid w:val="00FA1E6F"/>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0356"/>
    <w:rsid w:val="00FE16DE"/>
    <w:rsid w:val="00FE1734"/>
    <w:rsid w:val="00FE4329"/>
    <w:rsid w:val="00FE4B14"/>
    <w:rsid w:val="00FE5F61"/>
    <w:rsid w:val="00FF0350"/>
    <w:rsid w:val="00FF07EE"/>
    <w:rsid w:val="00FF0812"/>
    <w:rsid w:val="00FF1156"/>
    <w:rsid w:val="00FF404E"/>
    <w:rsid w:val="00FF52AF"/>
    <w:rsid w:val="00FF6300"/>
    <w:rsid w:val="00FF7C55"/>
    <w:rsid w:val="00FF7D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footnote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6F18"/>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uiPriority w:val="99"/>
    <w:qFormat/>
    <w:rsid w:val="00C46F18"/>
    <w:pPr>
      <w:keepNext/>
      <w:suppressAutoHyphens/>
      <w:jc w:val="center"/>
      <w:outlineLvl w:val="0"/>
    </w:pPr>
    <w:rPr>
      <w:rFonts w:ascii="TimesET" w:hAnsi="TimesET"/>
      <w:sz w:val="28"/>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rsid w:val="00C46F18"/>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uiPriority w:val="99"/>
    <w:qFormat/>
    <w:rsid w:val="00C46F18"/>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uiPriority w:val="99"/>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rsid w:val="00C46F18"/>
    <w:pPr>
      <w:jc w:val="both"/>
    </w:pPr>
    <w:rPr>
      <w:sz w:val="28"/>
    </w:rPr>
  </w:style>
  <w:style w:type="paragraph" w:styleId="a5">
    <w:name w:val="Title"/>
    <w:basedOn w:val="a0"/>
    <w:link w:val="a6"/>
    <w:qFormat/>
    <w:rsid w:val="00C46F18"/>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rsid w:val="00C46F18"/>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rsid w:val="00C46F18"/>
  </w:style>
  <w:style w:type="paragraph" w:customStyle="1" w:styleId="--">
    <w:name w:val="- СТРАНИЦА -"/>
    <w:rsid w:val="00C46F18"/>
    <w:rPr>
      <w:sz w:val="24"/>
      <w:szCs w:val="24"/>
    </w:rPr>
  </w:style>
  <w:style w:type="paragraph" w:styleId="aa">
    <w:name w:val="Body Text Indent"/>
    <w:basedOn w:val="a0"/>
    <w:link w:val="ab"/>
    <w:uiPriority w:val="99"/>
    <w:rsid w:val="00C46F18"/>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aliases w:val="Ги"/>
    <w:qFormat/>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eastAsia="en-US"/>
    </w:rPr>
  </w:style>
  <w:style w:type="character" w:customStyle="1" w:styleId="aff0">
    <w:name w:val="Текст выноски Знак"/>
    <w:link w:val="aff"/>
    <w:uiPriority w:val="99"/>
    <w:rsid w:val="002651C1"/>
    <w:rPr>
      <w:rFonts w:ascii="Tahoma" w:eastAsia="Calibri" w:hAnsi="Tahoma"/>
      <w:b/>
      <w:sz w:val="16"/>
      <w:szCs w:val="16"/>
      <w:lang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uiPriority w:val="99"/>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rPr>
  </w:style>
  <w:style w:type="paragraph" w:customStyle="1" w:styleId="a">
    <w:name w:val="Список общий"/>
    <w:basedOn w:val="a0"/>
    <w:link w:val="afff3"/>
    <w:qFormat/>
    <w:rsid w:val="001360F0"/>
    <w:pPr>
      <w:numPr>
        <w:numId w:val="1"/>
      </w:numPr>
      <w:spacing w:line="360" w:lineRule="auto"/>
      <w:jc w:val="both"/>
    </w:pPr>
    <w:rPr>
      <w:bCs/>
      <w:kern w:val="28"/>
      <w:szCs w:val="28"/>
      <w:lang w:eastAsia="en-US"/>
    </w:rPr>
  </w:style>
  <w:style w:type="character" w:customStyle="1" w:styleId="afff3">
    <w:name w:val="Список общий Знак"/>
    <w:link w:val="a"/>
    <w:rsid w:val="001360F0"/>
    <w:rPr>
      <w:bCs/>
      <w:kern w:val="28"/>
      <w:sz w:val="24"/>
      <w:szCs w:val="28"/>
      <w:lang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rPr>
  </w:style>
  <w:style w:type="character" w:customStyle="1" w:styleId="afff5">
    <w:name w:val="Текст программы Знак"/>
    <w:link w:val="afff4"/>
    <w:rsid w:val="001360F0"/>
    <w:rPr>
      <w:color w:val="000000"/>
      <w:sz w:val="24"/>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nhideWhenUsed/>
    <w:rsid w:val="000353B1"/>
    <w:pPr>
      <w:spacing w:after="120"/>
    </w:pPr>
    <w:rPr>
      <w:sz w:val="16"/>
      <w:szCs w:val="16"/>
    </w:rPr>
  </w:style>
  <w:style w:type="character" w:customStyle="1" w:styleId="32">
    <w:name w:val="Основной текст 3 Знак"/>
    <w:link w:val="31"/>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uiPriority w:val="99"/>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uiPriority w:val="99"/>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rPr>
  </w:style>
  <w:style w:type="character" w:customStyle="1" w:styleId="affff3">
    <w:name w:val="Схема документа Знак"/>
    <w:link w:val="affff2"/>
    <w:rsid w:val="00D9237F"/>
    <w:rPr>
      <w:rFonts w:ascii="Tahoma" w:hAnsi="Tahoma"/>
      <w:shd w:val="clear" w:color="auto" w:fill="000080"/>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Знак1 Знак2, Знак1 Знак Знак1 Знак"/>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rPr>
  </w:style>
  <w:style w:type="character" w:customStyle="1" w:styleId="34">
    <w:name w:val="Основной текст с отступом 3 Знак"/>
    <w:link w:val="33"/>
    <w:rsid w:val="00D9237F"/>
    <w:rPr>
      <w:rFonts w:ascii="Courier New" w:hAnsi="Courier New"/>
      <w:snapToGrid w:val="0"/>
      <w:sz w:val="24"/>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rPr>
  </w:style>
  <w:style w:type="character" w:customStyle="1" w:styleId="affff8">
    <w:name w:val="Подзаголовок Знак"/>
    <w:link w:val="affff7"/>
    <w:rsid w:val="00D9237F"/>
    <w:rPr>
      <w:rFonts w:ascii="Cambria" w:hAnsi="Cambria"/>
      <w:sz w:val="24"/>
      <w:szCs w:val="24"/>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Style11">
    <w:name w:val="Style11"/>
    <w:basedOn w:val="a0"/>
    <w:rsid w:val="00501D70"/>
    <w:pPr>
      <w:widowControl w:val="0"/>
      <w:autoSpaceDE w:val="0"/>
      <w:autoSpaceDN w:val="0"/>
      <w:adjustRightInd w:val="0"/>
      <w:spacing w:line="290" w:lineRule="exact"/>
      <w:ind w:firstLine="571"/>
      <w:jc w:val="both"/>
    </w:pPr>
    <w:rPr>
      <w:rFonts w:ascii="Arial" w:hAnsi="Arial"/>
    </w:rPr>
  </w:style>
  <w:style w:type="character" w:customStyle="1" w:styleId="1f0">
    <w:name w:val="Текст Знак1"/>
    <w:uiPriority w:val="99"/>
    <w:semiHidden/>
    <w:rsid w:val="00501D70"/>
    <w:rPr>
      <w:rFonts w:ascii="Consolas" w:hAnsi="Consolas" w:cs="Consolas"/>
      <w:sz w:val="21"/>
      <w:szCs w:val="21"/>
    </w:rPr>
  </w:style>
  <w:style w:type="numbering" w:customStyle="1" w:styleId="36">
    <w:name w:val="Нет списка3"/>
    <w:next w:val="a3"/>
    <w:uiPriority w:val="99"/>
    <w:semiHidden/>
    <w:rsid w:val="00501D70"/>
  </w:style>
  <w:style w:type="table" w:customStyle="1" w:styleId="1f1">
    <w:name w:val="Сетка таблицы1"/>
    <w:basedOn w:val="a2"/>
    <w:next w:val="ac"/>
    <w:uiPriority w:val="59"/>
    <w:rsid w:val="00501D7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369435">
      <w:bodyDiv w:val="1"/>
      <w:marLeft w:val="0"/>
      <w:marRight w:val="0"/>
      <w:marTop w:val="0"/>
      <w:marBottom w:val="0"/>
      <w:divBdr>
        <w:top w:val="none" w:sz="0" w:space="0" w:color="auto"/>
        <w:left w:val="none" w:sz="0" w:space="0" w:color="auto"/>
        <w:bottom w:val="none" w:sz="0" w:space="0" w:color="auto"/>
        <w:right w:val="none" w:sz="0" w:space="0" w:color="auto"/>
      </w:divBdr>
    </w:div>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55341011">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361319898">
      <w:bodyDiv w:val="1"/>
      <w:marLeft w:val="0"/>
      <w:marRight w:val="0"/>
      <w:marTop w:val="0"/>
      <w:marBottom w:val="0"/>
      <w:divBdr>
        <w:top w:val="none" w:sz="0" w:space="0" w:color="auto"/>
        <w:left w:val="none" w:sz="0" w:space="0" w:color="auto"/>
        <w:bottom w:val="none" w:sz="0" w:space="0" w:color="auto"/>
        <w:right w:val="none" w:sz="0" w:space="0" w:color="auto"/>
      </w:divBdr>
    </w:div>
    <w:div w:id="45660416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525745850">
      <w:bodyDiv w:val="1"/>
      <w:marLeft w:val="0"/>
      <w:marRight w:val="0"/>
      <w:marTop w:val="0"/>
      <w:marBottom w:val="0"/>
      <w:divBdr>
        <w:top w:val="none" w:sz="0" w:space="0" w:color="auto"/>
        <w:left w:val="none" w:sz="0" w:space="0" w:color="auto"/>
        <w:bottom w:val="none" w:sz="0" w:space="0" w:color="auto"/>
        <w:right w:val="none" w:sz="0" w:space="0" w:color="auto"/>
      </w:divBdr>
    </w:div>
    <w:div w:id="1636326925">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057322">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31697406">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1996954379">
      <w:bodyDiv w:val="1"/>
      <w:marLeft w:val="0"/>
      <w:marRight w:val="0"/>
      <w:marTop w:val="0"/>
      <w:marBottom w:val="0"/>
      <w:divBdr>
        <w:top w:val="none" w:sz="0" w:space="0" w:color="auto"/>
        <w:left w:val="none" w:sz="0" w:space="0" w:color="auto"/>
        <w:bottom w:val="none" w:sz="0" w:space="0" w:color="auto"/>
        <w:right w:val="none" w:sz="0" w:space="0" w:color="auto"/>
      </w:divBdr>
    </w:div>
    <w:div w:id="2075618018">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 w:id="21322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FILE-SERVER\content\act\8f21b21c-a408-42c4-b9fe-a939b863c84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4156</TotalTime>
  <Pages>4</Pages>
  <Words>1135</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Лешукова Галина</dc:creator>
  <cp:lastModifiedBy>021507</cp:lastModifiedBy>
  <cp:revision>53</cp:revision>
  <cp:lastPrinted>2025-09-01T06:00:00Z</cp:lastPrinted>
  <dcterms:created xsi:type="dcterms:W3CDTF">2024-12-24T12:47:00Z</dcterms:created>
  <dcterms:modified xsi:type="dcterms:W3CDTF">2026-01-19T05:18:00Z</dcterms:modified>
</cp:coreProperties>
</file>