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2"/>
        <w:jc w:val="left"/>
        <w:shd w:val="clear" w:color="auto" w:fill="ffffff"/>
        <w:rPr>
          <w:b/>
          <w:sz w:val="24"/>
          <w:szCs w:val="24"/>
        </w:rPr>
        <w:outlineLvl w:val="0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center"/>
        <w:tabs>
          <w:tab w:val="left" w:pos="5823" w:leader="none"/>
        </w:tabs>
        <w:rPr>
          <w:b/>
          <w:szCs w:val="28"/>
        </w:rPr>
      </w:pPr>
      <w:r>
        <w:rPr>
          <w:b/>
          <w:szCs w:val="28"/>
        </w:rPr>
        <w:t xml:space="preserve">КУ «Центр обеспечения безопасности жизнедеятельности и призыва граждан на военную службу»</w:t>
      </w:r>
      <w:r>
        <w:rPr>
          <w:b/>
          <w:szCs w:val="28"/>
        </w:rPr>
      </w:r>
    </w:p>
    <w:p>
      <w:pPr>
        <w:ind w:right="125"/>
        <w:jc w:val="center"/>
        <w:shd w:val="clear" w:color="auto" w:fill="ffffff"/>
        <w:rPr>
          <w:b/>
          <w:szCs w:val="24"/>
        </w:rPr>
      </w:pPr>
      <w:r>
        <w:rPr>
          <w:b/>
          <w:szCs w:val="24"/>
        </w:rPr>
        <w:t xml:space="preserve">Территориальный центр анализа и прогноза угроз безопасности</w:t>
      </w:r>
      <w:r>
        <w:rPr>
          <w:b/>
          <w:szCs w:val="24"/>
        </w:rPr>
      </w:r>
    </w:p>
    <w:p>
      <w:pPr>
        <w:pStyle w:val="942"/>
        <w:jc w:val="left"/>
        <w:shd w:val="clear" w:color="auto" w:fill="ffffff"/>
        <w:rPr>
          <w:b/>
          <w:sz w:val="24"/>
          <w:szCs w:val="24"/>
        </w:rPr>
        <w:outlineLvl w:val="0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right="125"/>
        <w:jc w:val="center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Детализированный прогноз</w:t>
      </w:r>
      <w:r>
        <w:rPr>
          <w:b/>
          <w:sz w:val="24"/>
          <w:szCs w:val="24"/>
        </w:rPr>
      </w:r>
    </w:p>
    <w:p>
      <w:pPr>
        <w:ind w:right="125"/>
        <w:jc w:val="center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возможного возникновения ЧС (происшествий) на территории</w:t>
      </w:r>
      <w:r>
        <w:rPr>
          <w:b/>
          <w:sz w:val="24"/>
          <w:szCs w:val="24"/>
        </w:rPr>
      </w:r>
    </w:p>
    <w:p>
      <w:pPr>
        <w:jc w:val="center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Ханты-Мансийского автономного округа-Югры</w:t>
      </w:r>
      <w:r>
        <w:rPr>
          <w:sz w:val="24"/>
          <w:szCs w:val="24"/>
        </w:rPr>
      </w:r>
    </w:p>
    <w:p>
      <w:pPr>
        <w:pStyle w:val="942"/>
        <w:ind w:firstLine="567"/>
        <w:jc w:val="both"/>
        <w:shd w:val="clear" w:color="auto" w:fill="ffffff"/>
        <w:rPr>
          <w:b/>
          <w:sz w:val="24"/>
          <w:szCs w:val="24"/>
        </w:rPr>
        <w:outlineLvl w:val="0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9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8"/>
          <w:u w:val="single"/>
        </w:rPr>
        <w:t xml:space="preserve">По данным ГУ «Ханты-Мансийский ЦГМС</w:t>
      </w:r>
      <w:r>
        <w:rPr>
          <w:rFonts w:ascii="Times New Roman" w:hAnsi="Times New Roman"/>
          <w:i/>
          <w:sz w:val="24"/>
          <w:szCs w:val="28"/>
          <w:u w:val="single"/>
        </w:rPr>
        <w:t xml:space="preserve">»</w:t>
      </w:r>
      <w:r>
        <w:rPr>
          <w:rFonts w:ascii="Times New Roman" w:hAnsi="Times New Roman"/>
          <w:sz w:val="24"/>
          <w:szCs w:val="28"/>
        </w:rPr>
        <w:t xml:space="preserve">: </w:t>
      </w:r>
      <w:r>
        <w:rPr>
          <w:rFonts w:ascii="Times New Roman" w:hAnsi="Times New Roman"/>
          <w:b/>
          <w:bCs/>
          <w:sz w:val="24"/>
          <w:szCs w:val="28"/>
        </w:rPr>
        <w:t xml:space="preserve">ОЯ</w:t>
      </w:r>
      <w:r>
        <w:rPr>
          <w:rFonts w:ascii="Times New Roman" w:hAnsi="Times New Roman"/>
          <w:b/>
          <w:sz w:val="24"/>
          <w:szCs w:val="24"/>
        </w:rPr>
        <w:t xml:space="preserve">: 29</w:t>
      </w:r>
      <w:r>
        <w:rPr>
          <w:rFonts w:ascii="Times New Roman" w:hAnsi="Times New Roman"/>
          <w:b/>
          <w:bCs/>
          <w:sz w:val="24"/>
          <w:szCs w:val="24"/>
        </w:rPr>
        <w:t xml:space="preserve"> апреля 2025 г. </w:t>
      </w:r>
      <w:r>
        <w:rPr>
          <w:rFonts w:ascii="Times New Roman" w:hAnsi="Times New Roman"/>
          <w:sz w:val="24"/>
          <w:szCs w:val="24"/>
        </w:rPr>
        <w:t xml:space="preserve">местами на территории Ханты-Мансийского автономного округа – Югры </w:t>
      </w:r>
      <w:r>
        <w:rPr>
          <w:rFonts w:ascii="Times New Roman" w:hAnsi="Times New Roman"/>
          <w:sz w:val="24"/>
          <w:szCs w:val="24"/>
        </w:rPr>
        <w:t xml:space="preserve">(Ханты-Мансийский МР, ГО Ханты-Мансийск, Кондинский МР, ГО Урай, Нефтеюганский МР,  ГО </w:t>
      </w:r>
      <w:r>
        <w:rPr>
          <w:rFonts w:ascii="Times New Roman" w:hAnsi="Times New Roman"/>
          <w:sz w:val="24"/>
          <w:szCs w:val="24"/>
        </w:rPr>
        <w:t xml:space="preserve">Нефтеюганск, ГО Пыть-Ях, Сургутский МР, ГО Сургут, Октябрьский МР, ГО Нягань, Советский МР, ГО Югорс</w:t>
      </w:r>
      <w:r>
        <w:rPr>
          <w:rFonts w:ascii="Times New Roman" w:hAnsi="Times New Roman"/>
          <w:sz w:val="24"/>
          <w:szCs w:val="24"/>
        </w:rPr>
        <w:t xml:space="preserve">к) </w:t>
      </w:r>
      <w:r>
        <w:rPr>
          <w:rFonts w:ascii="Times New Roman" w:hAnsi="Times New Roman"/>
          <w:b/>
          <w:bCs/>
          <w:sz w:val="24"/>
          <w:szCs w:val="24"/>
        </w:rPr>
        <w:t xml:space="preserve">ожидаются опасные явления сильные гололедно-изморозевые</w:t>
      </w:r>
      <w:r>
        <w:rPr>
          <w:rFonts w:ascii="Times New Roman" w:hAnsi="Times New Roman"/>
          <w:b/>
          <w:bCs/>
          <w:sz w:val="24"/>
          <w:szCs w:val="24"/>
        </w:rPr>
        <w:t xml:space="preserve"> отложения.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9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центр округа - </w:t>
      </w:r>
      <w:r>
        <w:rPr>
          <w:rFonts w:ascii="Times New Roman" w:hAnsi="Times New Roman"/>
          <w:b/>
          <w:bCs/>
          <w:sz w:val="24"/>
          <w:szCs w:val="24"/>
        </w:rPr>
        <w:t xml:space="preserve">г. Ханты-Мансийск. </w:t>
      </w:r>
      <w:r>
        <w:rPr>
          <w:rFonts w:ascii="Times New Roman" w:hAnsi="Times New Roman"/>
          <w:sz w:val="24"/>
          <w:szCs w:val="24"/>
        </w:rPr>
        <w:t xml:space="preserve">Площадь - 534,8 тыс. кв.км. Числен</w:t>
      </w:r>
      <w:r>
        <w:rPr>
          <w:rFonts w:ascii="Times New Roman" w:hAnsi="Times New Roman"/>
          <w:sz w:val="24"/>
          <w:szCs w:val="24"/>
        </w:rPr>
        <w:t xml:space="preserve">ность постоянного населения на </w:t>
      </w:r>
      <w:r>
        <w:rPr>
          <w:rFonts w:ascii="Times New Roman" w:hAnsi="Times New Roman"/>
          <w:color w:val="000000"/>
          <w:sz w:val="24"/>
          <w:szCs w:val="24"/>
        </w:rPr>
        <w:t xml:space="preserve">1 мая 2024 года – 1 763 439 человек.</w:t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993"/>
        <w:ind w:firstLine="709"/>
        <w:jc w:val="both"/>
        <w:shd w:val="clear" w:color="auto" w:fill="ffffff"/>
      </w:pPr>
      <w:r>
        <w:t xml:space="preserve">В состав округа входят: 22 муниципальных образования.</w:t>
      </w:r>
      <w:r/>
    </w:p>
    <w:p>
      <w:pPr>
        <w:jc w:val="both"/>
        <w:tabs>
          <w:tab w:val="left" w:pos="18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80" w:leader="none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Под воздействие могут попасть:</w:t>
      </w:r>
      <w:r>
        <w:rPr>
          <w:b/>
          <w:bCs/>
          <w:sz w:val="24"/>
          <w:szCs w:val="24"/>
        </w:rPr>
      </w:r>
    </w:p>
    <w:p>
      <w:pPr>
        <w:numPr>
          <w:ilvl w:val="0"/>
          <w:numId w:val="50"/>
        </w:numPr>
        <w:ind w:left="7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</w:t>
      </w:r>
      <w:r>
        <w:rPr>
          <w:i/>
          <w:sz w:val="24"/>
          <w:szCs w:val="24"/>
        </w:rPr>
        <w:t xml:space="preserve"> муниципальных районов, 7 городских округов, 130 населенных пунктов, 46 692 жилых домов, </w:t>
      </w:r>
      <w:r>
        <w:rPr>
          <w:i/>
          <w:sz w:val="24"/>
          <w:szCs w:val="24"/>
        </w:rPr>
        <w:t xml:space="preserve">1 152 946 человек, из них 306 319 детей;</w:t>
      </w:r>
      <w:r>
        <w:rPr>
          <w:i/>
          <w:sz w:val="24"/>
          <w:szCs w:val="24"/>
        </w:rPr>
      </w:r>
    </w:p>
    <w:p>
      <w:pPr>
        <w:numPr>
          <w:ilvl w:val="0"/>
          <w:numId w:val="50"/>
        </w:numPr>
        <w:ind w:left="7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1075 социально-значимых объектов (из них 172 с круглосуточным пребыванием людей);</w:t>
      </w:r>
      <w:r>
        <w:rPr>
          <w:i/>
          <w:sz w:val="24"/>
          <w:szCs w:val="24"/>
        </w:rPr>
      </w:r>
    </w:p>
    <w:p>
      <w:pPr>
        <w:numPr>
          <w:ilvl w:val="0"/>
          <w:numId w:val="50"/>
        </w:numPr>
        <w:ind w:left="7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160 потенциально-опасных объектов;</w:t>
      </w:r>
      <w:r>
        <w:rPr>
          <w:i/>
          <w:sz w:val="24"/>
          <w:szCs w:val="24"/>
        </w:rPr>
      </w:r>
    </w:p>
    <w:p>
      <w:pPr>
        <w:numPr>
          <w:ilvl w:val="0"/>
          <w:numId w:val="50"/>
        </w:numPr>
        <w:ind w:left="7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385 котельных;</w:t>
      </w:r>
      <w:r>
        <w:rPr>
          <w:i/>
          <w:sz w:val="24"/>
          <w:szCs w:val="24"/>
        </w:rPr>
      </w:r>
    </w:p>
    <w:p>
      <w:pPr>
        <w:numPr>
          <w:ilvl w:val="0"/>
          <w:numId w:val="50"/>
        </w:numPr>
        <w:ind w:left="7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2919 трансформаторных подстанций;</w:t>
      </w:r>
      <w:r>
        <w:rPr>
          <w:i/>
          <w:sz w:val="24"/>
          <w:szCs w:val="24"/>
        </w:rPr>
      </w:r>
    </w:p>
    <w:p>
      <w:pPr>
        <w:numPr>
          <w:ilvl w:val="0"/>
          <w:numId w:val="50"/>
        </w:numPr>
        <w:ind w:left="7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652 резервных источников питания;</w:t>
      </w:r>
      <w:r>
        <w:rPr>
          <w:i/>
          <w:sz w:val="24"/>
          <w:szCs w:val="24"/>
        </w:rPr>
      </w:r>
    </w:p>
    <w:p>
      <w:pPr>
        <w:pStyle w:val="781"/>
        <w:numPr>
          <w:ilvl w:val="0"/>
          <w:numId w:val="38"/>
        </w:numPr>
        <w:ind w:left="78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9 377,303 км во</w:t>
      </w:r>
      <w:r>
        <w:rPr>
          <w:i/>
          <w:sz w:val="24"/>
          <w:szCs w:val="24"/>
        </w:rPr>
        <w:t xml:space="preserve">здушных линий электропередач.</w:t>
      </w:r>
      <w:r>
        <w:rPr>
          <w:sz w:val="24"/>
          <w:szCs w:val="24"/>
        </w:rPr>
      </w:r>
    </w:p>
    <w:p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Численность населения: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tbl>
      <w:tblPr>
        <w:tblW w:w="7052" w:type="dxa"/>
        <w:jc w:val="right"/>
        <w:tblLook w:val="04A0" w:firstRow="1" w:lastRow="0" w:firstColumn="1" w:lastColumn="0" w:noHBand="0" w:noVBand="1"/>
      </w:tblPr>
      <w:tblGrid>
        <w:gridCol w:w="3969"/>
        <w:gridCol w:w="3083"/>
      </w:tblGrid>
      <w:tr>
        <w:tblPrEx/>
        <w:trPr>
          <w:jc w:val="right"/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Сургутский район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center"/>
            <w:vMerge w:val="restart"/>
            <w:textDirection w:val="lrTb"/>
            <w:noWrap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129992  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чел.  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right"/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г.о. Сургут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center"/>
            <w:vMerge w:val="restart"/>
            <w:textDirection w:val="lrTb"/>
            <w:noWrap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424400  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чел.  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right"/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всего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center"/>
            <w:vMerge w:val="restart"/>
            <w:textDirection w:val="lrTb"/>
            <w:noWrap/>
          </w:tcPr>
          <w:p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554392   чел.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right"/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Ханты-Мансийский район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center"/>
            <w:vMerge w:val="restart"/>
            <w:textDirection w:val="lrTb"/>
            <w:noWrap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19022  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чел.  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right"/>
          <w:trHeight w:val="3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г.о. Ханты-Мансийск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center"/>
            <w:vMerge w:val="restart"/>
            <w:textDirection w:val="lrTb"/>
            <w:noWrap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111772  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чел.  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right"/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всего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center"/>
            <w:vMerge w:val="restart"/>
            <w:textDirection w:val="lrTb"/>
            <w:noWrap/>
          </w:tcPr>
          <w:p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130794   чел.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right"/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Нефтеюганский район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center"/>
            <w:vMerge w:val="restart"/>
            <w:textDirection w:val="lrTb"/>
            <w:noWrap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47486  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чел.  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right"/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г.о. Нефтеюганск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center"/>
            <w:vMerge w:val="restart"/>
            <w:textDirection w:val="lrTb"/>
            <w:noWrap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126690  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чел.  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right"/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г.о. Пять-Ях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center"/>
            <w:vMerge w:val="restart"/>
            <w:textDirection w:val="lrTb"/>
            <w:noWrap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40530  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чел.  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right"/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всего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center"/>
            <w:vMerge w:val="restart"/>
            <w:textDirection w:val="lrTb"/>
            <w:noWrap/>
          </w:tcPr>
          <w:p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214706   чел.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right"/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Октябрьский район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center"/>
            <w:vMerge w:val="restart"/>
            <w:textDirection w:val="lrTb"/>
            <w:noWrap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32120 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чел.  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right"/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г.о. Нягань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center"/>
            <w:vMerge w:val="restart"/>
            <w:textDirection w:val="lrTb"/>
            <w:noWrap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63466  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чел.  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right"/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всего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center"/>
            <w:vMerge w:val="restart"/>
            <w:textDirection w:val="lrTb"/>
            <w:noWrap/>
          </w:tcPr>
          <w:p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95586   чел.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right"/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Советский район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center"/>
            <w:vMerge w:val="restart"/>
            <w:textDirection w:val="lrTb"/>
            <w:noWrap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46492  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чел.  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right"/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г.о. Югорск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center"/>
            <w:vMerge w:val="restart"/>
            <w:textDirection w:val="lrTb"/>
            <w:noWrap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39233  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чел.  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right"/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всего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center"/>
            <w:vMerge w:val="restart"/>
            <w:textDirection w:val="lrTb"/>
            <w:noWrap/>
          </w:tcPr>
          <w:p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85725   чел.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right"/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Кондинский район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center"/>
            <w:vMerge w:val="restart"/>
            <w:textDirection w:val="lrTb"/>
            <w:noWrap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30387 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чел.  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right"/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г.о. Урай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center"/>
            <w:vMerge w:val="restart"/>
            <w:textDirection w:val="lrTb"/>
            <w:noWrap/>
          </w:tcPr>
          <w:p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41356  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чел.  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right"/>
          <w:trHeight w:val="31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bottom"/>
            <w:vMerge w:val="restart"/>
            <w:textDirection w:val="lrTb"/>
            <w:noWrap w:val="false"/>
          </w:tcPr>
          <w:p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всего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3" w:type="dxa"/>
            <w:vAlign w:val="center"/>
            <w:vMerge w:val="restart"/>
            <w:textDirection w:val="lrTb"/>
            <w:noWrap/>
          </w:tcPr>
          <w:p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71743   чел.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ind w:firstLine="540"/>
        <w:jc w:val="both"/>
        <w:rPr>
          <w:b/>
          <w:sz w:val="24"/>
        </w:rPr>
      </w:pPr>
      <w:r>
        <w:rPr>
          <w:sz w:val="24"/>
          <w:szCs w:val="24"/>
        </w:rPr>
        <w:t xml:space="preserve">В период экстремальных погодных условий (</w:t>
      </w:r>
      <w:r>
        <w:rPr>
          <w:b/>
          <w:sz w:val="24"/>
          <w:szCs w:val="24"/>
        </w:rPr>
        <w:t xml:space="preserve">Источник ЧС </w:t>
      </w:r>
      <w:r>
        <w:rPr>
          <w:b/>
          <w:sz w:val="24"/>
          <w:szCs w:val="24"/>
        </w:rPr>
        <w:t xml:space="preserve">- ОЯ: </w:t>
      </w:r>
      <w:r>
        <w:rPr>
          <w:b/>
          <w:bCs/>
          <w:sz w:val="24"/>
          <w:szCs w:val="24"/>
        </w:rPr>
        <w:t xml:space="preserve">сильные гололедно-изморозевые </w:t>
      </w:r>
      <w:r>
        <w:rPr>
          <w:b/>
          <w:bCs/>
          <w:sz w:val="24"/>
          <w:szCs w:val="24"/>
        </w:rPr>
        <w:t xml:space="preserve">отложения)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 возникновение следующих аварийных ситуаций, связанных с:</w:t>
      </w:r>
      <w:r>
        <w:rPr>
          <w:b/>
          <w:sz w:val="24"/>
        </w:rPr>
      </w:r>
    </w:p>
    <w:p>
      <w:pPr>
        <w:numPr>
          <w:ilvl w:val="0"/>
          <w:numId w:val="43"/>
        </w:numPr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 xml:space="preserve">обострением обстановки на транспорте и увеличением показателей аварийности; </w:t>
      </w:r>
      <w:r>
        <w:rPr>
          <w:i/>
          <w:sz w:val="24"/>
          <w:szCs w:val="22"/>
        </w:rPr>
      </w:r>
    </w:p>
    <w:p>
      <w:pPr>
        <w:numPr>
          <w:ilvl w:val="0"/>
          <w:numId w:val="43"/>
        </w:numPr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 xml:space="preserve">обрывом линий ЛЭП и линий связи;</w:t>
      </w:r>
      <w:r>
        <w:rPr>
          <w:i/>
          <w:sz w:val="24"/>
          <w:szCs w:val="22"/>
        </w:rPr>
      </w:r>
    </w:p>
    <w:p>
      <w:pPr>
        <w:pStyle w:val="781"/>
        <w:numPr>
          <w:ilvl w:val="0"/>
          <w:numId w:val="43"/>
        </w:numPr>
        <w:spacing w:line="259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ухудшением условий движения на дорогах общего пользования (нарушения в работе светофоров и пр.);</w:t>
      </w:r>
      <w:r>
        <w:rPr>
          <w:i/>
          <w:sz w:val="24"/>
          <w:szCs w:val="24"/>
        </w:rPr>
      </w:r>
    </w:p>
    <w:p>
      <w:pPr>
        <w:numPr>
          <w:ilvl w:val="0"/>
          <w:numId w:val="43"/>
        </w:numPr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 xml:space="preserve">нарушениями в работе городского транспорта;</w:t>
      </w:r>
      <w:r>
        <w:rPr>
          <w:i/>
          <w:sz w:val="24"/>
          <w:szCs w:val="22"/>
        </w:rPr>
      </w:r>
    </w:p>
    <w:p>
      <w:pPr>
        <w:numPr>
          <w:ilvl w:val="0"/>
          <w:numId w:val="43"/>
        </w:numPr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 xml:space="preserve">ухудшением условий воздушного сообщения;</w:t>
      </w:r>
      <w:r>
        <w:rPr>
          <w:i/>
          <w:sz w:val="24"/>
          <w:szCs w:val="22"/>
        </w:rPr>
      </w:r>
    </w:p>
    <w:p>
      <w:pPr>
        <w:pStyle w:val="781"/>
        <w:numPr>
          <w:ilvl w:val="0"/>
          <w:numId w:val="43"/>
        </w:numPr>
        <w:spacing w:line="259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увеличением травматизма среди населения, повреждением личного имущества гр</w:t>
      </w:r>
      <w:r>
        <w:rPr>
          <w:i/>
          <w:sz w:val="24"/>
          <w:szCs w:val="24"/>
        </w:rPr>
        <w:t xml:space="preserve">аждан;</w:t>
      </w:r>
      <w:r>
        <w:rPr>
          <w:i/>
          <w:sz w:val="24"/>
          <w:szCs w:val="24"/>
        </w:rPr>
      </w:r>
    </w:p>
    <w:p>
      <w:pPr>
        <w:numPr>
          <w:ilvl w:val="0"/>
          <w:numId w:val="43"/>
        </w:numPr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 xml:space="preserve">нарушением функционирования объектов жизнеобеспечения;</w:t>
      </w:r>
      <w:r>
        <w:rPr>
          <w:i/>
          <w:sz w:val="24"/>
          <w:szCs w:val="22"/>
        </w:rPr>
      </w:r>
    </w:p>
    <w:p>
      <w:pPr>
        <w:numPr>
          <w:ilvl w:val="0"/>
          <w:numId w:val="43"/>
        </w:numPr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 xml:space="preserve">нарушениями и аварийными ситуациями в системе ЖКХ;</w:t>
      </w:r>
      <w:r>
        <w:rPr>
          <w:i/>
          <w:sz w:val="24"/>
          <w:szCs w:val="22"/>
        </w:rPr>
      </w:r>
    </w:p>
    <w:p>
      <w:pPr>
        <w:numPr>
          <w:ilvl w:val="0"/>
          <w:numId w:val="43"/>
        </w:numPr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 xml:space="preserve">нарушением железнодорожного сообщения;</w:t>
      </w:r>
      <w:r>
        <w:rPr>
          <w:i/>
          <w:sz w:val="24"/>
          <w:szCs w:val="22"/>
        </w:rPr>
      </w:r>
    </w:p>
    <w:p>
      <w:pPr>
        <w:numPr>
          <w:ilvl w:val="0"/>
          <w:numId w:val="43"/>
        </w:numPr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 xml:space="preserve">осложнениями при проведении высотных и строительных работ;</w:t>
      </w:r>
      <w:r>
        <w:rPr>
          <w:i/>
          <w:sz w:val="24"/>
          <w:szCs w:val="22"/>
        </w:rPr>
      </w:r>
    </w:p>
    <w:p>
      <w:pPr>
        <w:numPr>
          <w:ilvl w:val="0"/>
          <w:numId w:val="43"/>
        </w:numPr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 xml:space="preserve">обрушением ветхих и слабо укрепленных констру</w:t>
      </w:r>
      <w:r>
        <w:rPr>
          <w:i/>
          <w:sz w:val="24"/>
          <w:szCs w:val="22"/>
        </w:rPr>
        <w:t xml:space="preserve">кций (рекламные щиты, билборды, фрагменты кровли), порча имущества.</w:t>
      </w:r>
      <w:r>
        <w:rPr>
          <w:i/>
          <w:sz w:val="24"/>
          <w:szCs w:val="22"/>
        </w:rPr>
      </w:r>
    </w:p>
    <w:p>
      <w:pPr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Риск возникновения происшествий и ЧС на объектах ТЭК и ЖКХ:</w:t>
      </w:r>
      <w:r>
        <w:rPr>
          <w:b/>
          <w:sz w:val="24"/>
          <w:szCs w:val="28"/>
        </w:rPr>
      </w:r>
    </w:p>
    <w:p>
      <w:pPr>
        <w:pStyle w:val="994"/>
        <w:ind w:firstLine="709"/>
        <w:jc w:val="both"/>
        <w:rPr>
          <w:rFonts w:ascii="Times New Roman" w:hAnsi="Times New Roman" w:eastAsia="Times New Roman"/>
          <w:spacing w:val="-4"/>
          <w:sz w:val="24"/>
          <w:szCs w:val="28"/>
        </w:rPr>
      </w:pPr>
      <w:r>
        <w:rPr>
          <w:rFonts w:ascii="Times New Roman" w:hAnsi="Times New Roman" w:eastAsia="Times New Roman"/>
          <w:spacing w:val="-4"/>
          <w:sz w:val="24"/>
          <w:szCs w:val="28"/>
          <w:lang w:eastAsia="ru-RU"/>
        </w:rPr>
        <w:t xml:space="preserve">Прогнозируются аварийные ситуации на объектах ТЭК и ЖКХ, (системе водоснабжения, сетях газо-, электроснабжения): порывы линий электропередач, обрывы технических проводов связи с</w:t>
      </w:r>
      <w:r>
        <w:rPr>
          <w:rFonts w:ascii="Times New Roman" w:hAnsi="Times New Roman" w:eastAsia="Times New Roman"/>
          <w:b/>
          <w:spacing w:val="-4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ОЯ</w:t>
      </w:r>
      <w:r>
        <w:rPr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 xml:space="preserve">сильные гололедно-изморозевые отложения</w:t>
      </w:r>
      <w:r>
        <w:rPr>
          <w:rFonts w:ascii="Times New Roman" w:hAnsi="Times New Roman" w:eastAsia="Times New Roman"/>
          <w:b/>
          <w:spacing w:val="-4"/>
          <w:sz w:val="24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pacing w:val="-4"/>
          <w:sz w:val="24"/>
          <w:szCs w:val="28"/>
          <w:lang w:eastAsia="ru-RU"/>
        </w:rPr>
        <w:t xml:space="preserve">вследствие чего возможен выход из</w:t>
      </w:r>
      <w:r>
        <w:rPr>
          <w:rFonts w:ascii="Times New Roman" w:hAnsi="Times New Roman" w:eastAsia="Times New Roman"/>
          <w:spacing w:val="-4"/>
          <w:sz w:val="24"/>
          <w:szCs w:val="28"/>
          <w:lang w:eastAsia="ru-RU"/>
        </w:rPr>
        <w:t xml:space="preserve"> строя оборудования, которое может повлечь кратковременные нарушения в работе электроэнергетических систем районов и нарушения в работе базовых станций сотовой связи операторов. Источник происшествий износ коммуникационных сетей, аварийное отключение систе</w:t>
      </w:r>
      <w:r>
        <w:rPr>
          <w:rFonts w:ascii="Times New Roman" w:hAnsi="Times New Roman" w:eastAsia="Times New Roman"/>
          <w:spacing w:val="-4"/>
          <w:sz w:val="24"/>
          <w:szCs w:val="28"/>
          <w:lang w:eastAsia="ru-RU"/>
        </w:rPr>
        <w:t xml:space="preserve">м жизнеобеспечения.</w:t>
      </w:r>
      <w:r>
        <w:rPr>
          <w:rFonts w:ascii="Times New Roman" w:hAnsi="Times New Roman" w:eastAsia="Times New Roman"/>
          <w:spacing w:val="-4"/>
          <w:sz w:val="24"/>
          <w:szCs w:val="28"/>
        </w:rPr>
      </w:r>
    </w:p>
    <w:p>
      <w:pPr>
        <w:pStyle w:val="99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Прогнозируются перебои в подаче электроэнергии в результате перехлеста и обрыва проводов и замыканий на электросетях (трансформаторных подстанциях открытого типа). </w:t>
      </w:r>
      <w:r>
        <w:rPr>
          <w:sz w:val="24"/>
          <w:szCs w:val="24"/>
        </w:rPr>
        <w:t xml:space="preserve">(</w:t>
      </w:r>
      <w:r>
        <w:rPr>
          <w:rFonts w:ascii="Times New Roman" w:hAnsi="Times New Roman"/>
          <w:b/>
          <w:bCs/>
          <w:sz w:val="24"/>
          <w:szCs w:val="24"/>
        </w:rPr>
        <w:t xml:space="preserve">Источник ЧС </w:t>
      </w:r>
      <w:r>
        <w:rPr>
          <w:rFonts w:ascii="Times New Roman" w:hAnsi="Times New Roman"/>
          <w:b/>
          <w:bCs/>
          <w:sz w:val="24"/>
          <w:szCs w:val="24"/>
        </w:rPr>
        <w:t xml:space="preserve">- ОЯ: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сильные гололедно-изморозевые </w:t>
      </w:r>
      <w:r>
        <w:rPr>
          <w:rFonts w:ascii="Times New Roman" w:hAnsi="Times New Roman"/>
          <w:b/>
          <w:bCs/>
          <w:sz w:val="24"/>
          <w:szCs w:val="24"/>
        </w:rPr>
        <w:t xml:space="preserve">отложения).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Износ электр</w:t>
      </w:r>
      <w:r>
        <w:rPr>
          <w:sz w:val="24"/>
          <w:szCs w:val="24"/>
        </w:rPr>
        <w:t xml:space="preserve">оэнергетических систем: 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68"/>
        <w:gridCol w:w="3568"/>
      </w:tblGrid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Сургутский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Сургут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Ханты-Мансийский район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Ханты-Мансийск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7,3%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Нефтеюганский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Нефтеюганск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Пыть-Ях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Кондинский район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Урай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70%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Октябрьский район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60%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Нягань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50%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Югорск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54%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Протяженность электросетей: 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68"/>
        <w:gridCol w:w="3568"/>
      </w:tblGrid>
      <w:tr>
        <w:tblPrEx/>
        <w:trPr>
          <w:jc w:val="righ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Сургутский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806,500 км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Сургут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697,000 км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Ханты-Мансийский район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690,539 км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Ханты-Мансийск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1199,910 км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Нефтеюганский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1000,030 км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Нефтеюганск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529,000 км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Пыть-Ях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225,000 км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Кондинский район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974,922 км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Урай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484,692 км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Октябрьский район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2010,300 км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Нягань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263,51 км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333,200 км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Югорск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162,700 км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</w:t>
      </w:r>
      <w:r>
        <w:rPr>
          <w:spacing w:val="-4"/>
          <w:sz w:val="24"/>
          <w:szCs w:val="24"/>
        </w:rPr>
        <w:t xml:space="preserve">трансформаторных</w:t>
      </w:r>
      <w:r>
        <w:rPr>
          <w:sz w:val="24"/>
          <w:szCs w:val="24"/>
        </w:rPr>
        <w:t xml:space="preserve"> подстанций: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68"/>
        <w:gridCol w:w="3568"/>
      </w:tblGrid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Сургутский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 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Сургут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549 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Ханты-Мансийский район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Ханты-Мансийск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 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Нефтеюганский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 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Нефтеюганск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171 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Пыть-Ях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Кондинский район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 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Урай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 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Октябрьский район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209 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Нягань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291  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Югорск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   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40"/>
        <w:jc w:val="both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Риск увеличения количества ДТП:</w:t>
      </w:r>
      <w:r>
        <w:rPr>
          <w:b/>
          <w:sz w:val="24"/>
          <w:szCs w:val="24"/>
        </w:rPr>
      </w:r>
    </w:p>
    <w:p>
      <w:pPr>
        <w:ind w:firstLine="567"/>
        <w:jc w:val="both"/>
        <w:rPr>
          <w:color w:val="000000"/>
          <w:sz w:val="24"/>
          <w:szCs w:val="24"/>
        </w:rPr>
      </w:pPr>
      <w:r>
        <w:rPr>
          <w:bCs/>
          <w:sz w:val="24"/>
          <w:szCs w:val="28"/>
        </w:rPr>
        <w:t xml:space="preserve">Возможно ухудшение дорожной обстановки в связи с ожидаемыми погодными условиями (</w:t>
      </w:r>
      <w:r>
        <w:rPr>
          <w:b/>
          <w:bCs/>
          <w:sz w:val="24"/>
          <w:szCs w:val="28"/>
        </w:rPr>
        <w:t xml:space="preserve">на дорогах гололедица в виде снежного наката, </w:t>
      </w:r>
      <w:r>
        <w:rPr>
          <w:b/>
          <w:iCs/>
          <w:sz w:val="24"/>
          <w:szCs w:val="28"/>
        </w:rPr>
        <w:t xml:space="preserve">переметы, ухудшение видимости, сильные гололедные явления</w:t>
      </w:r>
      <w:r>
        <w:rPr>
          <w:bCs/>
          <w:sz w:val="24"/>
          <w:szCs w:val="28"/>
        </w:rPr>
        <w:t xml:space="preserve">), </w:t>
      </w:r>
      <w:r>
        <w:rPr>
          <w:bCs/>
          <w:color w:val="000000"/>
          <w:sz w:val="24"/>
          <w:szCs w:val="28"/>
        </w:rPr>
        <w:t xml:space="preserve">на автомобильных дорогах ХМАО-Югры, а также</w:t>
      </w:r>
      <w:r>
        <w:rPr>
          <w:color w:val="000000"/>
          <w:sz w:val="24"/>
          <w:szCs w:val="28"/>
        </w:rPr>
        <w:t xml:space="preserve"> в</w:t>
      </w:r>
      <w:r>
        <w:rPr>
          <w:bCs/>
          <w:color w:val="000000"/>
          <w:sz w:val="24"/>
          <w:szCs w:val="28"/>
        </w:rPr>
        <w:t xml:space="preserve">следствие несоблюдения правил дорожного движения и нарушений в работе автомобильного транспорта существует вероятность возникновения ДТП на участках дорог регионального значения.</w:t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8"/>
        </w:rPr>
        <w:t xml:space="preserve">Возможна отмена междугородних автобусных перевозок. Существует риск ограничен</w:t>
      </w:r>
      <w:r>
        <w:rPr>
          <w:bCs/>
          <w:sz w:val="24"/>
          <w:szCs w:val="28"/>
        </w:rPr>
        <w:t xml:space="preserve">ия движения на участках автомобильных дорог федерального и регионального значения:</w:t>
      </w:r>
      <w:r>
        <w:rPr>
          <w:sz w:val="24"/>
          <w:szCs w:val="24"/>
        </w:rPr>
      </w:r>
    </w:p>
    <w:p>
      <w:pPr>
        <w:ind w:right="279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Федеральные автодороги:</w:t>
      </w:r>
      <w:r>
        <w:rPr>
          <w:b/>
          <w:sz w:val="24"/>
          <w:szCs w:val="24"/>
        </w:rPr>
      </w:r>
    </w:p>
    <w:p>
      <w:pPr>
        <w:ind w:right="27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- 743 км Р-404 Тюмень - Тобольск - Ханты-Мансийск (Нефтеюганский район); в районе </w:t>
      </w:r>
      <w:r>
        <w:rPr>
          <w:sz w:val="24"/>
          <w:szCs w:val="24"/>
        </w:rPr>
        <w:br/>
        <w:t xml:space="preserve">н.п. Каркатеевы;</w:t>
      </w:r>
      <w:r>
        <w:rPr>
          <w:sz w:val="24"/>
          <w:szCs w:val="24"/>
        </w:rPr>
      </w:r>
    </w:p>
    <w:p>
      <w:pPr>
        <w:ind w:right="27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- 773-774 км Р-404 Тюмень - Тобольск - Ханты-Манс</w:t>
      </w:r>
      <w:r>
        <w:rPr>
          <w:sz w:val="24"/>
          <w:szCs w:val="24"/>
        </w:rPr>
        <w:t xml:space="preserve">ийск (Нефтеюганский район); в районе н.п. Пойковский;</w:t>
      </w:r>
      <w:r>
        <w:rPr>
          <w:sz w:val="24"/>
          <w:szCs w:val="24"/>
        </w:rPr>
      </w:r>
    </w:p>
    <w:p>
      <w:pPr>
        <w:ind w:right="27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- 19-20 км Р-404 «Подъезд к г. Сургут» (Нефтеюганский район). 2 км от поворота на </w:t>
      </w:r>
      <w:r>
        <w:rPr>
          <w:sz w:val="24"/>
          <w:szCs w:val="24"/>
        </w:rPr>
        <w:br/>
        <w:t xml:space="preserve">н.п. Сингапай.</w:t>
      </w:r>
      <w:r>
        <w:rPr>
          <w:sz w:val="24"/>
          <w:szCs w:val="24"/>
        </w:rPr>
      </w:r>
    </w:p>
    <w:p>
      <w:pPr>
        <w:ind w:right="279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Территориальные автодороги:</w:t>
      </w:r>
      <w:r>
        <w:rPr>
          <w:b/>
          <w:sz w:val="24"/>
          <w:szCs w:val="24"/>
        </w:rPr>
      </w:r>
    </w:p>
    <w:p>
      <w:pPr>
        <w:ind w:right="27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- 6 км Нефтеюганск - левый берег р. Обь (Нефтеюганский район);</w:t>
      </w:r>
      <w:r>
        <w:rPr>
          <w:sz w:val="24"/>
          <w:szCs w:val="24"/>
        </w:rPr>
      </w:r>
    </w:p>
    <w:p>
      <w:pPr>
        <w:ind w:right="27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- 57 км Сургу</w:t>
      </w:r>
      <w:r>
        <w:rPr>
          <w:sz w:val="24"/>
          <w:szCs w:val="24"/>
        </w:rPr>
        <w:t xml:space="preserve">т - Нефтеюганск (Сургутский район).</w:t>
      </w:r>
      <w:r>
        <w:rPr>
          <w:sz w:val="24"/>
          <w:szCs w:val="24"/>
        </w:rPr>
      </w:r>
    </w:p>
    <w:p>
      <w:pPr>
        <w:ind w:right="27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количество: 5 опасных участков дорог в 2 районах округа.</w:t>
      </w:r>
      <w:r>
        <w:rPr>
          <w:sz w:val="24"/>
          <w:szCs w:val="24"/>
        </w:rPr>
      </w:r>
    </w:p>
    <w:p>
      <w:pPr>
        <w:ind w:right="2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факторы и причины увеличения ДТП: </w:t>
      </w:r>
      <w:r>
        <w:rPr>
          <w:sz w:val="24"/>
          <w:szCs w:val="24"/>
        </w:rPr>
      </w:r>
    </w:p>
    <w:p>
      <w:pPr>
        <w:ind w:firstLine="540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нарушение правил маневрирования;</w:t>
      </w:r>
      <w:r>
        <w:rPr>
          <w:sz w:val="24"/>
          <w:szCs w:val="24"/>
        </w:rPr>
      </w:r>
    </w:p>
    <w:p>
      <w:pPr>
        <w:ind w:firstLine="540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нарушение правил проезда пешеходных переходов;</w:t>
      </w:r>
      <w:r>
        <w:rPr>
          <w:sz w:val="24"/>
          <w:szCs w:val="24"/>
        </w:rPr>
      </w:r>
    </w:p>
    <w:p>
      <w:pPr>
        <w:ind w:firstLine="540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несоблюдение скоростного р</w:t>
      </w:r>
      <w:r>
        <w:rPr>
          <w:sz w:val="24"/>
          <w:szCs w:val="24"/>
        </w:rPr>
        <w:t xml:space="preserve">ежима, безопасной дистанции, требований дорожных знаков;</w:t>
      </w:r>
      <w:r>
        <w:rPr>
          <w:sz w:val="24"/>
          <w:szCs w:val="24"/>
        </w:rPr>
      </w:r>
    </w:p>
    <w:p>
      <w:pPr>
        <w:ind w:firstLine="540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выезд на полосу встречного движения;</w:t>
      </w:r>
      <w:r>
        <w:rPr>
          <w:sz w:val="24"/>
          <w:szCs w:val="24"/>
        </w:rPr>
      </w:r>
    </w:p>
    <w:p>
      <w:pPr>
        <w:ind w:firstLine="540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техническое состояние транспортных средств;</w:t>
      </w:r>
      <w:r>
        <w:rPr>
          <w:sz w:val="24"/>
          <w:szCs w:val="24"/>
        </w:rPr>
      </w:r>
    </w:p>
    <w:p>
      <w:pPr>
        <w:ind w:firstLine="540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ненадлежащие содержание автомобильных дорог;</w:t>
      </w:r>
      <w:r>
        <w:rPr>
          <w:sz w:val="24"/>
          <w:szCs w:val="24"/>
        </w:rPr>
      </w:r>
    </w:p>
    <w:p>
      <w:pPr>
        <w:ind w:firstLine="540"/>
        <w:jc w:val="both"/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</w:rPr>
        <w:t xml:space="preserve">- неблагоприятные метеорологические явления. (</w:t>
      </w:r>
      <w:r>
        <w:rPr>
          <w:b/>
          <w:sz w:val="24"/>
          <w:szCs w:val="24"/>
        </w:rPr>
        <w:t xml:space="preserve">Источник ЧС </w:t>
      </w:r>
      <w:r>
        <w:rPr>
          <w:b/>
          <w:sz w:val="24"/>
          <w:szCs w:val="24"/>
        </w:rPr>
        <w:t xml:space="preserve">- ОЯ: </w:t>
      </w:r>
      <w:r>
        <w:rPr>
          <w:b/>
          <w:bCs/>
          <w:sz w:val="24"/>
          <w:szCs w:val="24"/>
        </w:rPr>
        <w:t xml:space="preserve">сильные гололедно-изморозевые</w:t>
      </w:r>
      <w:r>
        <w:rPr>
          <w:b/>
          <w:bCs/>
          <w:sz w:val="24"/>
          <w:szCs w:val="24"/>
        </w:rPr>
        <w:t xml:space="preserve"> отложения).</w:t>
      </w:r>
      <w:r>
        <w:rPr>
          <w:b/>
          <w:sz w:val="24"/>
          <w:szCs w:val="24"/>
        </w:rPr>
      </w:r>
    </w:p>
    <w:p>
      <w:pPr>
        <w:ind w:firstLine="540"/>
        <w:jc w:val="both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right="24" w:firstLine="567"/>
        <w:jc w:val="both"/>
        <w:spacing w:line="322" w:lineRule="exact"/>
        <w:shd w:val="clear" w:color="auto" w:fill="ffffff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Риск обрушения слабоукрепленных конструкций, деревьев, сооружений и т.п.:</w:t>
      </w:r>
      <w:r>
        <w:rPr>
          <w:b/>
          <w:sz w:val="24"/>
          <w:szCs w:val="28"/>
        </w:rPr>
      </w:r>
    </w:p>
    <w:p>
      <w:pPr>
        <w:ind w:firstLine="567"/>
        <w:jc w:val="both"/>
        <w:rPr>
          <w:b/>
          <w:sz w:val="24"/>
          <w:szCs w:val="24"/>
        </w:rPr>
      </w:pPr>
      <w:r>
        <w:rPr>
          <w:rFonts w:cs="Courier New"/>
          <w:sz w:val="24"/>
          <w:szCs w:val="28"/>
        </w:rPr>
        <w:t xml:space="preserve">В связи с прогнозируемыми</w:t>
      </w:r>
      <w:r>
        <w:rPr>
          <w:rFonts w:cs="Courier New"/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4"/>
        </w:rPr>
        <w:t xml:space="preserve">ОЯ</w:t>
      </w:r>
      <w:r>
        <w:rPr>
          <w:b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сильные гололедно-изморозевые отложения </w:t>
      </w:r>
      <w:r>
        <w:rPr>
          <w:rFonts w:cs="Courier New"/>
          <w:sz w:val="24"/>
          <w:szCs w:val="28"/>
        </w:rPr>
        <w:t xml:space="preserve">возможны повреждения кровли жилых домов частного сектора, также существует угроза населению и имуществу граждан (автомобили) вследствие падения незакрепленных/слабо укреплённых конструкций, деревьев </w:t>
      </w:r>
      <w:r>
        <w:rPr>
          <w:spacing w:val="-4"/>
          <w:sz w:val="24"/>
          <w:szCs w:val="28"/>
        </w:rPr>
        <w:t xml:space="preserve">(рекомендуется прекратить наружные и высотные работы). (</w:t>
      </w:r>
      <w:r>
        <w:rPr>
          <w:b/>
          <w:sz w:val="24"/>
          <w:szCs w:val="24"/>
        </w:rPr>
        <w:t xml:space="preserve">Источник ЧС </w:t>
      </w:r>
      <w:r>
        <w:rPr>
          <w:b/>
          <w:sz w:val="24"/>
          <w:szCs w:val="24"/>
        </w:rPr>
        <w:t xml:space="preserve">- ОЯ: </w:t>
      </w:r>
      <w:r>
        <w:rPr>
          <w:b/>
          <w:bCs/>
          <w:sz w:val="24"/>
          <w:szCs w:val="24"/>
        </w:rPr>
        <w:t xml:space="preserve">сильные гололедно-изморозевые  отложения).</w:t>
      </w:r>
      <w:r>
        <w:rPr>
          <w:b/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Износ систем теплоснабжения: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68"/>
        <w:gridCol w:w="3568"/>
      </w:tblGrid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Сургутский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Сургут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Ханты-Мансийский район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Ханты-Мансийск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Нефтеюганский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Нефтеюганск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Пыть-Ях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Кондинский район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Урай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70%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Октябрьский район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60%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Нягань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50%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Югорск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44%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котельных: </w:t>
      </w:r>
      <w:r>
        <w:rPr>
          <w:sz w:val="24"/>
          <w:szCs w:val="24"/>
        </w:rPr>
      </w:r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68"/>
        <w:gridCol w:w="3568"/>
      </w:tblGrid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Сургутский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Сургут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Ханты-Мансийский район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Ханты-Мансийск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Нефтеюганский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Нефтеюганск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Пыть-Ях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Кондинский район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Урай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Октябрьский район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Нягань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Югорск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40"/>
        <w:jc w:val="both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Риск возникновения происшествий на железнодорожном транспорте:</w:t>
      </w:r>
      <w:r>
        <w:rPr>
          <w:b/>
          <w:sz w:val="24"/>
          <w:szCs w:val="24"/>
        </w:rPr>
      </w:r>
    </w:p>
    <w:p>
      <w:pPr>
        <w:ind w:firstLine="540"/>
        <w:jc w:val="both"/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</w:rPr>
        <w:t xml:space="preserve">Чрезвычайных ситуаций на железнодорожном транспорте </w:t>
      </w:r>
      <w:r>
        <w:rPr>
          <w:b/>
          <w:sz w:val="24"/>
          <w:szCs w:val="24"/>
        </w:rPr>
        <w:t xml:space="preserve">не прогнозируется.</w:t>
      </w:r>
      <w:r>
        <w:rPr>
          <w:b/>
          <w:sz w:val="24"/>
          <w:szCs w:val="24"/>
        </w:rPr>
      </w:r>
    </w:p>
    <w:p>
      <w:pPr>
        <w:ind w:firstLine="540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540"/>
        <w:jc w:val="both"/>
        <w:spacing w:line="360" w:lineRule="auto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Риск возникновения происшествий на водных объектах:</w:t>
      </w:r>
      <w:r>
        <w:rPr>
          <w:b/>
          <w:sz w:val="24"/>
          <w:szCs w:val="24"/>
        </w:rPr>
      </w:r>
    </w:p>
    <w:p>
      <w:pPr>
        <w:ind w:firstLine="567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Гидрологическая обстановка стабильная, опасных гидрологических явлений </w:t>
      </w:r>
      <w:r>
        <w:rPr>
          <w:b/>
          <w:sz w:val="24"/>
          <w:szCs w:val="24"/>
        </w:rPr>
        <w:t xml:space="preserve">не прогнозируется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left="2" w:firstLine="567"/>
        <w:jc w:val="both"/>
        <w:rPr>
          <w:sz w:val="24"/>
        </w:rPr>
      </w:pPr>
      <w:r>
        <w:rPr>
          <w:sz w:val="24"/>
        </w:rPr>
        <w:t xml:space="preserve">Возможно возникновение несчастных случаев</w:t>
      </w:r>
      <w:r>
        <w:rPr>
          <w:sz w:val="24"/>
        </w:rPr>
        <w:t xml:space="preserve"> по факту нарушения правил охраны жизни людей на водных объектах (возможны происшествия, связанные с нахождением людей на водных объектах).</w:t>
      </w:r>
      <w:r>
        <w:rPr>
          <w:sz w:val="24"/>
        </w:rPr>
      </w:r>
    </w:p>
    <w:p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Основная причина – несоблюдение техники безопасности при нахождении на водных объектах территории автономного округа</w:t>
      </w:r>
      <w:r>
        <w:rPr>
          <w:sz w:val="24"/>
          <w:szCs w:val="24"/>
        </w:rPr>
        <w:t xml:space="preserve">: нарушение запрета выхода людей на лед, выезда транспорта на закрытые ледовые переправы, эксплуатация маломерных судов в период ледохода, весенние ледовые явления, ледоход.</w:t>
      </w:r>
      <w:r>
        <w:rPr>
          <w:b/>
          <w:sz w:val="24"/>
          <w:szCs w:val="24"/>
        </w:rPr>
      </w:r>
    </w:p>
    <w:p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right="24" w:firstLine="567"/>
        <w:jc w:val="both"/>
        <w:spacing w:line="322" w:lineRule="exact"/>
        <w:shd w:val="clear" w:color="auto" w:fill="ffffff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 xml:space="preserve">Риск увеличения травматизма среди населения и повреждения личного имущества граждан:</w:t>
      </w:r>
      <w:r>
        <w:rPr>
          <w:b/>
          <w:color w:val="000000"/>
          <w:sz w:val="24"/>
          <w:szCs w:val="28"/>
        </w:rPr>
      </w:r>
    </w:p>
    <w:p>
      <w:pPr>
        <w:ind w:firstLine="567"/>
        <w:jc w:val="both"/>
        <w:rPr>
          <w:b/>
          <w:sz w:val="24"/>
          <w:szCs w:val="24"/>
        </w:rPr>
      </w:pPr>
      <w:r>
        <w:rPr>
          <w:rFonts w:cs="Courier New"/>
          <w:color w:val="000000"/>
          <w:sz w:val="24"/>
          <w:szCs w:val="28"/>
        </w:rPr>
        <w:t xml:space="preserve">Во время прохождения </w:t>
      </w:r>
      <w:r>
        <w:rPr>
          <w:b/>
          <w:bCs/>
          <w:sz w:val="24"/>
          <w:szCs w:val="24"/>
        </w:rPr>
        <w:t xml:space="preserve">ОЯ</w:t>
      </w:r>
      <w:r>
        <w:rPr>
          <w:b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сильные гололедно-изморозевые отложения</w:t>
      </w:r>
      <w:r>
        <w:rPr>
          <w:rFonts w:cs="Courier New"/>
          <w:b/>
          <w:sz w:val="24"/>
          <w:szCs w:val="28"/>
        </w:rPr>
        <w:t xml:space="preserve"> </w:t>
      </w:r>
      <w:r>
        <w:rPr>
          <w:rFonts w:cs="Courier New"/>
          <w:sz w:val="24"/>
          <w:szCs w:val="28"/>
        </w:rPr>
        <w:t xml:space="preserve">возможно</w:t>
      </w:r>
      <w:r>
        <w:rPr>
          <w:rFonts w:cs="Courier New"/>
          <w:color w:val="000000"/>
          <w:sz w:val="24"/>
          <w:szCs w:val="28"/>
        </w:rPr>
        <w:t xml:space="preserve"> увеличение случаев травматизма среди населения связанное с: частотой падения во время гололеда; </w:t>
      </w:r>
      <w:r>
        <w:rPr>
          <w:rFonts w:cs="Courier New"/>
          <w:color w:val="000000"/>
          <w:sz w:val="24"/>
          <w:szCs w:val="28"/>
        </w:rPr>
        <w:t xml:space="preserve">ОРЗ; ухудшением самочувствия </w:t>
      </w:r>
      <w:r>
        <w:rPr>
          <w:bCs/>
          <w:iCs/>
          <w:spacing w:val="-4"/>
          <w:sz w:val="24"/>
          <w:szCs w:val="28"/>
        </w:rPr>
        <w:t xml:space="preserve">метеозависимых людей, связанное с перепадами атмосферного давления.</w:t>
      </w:r>
      <w:r>
        <w:rPr>
          <w:rFonts w:cs="Courier New"/>
          <w:color w:val="000000"/>
          <w:sz w:val="24"/>
          <w:szCs w:val="28"/>
        </w:rPr>
        <w:t xml:space="preserve"> </w:t>
      </w:r>
      <w:r>
        <w:rPr>
          <w:b/>
          <w:bCs/>
          <w:sz w:val="24"/>
        </w:rPr>
        <w:t xml:space="preserve">(</w:t>
      </w:r>
      <w:r>
        <w:rPr>
          <w:b/>
          <w:sz w:val="24"/>
          <w:szCs w:val="24"/>
        </w:rPr>
        <w:t xml:space="preserve">Источник ЧС </w:t>
      </w:r>
      <w:r>
        <w:rPr>
          <w:b/>
          <w:sz w:val="24"/>
          <w:szCs w:val="24"/>
        </w:rPr>
        <w:t xml:space="preserve">- ОЯ: </w:t>
      </w:r>
      <w:r>
        <w:rPr>
          <w:b/>
          <w:bCs/>
          <w:sz w:val="24"/>
          <w:szCs w:val="24"/>
        </w:rPr>
        <w:t xml:space="preserve">сильные гололедно-изморозевые  отложения).</w:t>
      </w:r>
      <w:r>
        <w:rPr>
          <w:b/>
          <w:sz w:val="24"/>
          <w:szCs w:val="24"/>
        </w:rPr>
      </w:r>
    </w:p>
    <w:p>
      <w:pPr>
        <w:jc w:val="both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540"/>
        <w:jc w:val="both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Риск происшествий на социально-значимых объектах:</w:t>
      </w:r>
      <w:r>
        <w:rPr>
          <w:b/>
          <w:sz w:val="24"/>
          <w:szCs w:val="24"/>
        </w:rPr>
      </w:r>
    </w:p>
    <w:p>
      <w:pPr>
        <w:ind w:firstLine="540"/>
        <w:jc w:val="both"/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</w:rPr>
        <w:t xml:space="preserve">Чрезвычайных ситуаций на социально-значимых объек</w:t>
      </w:r>
      <w:r>
        <w:rPr>
          <w:sz w:val="24"/>
          <w:szCs w:val="24"/>
        </w:rPr>
        <w:t xml:space="preserve">тах </w:t>
      </w:r>
      <w:r>
        <w:rPr>
          <w:b/>
          <w:sz w:val="24"/>
          <w:szCs w:val="24"/>
        </w:rPr>
        <w:t xml:space="preserve">не прогнозируется.</w:t>
      </w:r>
      <w:r>
        <w:rPr>
          <w:b/>
          <w:sz w:val="24"/>
          <w:szCs w:val="24"/>
        </w:rPr>
      </w:r>
    </w:p>
    <w:p>
      <w:pPr>
        <w:ind w:left="2836"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СЗО: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68"/>
        <w:gridCol w:w="3568"/>
      </w:tblGrid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Сургутский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Сургут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Ханты-Мансийский район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Ханты-Мансийск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Нефтеюганский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Нефтеюганск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Пыть-Ях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Кондинский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Урай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Нягань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Югорск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40"/>
        <w:jc w:val="both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Риск происшествий на ПОО:</w:t>
      </w:r>
      <w:r>
        <w:rPr>
          <w:b/>
          <w:sz w:val="24"/>
          <w:szCs w:val="24"/>
        </w:rPr>
      </w:r>
    </w:p>
    <w:p>
      <w:pPr>
        <w:ind w:firstLine="540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Чрезвычайных ситуаций на потенциально-опасных объектах не прогнозируется.</w:t>
      </w:r>
      <w:r>
        <w:rPr>
          <w:sz w:val="24"/>
          <w:szCs w:val="24"/>
        </w:rPr>
      </w:r>
    </w:p>
    <w:p>
      <w:pPr>
        <w:ind w:firstLine="540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ПОО: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68"/>
        <w:gridCol w:w="3568"/>
      </w:tblGrid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Сургутский район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Сургут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Ханты-Мансийский район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Ханты-Мансийск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Нефтеюганский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Нефтеюганск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Пыть-Ях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Кондинский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Урай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Октябрьский район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Нягань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Советский район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г.о. Югорск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ind w:firstLine="567"/>
        <w:jc w:val="both"/>
        <w:rPr>
          <w:b/>
          <w:sz w:val="24"/>
          <w:szCs w:val="28"/>
        </w:rPr>
      </w:pPr>
      <w:r>
        <w:rPr>
          <w:b/>
          <w:bCs/>
          <w:iCs/>
          <w:sz w:val="24"/>
          <w:szCs w:val="28"/>
        </w:rPr>
        <w:t xml:space="preserve">Аварийные ситуации на воздушном транспорте:</w:t>
      </w:r>
      <w:r>
        <w:rPr>
          <w:b/>
          <w:sz w:val="24"/>
          <w:szCs w:val="28"/>
        </w:rPr>
      </w:r>
    </w:p>
    <w:p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8"/>
        </w:rPr>
        <w:t xml:space="preserve">В аэропортах и на вертолетных площадках округа существует риск возникновения аварийных ситуаций,</w:t>
      </w:r>
      <w:r>
        <w:rPr>
          <w:sz w:val="24"/>
          <w:szCs w:val="28"/>
        </w:rPr>
        <w:t xml:space="preserve"> задержки авиарейсов.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</w:rPr>
        <w:t xml:space="preserve">(</w:t>
      </w:r>
      <w:r>
        <w:rPr>
          <w:b/>
          <w:sz w:val="24"/>
          <w:szCs w:val="24"/>
        </w:rPr>
        <w:t xml:space="preserve">Источник ЧС </w:t>
      </w:r>
      <w:r>
        <w:rPr>
          <w:b/>
          <w:sz w:val="24"/>
          <w:szCs w:val="24"/>
        </w:rPr>
        <w:t xml:space="preserve">- ОЯ: </w:t>
      </w:r>
      <w:r>
        <w:rPr>
          <w:b/>
          <w:bCs/>
          <w:sz w:val="24"/>
          <w:szCs w:val="24"/>
        </w:rPr>
        <w:t xml:space="preserve">сильные гололедно-изморозевые </w:t>
      </w:r>
      <w:r>
        <w:rPr>
          <w:b/>
          <w:bCs/>
          <w:sz w:val="24"/>
          <w:szCs w:val="24"/>
        </w:rPr>
        <w:t xml:space="preserve">отложения).</w:t>
      </w:r>
      <w:r>
        <w:rPr>
          <w:b/>
          <w:sz w:val="24"/>
          <w:szCs w:val="24"/>
        </w:rPr>
      </w:r>
    </w:p>
    <w:p>
      <w:pPr>
        <w:ind w:firstLine="540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ind w:firstLine="567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Риск увеличения количества техногенных пожаров в жилом секторе:</w:t>
      </w:r>
      <w:r>
        <w:rPr>
          <w:b/>
          <w:sz w:val="24"/>
          <w:szCs w:val="28"/>
        </w:rPr>
      </w:r>
    </w:p>
    <w:p>
      <w:pPr>
        <w:ind w:firstLine="540"/>
        <w:jc w:val="both"/>
        <w:rPr>
          <w:rFonts w:cs="Courier New"/>
          <w:sz w:val="24"/>
          <w:szCs w:val="28"/>
        </w:rPr>
      </w:pPr>
      <w:r>
        <w:rPr>
          <w:bCs/>
          <w:iCs/>
          <w:spacing w:val="-4"/>
          <w:sz w:val="24"/>
          <w:szCs w:val="28"/>
        </w:rPr>
        <w:t xml:space="preserve">Прогнозируется рост пожаров в жилом секторе, на объектах административного и социального назначения (в т.ч. обусловленных нарушениями в работе электроэнергетических систем в результате повышенных нагрузок и неисправностью электрооборудования). </w:t>
      </w:r>
      <w:r>
        <w:rPr>
          <w:b/>
          <w:bCs/>
          <w:sz w:val="24"/>
        </w:rPr>
        <w:t xml:space="preserve">(</w:t>
      </w:r>
      <w:r>
        <w:rPr>
          <w:b/>
          <w:sz w:val="24"/>
          <w:szCs w:val="24"/>
        </w:rPr>
        <w:t xml:space="preserve">Источник ЧС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ОЯ: </w:t>
      </w:r>
      <w:r>
        <w:rPr>
          <w:b/>
          <w:bCs/>
          <w:sz w:val="24"/>
          <w:szCs w:val="24"/>
        </w:rPr>
        <w:t xml:space="preserve">сильные гололедно-изморозевые </w:t>
      </w:r>
      <w:r>
        <w:rPr>
          <w:b/>
          <w:bCs/>
          <w:sz w:val="24"/>
          <w:szCs w:val="24"/>
        </w:rPr>
        <w:t xml:space="preserve">отложения).</w:t>
      </w:r>
      <w:r>
        <w:rPr>
          <w:rFonts w:cs="Courier New"/>
          <w:sz w:val="24"/>
          <w:szCs w:val="28"/>
        </w:rPr>
      </w:r>
    </w:p>
    <w:p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ind w:firstLine="540"/>
        <w:jc w:val="both"/>
      </w:pPr>
      <w:r>
        <w:rPr>
          <w:b/>
          <w:sz w:val="24"/>
          <w:szCs w:val="28"/>
        </w:rPr>
        <w:t xml:space="preserve">Увеличивается риск происшествий на категорированных и не категорированных туристических маршрутах.</w:t>
      </w:r>
      <w:r/>
    </w:p>
    <w:p>
      <w:pPr>
        <w:ind w:firstLine="540"/>
        <w:jc w:val="both"/>
        <w:rPr>
          <w:b/>
          <w:sz w:val="24"/>
          <w:szCs w:val="28"/>
        </w:rPr>
      </w:pPr>
      <w:r>
        <w:rPr>
          <w:sz w:val="24"/>
          <w:szCs w:val="24"/>
        </w:rPr>
        <w:t xml:space="preserve">В период прохождения экстремальных погодных условий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 возникновение ситуаций</w:t>
      </w:r>
      <w:r>
        <w:rPr>
          <w:bCs/>
          <w:iCs/>
          <w:color w:val="000000"/>
          <w:spacing w:val="-4"/>
          <w:sz w:val="24"/>
          <w:szCs w:val="28"/>
        </w:rPr>
        <w:t xml:space="preserve">, связанное с ухудшением у</w:t>
      </w:r>
      <w:r>
        <w:rPr>
          <w:bCs/>
          <w:iCs/>
          <w:color w:val="000000"/>
          <w:spacing w:val="-4"/>
          <w:sz w:val="24"/>
          <w:szCs w:val="28"/>
        </w:rPr>
        <w:t xml:space="preserve">словий по маршруту.</w:t>
      </w:r>
      <w:r>
        <w:rPr>
          <w:bCs/>
          <w:iCs/>
          <w:spacing w:val="-4"/>
          <w:sz w:val="24"/>
          <w:szCs w:val="28"/>
        </w:rPr>
        <w:t xml:space="preserve"> </w:t>
      </w:r>
      <w:r>
        <w:rPr>
          <w:b/>
          <w:bCs/>
          <w:sz w:val="24"/>
        </w:rPr>
        <w:t xml:space="preserve">(</w:t>
      </w:r>
      <w:r>
        <w:rPr>
          <w:b/>
          <w:sz w:val="24"/>
          <w:szCs w:val="24"/>
        </w:rPr>
        <w:t xml:space="preserve">Источник ЧС </w:t>
      </w:r>
      <w:r>
        <w:rPr>
          <w:b/>
          <w:sz w:val="24"/>
          <w:szCs w:val="24"/>
        </w:rPr>
        <w:t xml:space="preserve">- ОЯ: </w:t>
      </w:r>
      <w:r>
        <w:rPr>
          <w:b/>
          <w:bCs/>
          <w:sz w:val="24"/>
          <w:szCs w:val="24"/>
        </w:rPr>
        <w:t xml:space="preserve">сильные гололедно-изморозевые </w:t>
      </w:r>
      <w:bookmarkStart w:id="0" w:name="_GoBack"/>
      <w:r/>
      <w:bookmarkEnd w:id="0"/>
      <w:r>
        <w:rPr>
          <w:b/>
          <w:bCs/>
          <w:sz w:val="24"/>
          <w:szCs w:val="24"/>
        </w:rPr>
        <w:t xml:space="preserve">отложения).</w:t>
      </w:r>
      <w:r>
        <w:rPr>
          <w:b/>
          <w:sz w:val="24"/>
          <w:szCs w:val="28"/>
        </w:rPr>
      </w:r>
    </w:p>
    <w:p>
      <w:pPr>
        <w:jc w:val="center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Рекомендации по реагированию на прогноз</w:t>
      </w:r>
      <w:r>
        <w:rPr>
          <w:b/>
          <w:sz w:val="24"/>
          <w:szCs w:val="24"/>
        </w:rPr>
      </w:r>
    </w:p>
    <w:p>
      <w:pPr>
        <w:pStyle w:val="942"/>
        <w:ind w:firstLine="567"/>
        <w:shd w:val="clear" w:color="auto" w:fill="ffffff"/>
        <w:tabs>
          <w:tab w:val="left" w:pos="3255" w:leader="none"/>
        </w:tabs>
        <w:rPr>
          <w:i/>
          <w:sz w:val="24"/>
          <w:szCs w:val="24"/>
        </w:rPr>
        <w:outlineLvl w:val="0"/>
      </w:pPr>
      <w:r>
        <w:rPr>
          <w:i/>
          <w:sz w:val="24"/>
          <w:szCs w:val="24"/>
        </w:rPr>
        <w:t xml:space="preserve">(органам исполнительной власти муниципальных образований)</w:t>
      </w:r>
      <w:r>
        <w:rPr>
          <w:i/>
          <w:sz w:val="24"/>
          <w:szCs w:val="24"/>
        </w:rPr>
      </w:r>
    </w:p>
    <w:p>
      <w:pPr>
        <w:ind w:firstLine="708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firstLine="567"/>
        <w:jc w:val="both"/>
        <w:widowControl w:val="off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 целью недопущения аварийных и чрезвычайных ситуаций рекомендуется выполнить следующие превентивные мероприятия:</w:t>
      </w:r>
      <w:r>
        <w:rPr>
          <w:b/>
          <w:spacing w:val="-4"/>
          <w:sz w:val="24"/>
          <w:szCs w:val="24"/>
        </w:rPr>
      </w:r>
    </w:p>
    <w:p>
      <w:pPr>
        <w:ind w:firstLine="708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1.Органам местного самоуправления муниципальных образований во взаимодействии с </w:t>
      </w:r>
      <w:r>
        <w:rPr>
          <w:b/>
          <w:i/>
          <w:sz w:val="24"/>
          <w:szCs w:val="24"/>
        </w:rPr>
        <w:t xml:space="preserve">ЕДДС</w:t>
      </w:r>
      <w:r>
        <w:rPr>
          <w:i/>
          <w:sz w:val="24"/>
          <w:szCs w:val="24"/>
        </w:rPr>
        <w:t xml:space="preserve">:</w:t>
      </w:r>
      <w:r>
        <w:rPr>
          <w:i/>
          <w:sz w:val="24"/>
          <w:szCs w:val="24"/>
          <w:u w:val="single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>
        <w:rPr>
          <w:sz w:val="24"/>
          <w:szCs w:val="24"/>
        </w:rPr>
        <w:t xml:space="preserve">провести информирование населения, которое может о</w:t>
      </w:r>
      <w:r>
        <w:rPr>
          <w:sz w:val="24"/>
          <w:szCs w:val="24"/>
        </w:rPr>
        <w:t xml:space="preserve">казаться в зоне влияния неблагоприятного природного явления (через местные СМИ, сайты (сайты администрации), ТВ, радиостанции, уличные пункты оповещения);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>
        <w:rPr>
          <w:sz w:val="24"/>
          <w:szCs w:val="24"/>
        </w:rPr>
        <w:t xml:space="preserve">довести прогноз до сил и средств РСЧС, до населения, а также до СЗО, до туристических групп;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1.3. </w:t>
      </w:r>
      <w:r>
        <w:rPr>
          <w:sz w:val="24"/>
          <w:szCs w:val="24"/>
        </w:rPr>
        <w:t xml:space="preserve">проверить работоспособность системы оповещения;</w:t>
      </w:r>
      <w:r>
        <w:rPr>
          <w:b/>
          <w:sz w:val="24"/>
          <w:szCs w:val="24"/>
        </w:rPr>
      </w:r>
    </w:p>
    <w:p>
      <w:pPr>
        <w:ind w:firstLine="709"/>
        <w:jc w:val="both"/>
        <w:tabs>
          <w:tab w:val="left" w:pos="709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1.4. </w:t>
      </w:r>
      <w:r>
        <w:rPr>
          <w:sz w:val="24"/>
          <w:szCs w:val="24"/>
        </w:rPr>
        <w:t xml:space="preserve">органам управления, сил и средств РСЧС усилить бдительность к угрозе возникновения, возникновению чрезвычайной ситуации и социально-значимых происшествий, рассмотреть вопрос о введении режима функци</w:t>
      </w:r>
      <w:r>
        <w:rPr>
          <w:sz w:val="24"/>
          <w:szCs w:val="24"/>
        </w:rPr>
        <w:t xml:space="preserve">онирования «повышенной готовности» для приданных сил и средств;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1.5. </w:t>
      </w:r>
      <w:r>
        <w:rPr>
          <w:sz w:val="24"/>
          <w:szCs w:val="24"/>
        </w:rPr>
        <w:t xml:space="preserve">выполнить мероприятия для защиты населения и территорий от ЧС природного и техногенного характера в соответствии с действующим законодательством;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1.6. </w:t>
      </w:r>
      <w:r>
        <w:rPr>
          <w:sz w:val="24"/>
          <w:szCs w:val="24"/>
        </w:rPr>
        <w:t xml:space="preserve">усилить контроль за состоянием окруж</w:t>
      </w:r>
      <w:r>
        <w:rPr>
          <w:sz w:val="24"/>
          <w:szCs w:val="24"/>
        </w:rPr>
        <w:t xml:space="preserve">ающей среды, осуществлять мониторинг неблагоприятных природных явлений и техногенных процессов, способных привести к возникновению чрезвычайных ситуаций, прогнозирование чрезвычайных ситуаций, организовать оценку их социально-экономических последствий;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1.7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организовать непрерывный сбор, обработку и передачу органам управления и силам единой системы данных о прогнозируемых чрезвычайных ситуациях;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1.8. </w:t>
      </w:r>
      <w:r>
        <w:rPr>
          <w:sz w:val="24"/>
          <w:szCs w:val="24"/>
        </w:rPr>
        <w:t xml:space="preserve">принять оперативные меры по предупреждению возникновения и развития чрезвычайных ситуаций, снижению размеро</w:t>
      </w:r>
      <w:r>
        <w:rPr>
          <w:sz w:val="24"/>
          <w:szCs w:val="24"/>
        </w:rPr>
        <w:t xml:space="preserve">в ущерба и потерь в случае их возникновения, а также повышению устойчивости и безопасности функционирования организаций в чрезвычайных ситуациях, а именно: 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1.8.1.</w:t>
      </w:r>
      <w:r>
        <w:rPr>
          <w:sz w:val="24"/>
          <w:szCs w:val="24"/>
        </w:rPr>
        <w:t xml:space="preserve"> предусмотреть возможность перехода на источники резервного электропитания, проверить готовно</w:t>
      </w:r>
      <w:r>
        <w:rPr>
          <w:sz w:val="24"/>
          <w:szCs w:val="24"/>
        </w:rPr>
        <w:t xml:space="preserve">сть к работе автономных источников электропитания (подвижных электростанций), определить очередность подачи электроэнергии к объектам социального назначения в случае возникновения чрезвычайной обстановки;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1.8.2. </w:t>
      </w:r>
      <w:r>
        <w:rPr>
          <w:sz w:val="24"/>
          <w:szCs w:val="24"/>
        </w:rPr>
        <w:t xml:space="preserve">предупредить организации о прекращении всево</w:t>
      </w:r>
      <w:r>
        <w:rPr>
          <w:sz w:val="24"/>
          <w:szCs w:val="24"/>
        </w:rPr>
        <w:t xml:space="preserve">зможных строительных (уличных) работ (особенно на крановых установках);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1.8.3. </w:t>
      </w:r>
      <w:r>
        <w:rPr>
          <w:sz w:val="24"/>
          <w:szCs w:val="24"/>
        </w:rPr>
        <w:t xml:space="preserve">проверить готовность ПВР;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1.9. </w:t>
      </w:r>
      <w:r>
        <w:rPr>
          <w:sz w:val="24"/>
          <w:szCs w:val="24"/>
        </w:rPr>
        <w:t xml:space="preserve">уточнить планы действий по предупреждению и ликвидации чрезвычайных ситуаций, и иные документы;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1.10. </w:t>
      </w:r>
      <w:r>
        <w:rPr>
          <w:sz w:val="24"/>
          <w:szCs w:val="24"/>
        </w:rPr>
        <w:t xml:space="preserve">восполнить при необходимости резервы материа</w:t>
      </w:r>
      <w:r>
        <w:rPr>
          <w:sz w:val="24"/>
          <w:szCs w:val="24"/>
        </w:rPr>
        <w:t xml:space="preserve">льных ресурсов, созданных для ликвидации чрезвычайных ситуаций;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1.11. </w:t>
      </w:r>
      <w:r>
        <w:rPr>
          <w:sz w:val="24"/>
          <w:szCs w:val="24"/>
        </w:rPr>
        <w:t xml:space="preserve">быть в готовности при необходимости проводить эвакуационные мероприятия;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1.12. </w:t>
      </w:r>
      <w:r>
        <w:rPr>
          <w:sz w:val="24"/>
          <w:szCs w:val="24"/>
        </w:rPr>
        <w:t xml:space="preserve">органам повседневного управления муниципальных образований (ЕДДС) направить в ОДС ЦУКС Главного управления </w:t>
      </w:r>
      <w:r>
        <w:rPr>
          <w:sz w:val="24"/>
          <w:szCs w:val="24"/>
        </w:rPr>
        <w:t xml:space="preserve">донесения (ФОРМА 1-ЧС) и анализ выполнения превентивных мероприятий.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Местным подразделениям ГИБДД: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</w:t>
      </w:r>
      <w:r>
        <w:rPr>
          <w:sz w:val="24"/>
          <w:szCs w:val="24"/>
        </w:rPr>
        <w:t xml:space="preserve"> реализовать меры по предупреждению аварийных ситуаций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на участках автомобильных дорог (наиболее опасных к возникновению ДТП);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</w:t>
      </w:r>
      <w:r>
        <w:rPr>
          <w:sz w:val="24"/>
          <w:szCs w:val="24"/>
        </w:rPr>
        <w:tab/>
        <w:t xml:space="preserve">своевременно инф</w:t>
      </w:r>
      <w:r>
        <w:rPr>
          <w:sz w:val="24"/>
          <w:szCs w:val="24"/>
        </w:rPr>
        <w:t xml:space="preserve">ормировать население, дорожные службы, органы местного самоуправления муниципальных образований о дорожной обстановке;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2.3.</w:t>
      </w:r>
      <w:r>
        <w:rPr>
          <w:sz w:val="24"/>
          <w:szCs w:val="24"/>
        </w:rPr>
        <w:t xml:space="preserve"> проводить мониторинг дорожной обстановки на подведомственной территории;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2.4.</w:t>
      </w:r>
      <w:r>
        <w:rPr>
          <w:sz w:val="24"/>
          <w:szCs w:val="24"/>
        </w:rPr>
        <w:t xml:space="preserve"> обеспечить усиленное несение службы патрульными экипажами ДПС и на стационарных постах;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2.5.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выставить временные дорожные знаки по ограничению скоростного режима, организовать ограничение движения на особо опасных участках дорог.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709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3.Руководителям предприя</w:t>
      </w:r>
      <w:r>
        <w:rPr>
          <w:b/>
          <w:sz w:val="24"/>
          <w:szCs w:val="24"/>
        </w:rPr>
        <w:t xml:space="preserve">тий, организаций и учреждений:</w:t>
      </w:r>
      <w:r>
        <w:rPr>
          <w:b/>
          <w:sz w:val="24"/>
          <w:szCs w:val="24"/>
        </w:rPr>
      </w:r>
    </w:p>
    <w:p>
      <w:pPr>
        <w:ind w:firstLine="709"/>
        <w:jc w:val="both"/>
        <w:tabs>
          <w:tab w:val="left" w:pos="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r>
        <w:rPr>
          <w:sz w:val="24"/>
          <w:szCs w:val="24"/>
        </w:rPr>
        <w:t xml:space="preserve">усилить охрану и предусмотреть меры безопасности промышленных и особо важных объектов, обеспечивающих жизнедеятельность населения, а также объектов с массовым пребыванием людей (спортивные сооружения, торговые и развлекат</w:t>
      </w:r>
      <w:r>
        <w:rPr>
          <w:sz w:val="24"/>
          <w:szCs w:val="24"/>
        </w:rPr>
        <w:t xml:space="preserve">ельные центры и т.д.) при получении информации об неблагоприятных явлениях;</w:t>
      </w:r>
      <w:r>
        <w:rPr>
          <w:b/>
          <w:sz w:val="24"/>
          <w:szCs w:val="24"/>
        </w:rPr>
      </w:r>
    </w:p>
    <w:p>
      <w:pPr>
        <w:ind w:firstLine="709"/>
        <w:jc w:val="both"/>
        <w:tabs>
          <w:tab w:val="left" w:pos="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r>
        <w:rPr>
          <w:sz w:val="24"/>
          <w:szCs w:val="24"/>
        </w:rPr>
        <w:t xml:space="preserve">предусмотреть возможность перехода на источники резервного электропитания, проверить готовность к работе автономных источников электропитания (подвижных электростанций);</w:t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3.3.</w:t>
      </w:r>
      <w:r>
        <w:rPr>
          <w:sz w:val="24"/>
          <w:szCs w:val="24"/>
        </w:rPr>
        <w:t xml:space="preserve"> продолжать контроль (объезд, обход) воздушных линий электропередач, распределительных устройств, головных трансформаторных подстанций.</w:t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709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Общие мероприятия для Ф и ТП РСЧС:</w:t>
      </w:r>
      <w:r>
        <w:rPr>
          <w:b/>
          <w:sz w:val="24"/>
          <w:szCs w:val="24"/>
        </w:rPr>
      </w:r>
    </w:p>
    <w:p>
      <w:pPr>
        <w:jc w:val="both"/>
        <w:tabs>
          <w:tab w:val="left" w:pos="709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4.1. </w:t>
      </w:r>
      <w:r>
        <w:rPr>
          <w:sz w:val="24"/>
          <w:szCs w:val="24"/>
        </w:rPr>
        <w:t xml:space="preserve">изучить полученный прогноз, довести прогноз всем органам Ф и ТП РСЧС;</w:t>
      </w:r>
      <w:r>
        <w:rPr>
          <w:b/>
          <w:sz w:val="24"/>
          <w:szCs w:val="24"/>
        </w:rPr>
      </w:r>
    </w:p>
    <w:p>
      <w:pPr>
        <w:jc w:val="both"/>
        <w:tabs>
          <w:tab w:val="left" w:pos="709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4.2.</w:t>
      </w:r>
      <w:r>
        <w:rPr>
          <w:sz w:val="24"/>
          <w:szCs w:val="24"/>
        </w:rPr>
        <w:t xml:space="preserve"> руководителям Ф и ТП РСЧС усилить бдительность к угрозе возникновения, возникновению чрезвычайной ситуации и социально-значимых происшествий;</w:t>
      </w:r>
      <w:r>
        <w:rPr>
          <w:sz w:val="24"/>
          <w:szCs w:val="24"/>
        </w:rPr>
      </w:r>
    </w:p>
    <w:p>
      <w:pPr>
        <w:jc w:val="both"/>
        <w:tabs>
          <w:tab w:val="left" w:pos="709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4.3.</w:t>
      </w:r>
      <w:r>
        <w:rPr>
          <w:sz w:val="24"/>
          <w:szCs w:val="24"/>
        </w:rPr>
        <w:t xml:space="preserve"> усилить контроль за обстановкой по линии дежурно-диспетчерских служб, обеспечить немедленное прохождение ин</w:t>
      </w:r>
      <w:r>
        <w:rPr>
          <w:sz w:val="24"/>
          <w:szCs w:val="24"/>
        </w:rPr>
        <w:t xml:space="preserve">формации и докладов;</w:t>
      </w:r>
      <w:r>
        <w:rPr>
          <w:sz w:val="24"/>
          <w:szCs w:val="24"/>
        </w:rPr>
      </w:r>
    </w:p>
    <w:p>
      <w:p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4.4</w:t>
      </w:r>
      <w:r>
        <w:rPr>
          <w:sz w:val="24"/>
          <w:szCs w:val="24"/>
        </w:rPr>
        <w:t xml:space="preserve">. уточнить наличие и состав сил и средств;</w:t>
      </w:r>
      <w:r>
        <w:rPr>
          <w:sz w:val="24"/>
          <w:szCs w:val="24"/>
        </w:rPr>
      </w:r>
    </w:p>
    <w:p>
      <w:p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4.5.</w:t>
      </w:r>
      <w:r>
        <w:rPr>
          <w:sz w:val="24"/>
          <w:szCs w:val="24"/>
        </w:rPr>
        <w:t xml:space="preserve"> проверить готовность аварийных служб к реагированию;</w:t>
      </w:r>
      <w:r>
        <w:rPr>
          <w:sz w:val="24"/>
          <w:szCs w:val="24"/>
        </w:rPr>
      </w:r>
    </w:p>
    <w:p>
      <w:p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4.6.</w:t>
      </w:r>
      <w:r>
        <w:rPr>
          <w:sz w:val="24"/>
          <w:szCs w:val="24"/>
        </w:rPr>
        <w:t xml:space="preserve"> проверить планы (отселения) эвакуации;</w:t>
      </w:r>
      <w:r>
        <w:rPr>
          <w:sz w:val="24"/>
          <w:szCs w:val="24"/>
        </w:rPr>
      </w:r>
    </w:p>
    <w:p>
      <w:p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4.7.</w:t>
      </w:r>
      <w:r>
        <w:rPr>
          <w:sz w:val="24"/>
          <w:szCs w:val="24"/>
        </w:rPr>
        <w:t xml:space="preserve"> проверить планы первоочередного жизнеобеспечения населения;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4.8.</w:t>
      </w:r>
      <w:r>
        <w:rPr>
          <w:sz w:val="24"/>
          <w:szCs w:val="24"/>
        </w:rPr>
        <w:t xml:space="preserve"> проверить и </w:t>
      </w:r>
      <w:r>
        <w:rPr>
          <w:sz w:val="24"/>
          <w:szCs w:val="24"/>
        </w:rPr>
        <w:t xml:space="preserve">обеспечить готовность системы оповещения и информирования населения, средств связи и управления;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4.9.</w:t>
      </w:r>
      <w:r>
        <w:rPr>
          <w:sz w:val="24"/>
          <w:szCs w:val="24"/>
        </w:rPr>
        <w:t xml:space="preserve"> осуществить информирование населения, которое может оказаться в зоне влияния неблагоприятного природного явления;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4.10.</w:t>
      </w:r>
      <w:r>
        <w:rPr>
          <w:sz w:val="24"/>
          <w:szCs w:val="24"/>
        </w:rPr>
        <w:t xml:space="preserve"> рассмотреть вопрос о круглосуточ</w:t>
      </w:r>
      <w:r>
        <w:rPr>
          <w:sz w:val="24"/>
          <w:szCs w:val="24"/>
        </w:rPr>
        <w:t xml:space="preserve">ном дежурстве аварийно-восстановительных бригад;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4.11.</w:t>
      </w:r>
      <w:r>
        <w:rPr>
          <w:sz w:val="24"/>
          <w:szCs w:val="24"/>
        </w:rPr>
        <w:t xml:space="preserve"> предусмотреть возможность перехода на источники резервного электропитания, проверить готовность к работе автономных источников электропитания (подвижных электростанций);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4.12.</w:t>
      </w:r>
      <w:r>
        <w:rPr>
          <w:sz w:val="24"/>
          <w:szCs w:val="24"/>
        </w:rPr>
        <w:t xml:space="preserve"> обеспечить контроль гот</w:t>
      </w:r>
      <w:r>
        <w:rPr>
          <w:sz w:val="24"/>
          <w:szCs w:val="24"/>
        </w:rPr>
        <w:t xml:space="preserve">овности спасательных служб к реагированию на дорожно-транспортные происшествия, на повреждения линий связи, электропередач;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4.13.</w:t>
      </w:r>
      <w:r>
        <w:rPr>
          <w:sz w:val="24"/>
          <w:szCs w:val="24"/>
        </w:rPr>
        <w:t xml:space="preserve"> рассмотреть вопрос об ограничении выхода транспортных средств;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4.14.</w:t>
      </w:r>
      <w:r>
        <w:rPr>
          <w:sz w:val="24"/>
          <w:szCs w:val="24"/>
        </w:rPr>
        <w:t xml:space="preserve"> осуществить контроль за техническим состоянием транспор</w:t>
      </w:r>
      <w:r>
        <w:rPr>
          <w:sz w:val="24"/>
          <w:szCs w:val="24"/>
        </w:rPr>
        <w:t xml:space="preserve">та, используемого для перевозки опасных грузов и предрейсовой подготовкой водителей;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4.15.</w:t>
      </w:r>
      <w:r>
        <w:rPr>
          <w:sz w:val="24"/>
          <w:szCs w:val="24"/>
        </w:rPr>
        <w:t xml:space="preserve"> провести мероприятия по укреплению несущих конструкций и кровельных покрытий, имеющих высокую степень износа;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4.16.</w:t>
      </w:r>
      <w:r>
        <w:rPr>
          <w:sz w:val="24"/>
          <w:szCs w:val="24"/>
        </w:rPr>
        <w:t xml:space="preserve"> выполнить мероприятия в соответствии с действую</w:t>
      </w:r>
      <w:r>
        <w:rPr>
          <w:sz w:val="24"/>
          <w:szCs w:val="24"/>
        </w:rPr>
        <w:t xml:space="preserve">щим законодательством.</w:t>
      </w:r>
      <w:r>
        <w:rPr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Рекомендации населению:</w:t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5.1</w:t>
      </w:r>
      <w:r>
        <w:rPr>
          <w:sz w:val="24"/>
          <w:szCs w:val="24"/>
        </w:rPr>
        <w:t xml:space="preserve"> Ограничить использование личного транспорта, заблаговременно поставив автомобиль в безопасное место;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5.2</w:t>
      </w:r>
      <w:r>
        <w:rPr>
          <w:sz w:val="24"/>
          <w:szCs w:val="24"/>
        </w:rPr>
        <w:t xml:space="preserve"> Соблюдать осторожность при пешем передвижении ввиду погодных условий;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5.3</w:t>
      </w:r>
      <w:r>
        <w:rPr>
          <w:sz w:val="24"/>
          <w:szCs w:val="24"/>
        </w:rPr>
        <w:t xml:space="preserve"> При передвижении соблюдать дистанцию между автомобилями, не превышать скоростной режим, соблюдать требования дорожных знаков;</w:t>
      </w:r>
      <w:r>
        <w:rPr>
          <w:sz w:val="24"/>
          <w:szCs w:val="24"/>
        </w:rPr>
      </w:r>
    </w:p>
    <w:p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5.4 </w:t>
      </w:r>
      <w:r>
        <w:rPr>
          <w:sz w:val="24"/>
          <w:szCs w:val="24"/>
        </w:rPr>
        <w:t xml:space="preserve">Исключить междугородние поездки.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568" w:right="567" w:bottom="709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Verdana">
    <w:panose1 w:val="020B0606030504020204"/>
  </w:font>
  <w:font w:name="Consolas">
    <w:panose1 w:val="020B0606020202030204"/>
  </w:font>
  <w:font w:name="Tahoma">
    <w:panose1 w:val="020B060603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95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80" w:hanging="360"/>
        <w:tabs>
          <w:tab w:val="num" w:pos="7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26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14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6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60" w:hanging="360"/>
        <w:tabs>
          <w:tab w:val="num" w:pos="36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080" w:hanging="360"/>
        <w:tabs>
          <w:tab w:val="num" w:pos="108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240" w:hanging="360"/>
        <w:tabs>
          <w:tab w:val="num" w:pos="324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400" w:hanging="360"/>
        <w:tabs>
          <w:tab w:val="num" w:pos="540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  <w:tabs>
          <w:tab w:val="num" w:pos="78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 w:val="0"/>
        <w:i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8" w:hanging="180"/>
      </w:pPr>
    </w:lvl>
  </w:abstractNum>
  <w:abstractNum w:abstractNumId="37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600" w:hanging="360"/>
        <w:tabs>
          <w:tab w:val="num" w:pos="6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320" w:hanging="360"/>
        <w:tabs>
          <w:tab w:val="num" w:pos="13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40" w:hanging="180"/>
        <w:tabs>
          <w:tab w:val="num" w:pos="20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60" w:hanging="360"/>
        <w:tabs>
          <w:tab w:val="num" w:pos="27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80" w:hanging="360"/>
        <w:tabs>
          <w:tab w:val="num" w:pos="34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00" w:hanging="180"/>
        <w:tabs>
          <w:tab w:val="num" w:pos="42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20" w:hanging="360"/>
        <w:tabs>
          <w:tab w:val="num" w:pos="49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40" w:hanging="360"/>
        <w:tabs>
          <w:tab w:val="num" w:pos="56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60" w:hanging="180"/>
        <w:tabs>
          <w:tab w:val="num" w:pos="6360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i/>
      </w:rPr>
    </w:lvl>
    <w:lvl w:ilvl="1">
      <w:start w:val="1"/>
      <w:numFmt w:val="decimal"/>
      <w:isLgl w:val="false"/>
      <w:suff w:val="tab"/>
      <w:lvlText w:val="%1.%2."/>
      <w:lvlJc w:val="left"/>
      <w:pPr>
        <w:ind w:left="840" w:hanging="420"/>
        <w:tabs>
          <w:tab w:val="num" w:pos="840" w:leader="none"/>
        </w:tabs>
      </w:pPr>
      <w:rPr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60" w:hanging="720"/>
        <w:tabs>
          <w:tab w:val="num" w:pos="1560" w:leader="none"/>
        </w:tabs>
      </w:pPr>
      <w:rPr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720"/>
        <w:tabs>
          <w:tab w:val="num" w:pos="1980" w:leader="none"/>
        </w:tabs>
      </w:pPr>
      <w:rPr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60" w:hanging="1080"/>
        <w:tabs>
          <w:tab w:val="num" w:pos="2760" w:leader="none"/>
        </w:tabs>
      </w:pPr>
      <w:rPr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180" w:hanging="1080"/>
        <w:tabs>
          <w:tab w:val="num" w:pos="3180" w:leader="none"/>
        </w:tabs>
      </w:pPr>
      <w:rPr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  <w:tabs>
          <w:tab w:val="num" w:pos="3960" w:leader="none"/>
        </w:tabs>
      </w:pPr>
      <w:rPr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80" w:hanging="1440"/>
        <w:tabs>
          <w:tab w:val="num" w:pos="4380" w:leader="none"/>
        </w:tabs>
      </w:pPr>
      <w:rPr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160" w:hanging="1800"/>
        <w:tabs>
          <w:tab w:val="num" w:pos="5160" w:leader="none"/>
        </w:tabs>
      </w:pPr>
      <w:rPr>
        <w:i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2220" w:hanging="2220"/>
        <w:tabs>
          <w:tab w:val="num" w:pos="2220" w:leader="none"/>
        </w:tabs>
      </w:pPr>
    </w:lvl>
    <w:lvl w:ilvl="1">
      <w:start w:val="6"/>
      <w:numFmt w:val="decimalZero"/>
      <w:isLgl w:val="false"/>
      <w:suff w:val="tab"/>
      <w:lvlText w:val="%1.%2."/>
      <w:lvlJc w:val="left"/>
      <w:pPr>
        <w:ind w:left="2220" w:hanging="2220"/>
        <w:tabs>
          <w:tab w:val="num" w:pos="2220" w:leader="none"/>
        </w:tabs>
      </w:pPr>
    </w:lvl>
    <w:lvl w:ilvl="2">
      <w:start w:val="10"/>
      <w:numFmt w:val="decimal"/>
      <w:isLgl w:val="false"/>
      <w:suff w:val="tab"/>
      <w:lvlText w:val="%1.%2.%3."/>
      <w:lvlJc w:val="left"/>
      <w:pPr>
        <w:ind w:left="2220" w:hanging="2220"/>
        <w:tabs>
          <w:tab w:val="num" w:pos="22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20" w:hanging="2220"/>
        <w:tabs>
          <w:tab w:val="num" w:pos="22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20" w:hanging="2220"/>
        <w:tabs>
          <w:tab w:val="num" w:pos="22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20" w:hanging="2220"/>
        <w:tabs>
          <w:tab w:val="num" w:pos="22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0" w:hanging="2220"/>
        <w:tabs>
          <w:tab w:val="num" w:pos="22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0" w:hanging="2220"/>
        <w:tabs>
          <w:tab w:val="num" w:pos="22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220" w:hanging="2220"/>
        <w:tabs>
          <w:tab w:val="num" w:pos="2220" w:leader="none"/>
        </w:tabs>
      </w:pPr>
    </w:lvl>
  </w:abstractNum>
  <w:num w:numId="1">
    <w:abstractNumId w:val="40"/>
  </w:num>
  <w:num w:numId="2">
    <w:abstractNumId w:val="42"/>
  </w:num>
  <w:num w:numId="3">
    <w:abstractNumId w:val="12"/>
  </w:num>
  <w:num w:numId="4">
    <w:abstractNumId w:val="6"/>
  </w:num>
  <w:num w:numId="5">
    <w:abstractNumId w:val="20"/>
  </w:num>
  <w:num w:numId="6">
    <w:abstractNumId w:val="8"/>
  </w:num>
  <w:num w:numId="7">
    <w:abstractNumId w:val="7"/>
  </w:num>
  <w:num w:numId="8">
    <w:abstractNumId w:val="14"/>
  </w:num>
  <w:num w:numId="9">
    <w:abstractNumId w:val="23"/>
  </w:num>
  <w:num w:numId="10">
    <w:abstractNumId w:val="27"/>
  </w:num>
  <w:num w:numId="11">
    <w:abstractNumId w:val="1"/>
  </w:num>
  <w:num w:numId="12">
    <w:abstractNumId w:val="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4"/>
  </w:num>
  <w:num w:numId="19">
    <w:abstractNumId w:val="13"/>
  </w:num>
  <w:num w:numId="20">
    <w:abstractNumId w:val="5"/>
  </w:num>
  <w:num w:numId="21">
    <w:abstractNumId w:val="2"/>
  </w:num>
  <w:num w:numId="22">
    <w:abstractNumId w:val="36"/>
  </w:num>
  <w:num w:numId="23">
    <w:abstractNumId w:val="30"/>
  </w:num>
  <w:num w:numId="24">
    <w:abstractNumId w:val="28"/>
  </w:num>
  <w:num w:numId="25">
    <w:abstractNumId w:val="11"/>
  </w:num>
  <w:num w:numId="26">
    <w:abstractNumId w:val="25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41"/>
  </w:num>
  <w:num w:numId="30">
    <w:abstractNumId w:val="18"/>
  </w:num>
  <w:num w:numId="31">
    <w:abstractNumId w:val="9"/>
  </w:num>
  <w:num w:numId="32">
    <w:abstractNumId w:val="44"/>
  </w:num>
  <w:num w:numId="33">
    <w:abstractNumId w:val="21"/>
  </w:num>
  <w:num w:numId="34">
    <w:abstractNumId w:val="33"/>
  </w:num>
  <w:num w:numId="35">
    <w:abstractNumId w:val="31"/>
  </w:num>
  <w:num w:numId="36">
    <w:abstractNumId w:val="26"/>
  </w:num>
  <w:num w:numId="37">
    <w:abstractNumId w:val="22"/>
  </w:num>
  <w:num w:numId="38">
    <w:abstractNumId w:val="19"/>
  </w:num>
  <w:num w:numId="39">
    <w:abstractNumId w:val="39"/>
  </w:num>
  <w:num w:numId="40">
    <w:abstractNumId w:val="3"/>
  </w:num>
  <w:num w:numId="41">
    <w:abstractNumId w:val="0"/>
  </w:num>
  <w:num w:numId="42">
    <w:abstractNumId w:val="29"/>
  </w:num>
  <w:num w:numId="43">
    <w:abstractNumId w:val="2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10"/>
  </w:num>
  <w:num w:numId="46">
    <w:abstractNumId w:val="16"/>
  </w:num>
  <w:num w:numId="47">
    <w:abstractNumId w:val="24"/>
  </w:num>
  <w:num w:numId="48">
    <w:abstractNumId w:val="38"/>
  </w:num>
  <w:num w:numId="49">
    <w:abstractNumId w:val="43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758"/>
    <w:link w:val="795"/>
    <w:uiPriority w:val="35"/>
    <w:rPr>
      <w:b/>
      <w:bCs/>
      <w:color w:val="4f81bd" w:themeColor="accent1"/>
      <w:sz w:val="18"/>
      <w:szCs w:val="18"/>
    </w:rPr>
  </w:style>
  <w:style w:type="paragraph" w:styleId="748" w:default="1">
    <w:name w:val="Normal"/>
    <w:qFormat/>
    <w:rPr>
      <w:sz w:val="28"/>
      <w:lang w:eastAsia="ru-RU"/>
    </w:rPr>
  </w:style>
  <w:style w:type="paragraph" w:styleId="749">
    <w:name w:val="Heading 1"/>
    <w:basedOn w:val="748"/>
    <w:next w:val="748"/>
    <w:link w:val="977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50">
    <w:name w:val="Heading 2"/>
    <w:basedOn w:val="748"/>
    <w:next w:val="748"/>
    <w:link w:val="957"/>
    <w:qFormat/>
    <w:pPr>
      <w:jc w:val="right"/>
      <w:keepNext/>
      <w:outlineLvl w:val="1"/>
    </w:pPr>
    <w:rPr>
      <w:rFonts w:ascii="Arial" w:hAnsi="Arial" w:cs="Arial"/>
      <w:bCs/>
      <w:i/>
      <w:iCs/>
      <w:sz w:val="24"/>
      <w:szCs w:val="24"/>
    </w:rPr>
  </w:style>
  <w:style w:type="paragraph" w:styleId="751">
    <w:name w:val="Heading 3"/>
    <w:basedOn w:val="748"/>
    <w:next w:val="748"/>
    <w:link w:val="958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52">
    <w:name w:val="Heading 4"/>
    <w:basedOn w:val="748"/>
    <w:next w:val="748"/>
    <w:link w:val="7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3">
    <w:name w:val="Heading 5"/>
    <w:basedOn w:val="748"/>
    <w:next w:val="748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748"/>
    <w:next w:val="748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748"/>
    <w:next w:val="748"/>
    <w:link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748"/>
    <w:next w:val="748"/>
    <w:link w:val="978"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757">
    <w:name w:val="Heading 9"/>
    <w:basedOn w:val="748"/>
    <w:next w:val="748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 w:default="1">
    <w:name w:val="Default Paragraph Font"/>
    <w:uiPriority w:val="1"/>
    <w:semiHidden/>
    <w:unhideWhenUsed/>
  </w:style>
  <w:style w:type="table" w:styleId="7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0" w:default="1">
    <w:name w:val="No List"/>
    <w:uiPriority w:val="99"/>
    <w:semiHidden/>
    <w:unhideWhenUsed/>
  </w:style>
  <w:style w:type="character" w:styleId="761" w:customStyle="1">
    <w:name w:val="Heading 4 Char"/>
    <w:basedOn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62" w:customStyle="1">
    <w:name w:val="Heading 5 Char"/>
    <w:basedOn w:val="758"/>
    <w:uiPriority w:val="9"/>
    <w:rPr>
      <w:rFonts w:ascii="Arial" w:hAnsi="Arial" w:eastAsia="Arial" w:cs="Arial"/>
      <w:b/>
      <w:bCs/>
      <w:sz w:val="24"/>
      <w:szCs w:val="24"/>
    </w:rPr>
  </w:style>
  <w:style w:type="character" w:styleId="763" w:customStyle="1">
    <w:name w:val="Heading 6 Char"/>
    <w:basedOn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Heading 7 Char"/>
    <w:basedOn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Heading 9 Char"/>
    <w:basedOn w:val="758"/>
    <w:uiPriority w:val="9"/>
    <w:rPr>
      <w:rFonts w:ascii="Arial" w:hAnsi="Arial" w:eastAsia="Arial" w:cs="Arial"/>
      <w:i/>
      <w:iCs/>
      <w:sz w:val="21"/>
      <w:szCs w:val="21"/>
    </w:rPr>
  </w:style>
  <w:style w:type="character" w:styleId="766" w:customStyle="1">
    <w:name w:val="Title Char"/>
    <w:basedOn w:val="758"/>
    <w:uiPriority w:val="10"/>
    <w:rPr>
      <w:sz w:val="48"/>
      <w:szCs w:val="48"/>
    </w:rPr>
  </w:style>
  <w:style w:type="character" w:styleId="767" w:customStyle="1">
    <w:name w:val="Subtitle Char"/>
    <w:basedOn w:val="758"/>
    <w:uiPriority w:val="11"/>
    <w:rPr>
      <w:sz w:val="24"/>
      <w:szCs w:val="24"/>
    </w:rPr>
  </w:style>
  <w:style w:type="character" w:styleId="768" w:customStyle="1">
    <w:name w:val="Quote Char"/>
    <w:uiPriority w:val="29"/>
    <w:rPr>
      <w:i/>
    </w:rPr>
  </w:style>
  <w:style w:type="character" w:styleId="769" w:customStyle="1">
    <w:name w:val="Intense Quote Char"/>
    <w:uiPriority w:val="30"/>
    <w:rPr>
      <w:i/>
    </w:rPr>
  </w:style>
  <w:style w:type="character" w:styleId="770" w:customStyle="1">
    <w:name w:val="Footnote Text Char"/>
    <w:uiPriority w:val="99"/>
    <w:rPr>
      <w:sz w:val="18"/>
    </w:rPr>
  </w:style>
  <w:style w:type="character" w:styleId="771" w:customStyle="1">
    <w:name w:val="Endnote Text Char"/>
    <w:uiPriority w:val="99"/>
    <w:rPr>
      <w:sz w:val="20"/>
    </w:rPr>
  </w:style>
  <w:style w:type="character" w:styleId="77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3" w:customStyle="1">
    <w:name w:val="Heading 2 Char"/>
    <w:uiPriority w:val="9"/>
    <w:rPr>
      <w:rFonts w:ascii="Arial" w:hAnsi="Arial" w:eastAsia="Arial" w:cs="Arial"/>
      <w:sz w:val="34"/>
    </w:rPr>
  </w:style>
  <w:style w:type="character" w:styleId="77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5" w:customStyle="1">
    <w:name w:val="Заголовок 4 Знак"/>
    <w:link w:val="752"/>
    <w:uiPriority w:val="9"/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Заголовок 5 Знак"/>
    <w:link w:val="753"/>
    <w:uiPriority w:val="9"/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Заголовок 6 Знак"/>
    <w:link w:val="754"/>
    <w:uiPriority w:val="9"/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Заголовок 7 Знак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Заголовок 9 Знак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81">
    <w:name w:val="List Paragraph"/>
    <w:basedOn w:val="748"/>
    <w:uiPriority w:val="34"/>
    <w:qFormat/>
    <w:pPr>
      <w:contextualSpacing/>
      <w:ind w:left="720"/>
    </w:pPr>
  </w:style>
  <w:style w:type="paragraph" w:styleId="782">
    <w:name w:val="No Spacing"/>
    <w:link w:val="961"/>
    <w:uiPriority w:val="1"/>
    <w:qFormat/>
    <w:rPr>
      <w:rFonts w:ascii="Calibri" w:hAnsi="Calibri"/>
      <w:sz w:val="22"/>
      <w:szCs w:val="22"/>
      <w:lang w:eastAsia="en-US"/>
    </w:rPr>
  </w:style>
  <w:style w:type="paragraph" w:styleId="783">
    <w:name w:val="Title"/>
    <w:basedOn w:val="748"/>
    <w:link w:val="784"/>
    <w:qFormat/>
    <w:pPr>
      <w:jc w:val="center"/>
    </w:pPr>
    <w:rPr>
      <w:b/>
      <w:sz w:val="36"/>
    </w:rPr>
  </w:style>
  <w:style w:type="character" w:styleId="784" w:customStyle="1">
    <w:name w:val="Название Знак"/>
    <w:link w:val="783"/>
    <w:uiPriority w:val="10"/>
    <w:rPr>
      <w:sz w:val="48"/>
      <w:szCs w:val="48"/>
    </w:rPr>
  </w:style>
  <w:style w:type="paragraph" w:styleId="785">
    <w:name w:val="Subtitle"/>
    <w:basedOn w:val="748"/>
    <w:next w:val="748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 w:customStyle="1">
    <w:name w:val="Подзаголовок Знак"/>
    <w:link w:val="785"/>
    <w:uiPriority w:val="11"/>
    <w:rPr>
      <w:sz w:val="24"/>
      <w:szCs w:val="24"/>
    </w:rPr>
  </w:style>
  <w:style w:type="paragraph" w:styleId="787">
    <w:name w:val="Quote"/>
    <w:basedOn w:val="748"/>
    <w:next w:val="748"/>
    <w:link w:val="788"/>
    <w:uiPriority w:val="29"/>
    <w:qFormat/>
    <w:pPr>
      <w:ind w:left="720" w:right="720"/>
    </w:pPr>
    <w:rPr>
      <w:i/>
    </w:rPr>
  </w:style>
  <w:style w:type="character" w:styleId="788" w:customStyle="1">
    <w:name w:val="Цитата 2 Знак"/>
    <w:link w:val="787"/>
    <w:uiPriority w:val="29"/>
    <w:rPr>
      <w:i/>
    </w:rPr>
  </w:style>
  <w:style w:type="paragraph" w:styleId="789">
    <w:name w:val="Intense Quote"/>
    <w:basedOn w:val="748"/>
    <w:next w:val="748"/>
    <w:link w:val="7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 w:customStyle="1">
    <w:name w:val="Выделенная цитата Знак"/>
    <w:link w:val="789"/>
    <w:uiPriority w:val="30"/>
    <w:rPr>
      <w:i/>
    </w:rPr>
  </w:style>
  <w:style w:type="paragraph" w:styleId="791">
    <w:name w:val="Header"/>
    <w:basedOn w:val="748"/>
    <w:link w:val="960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792" w:customStyle="1">
    <w:name w:val="Header Char"/>
    <w:uiPriority w:val="99"/>
  </w:style>
  <w:style w:type="paragraph" w:styleId="793">
    <w:name w:val="Footer"/>
    <w:basedOn w:val="748"/>
    <w:link w:val="964"/>
    <w:pPr>
      <w:tabs>
        <w:tab w:val="center" w:pos="4677" w:leader="none"/>
        <w:tab w:val="right" w:pos="9355" w:leader="none"/>
      </w:tabs>
    </w:pPr>
  </w:style>
  <w:style w:type="character" w:styleId="794" w:customStyle="1">
    <w:name w:val="Footer Char"/>
    <w:uiPriority w:val="99"/>
  </w:style>
  <w:style w:type="paragraph" w:styleId="795">
    <w:name w:val="Caption"/>
    <w:basedOn w:val="748"/>
    <w:next w:val="748"/>
    <w:link w:val="7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6" w:customStyle="1">
    <w:name w:val="Название объекта Знак"/>
    <w:link w:val="795"/>
    <w:uiPriority w:val="99"/>
  </w:style>
  <w:style w:type="table" w:styleId="797">
    <w:name w:val="Table Grid"/>
    <w:basedOn w:val="759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3">
    <w:name w:val="Hyperlink"/>
    <w:uiPriority w:val="99"/>
    <w:unhideWhenUsed/>
    <w:rPr>
      <w:color w:val="0000ff"/>
      <w:u w:val="single"/>
    </w:rPr>
  </w:style>
  <w:style w:type="paragraph" w:styleId="924">
    <w:name w:val="footnote text"/>
    <w:basedOn w:val="748"/>
    <w:link w:val="925"/>
    <w:uiPriority w:val="99"/>
    <w:semiHidden/>
    <w:unhideWhenUsed/>
    <w:pPr>
      <w:spacing w:after="40"/>
    </w:pPr>
    <w:rPr>
      <w:sz w:val="18"/>
    </w:rPr>
  </w:style>
  <w:style w:type="character" w:styleId="925" w:customStyle="1">
    <w:name w:val="Текст сноски Знак"/>
    <w:link w:val="924"/>
    <w:uiPriority w:val="99"/>
    <w:rPr>
      <w:sz w:val="18"/>
    </w:rPr>
  </w:style>
  <w:style w:type="character" w:styleId="926">
    <w:name w:val="footnote reference"/>
    <w:uiPriority w:val="99"/>
    <w:unhideWhenUsed/>
    <w:rPr>
      <w:vertAlign w:val="superscript"/>
    </w:rPr>
  </w:style>
  <w:style w:type="paragraph" w:styleId="927">
    <w:name w:val="endnote text"/>
    <w:basedOn w:val="748"/>
    <w:link w:val="928"/>
    <w:uiPriority w:val="99"/>
    <w:semiHidden/>
    <w:unhideWhenUsed/>
    <w:rPr>
      <w:sz w:val="20"/>
    </w:rPr>
  </w:style>
  <w:style w:type="character" w:styleId="928" w:customStyle="1">
    <w:name w:val="Текст концевой сноски Знак"/>
    <w:link w:val="927"/>
    <w:uiPriority w:val="99"/>
    <w:rPr>
      <w:sz w:val="20"/>
    </w:rPr>
  </w:style>
  <w:style w:type="character" w:styleId="929">
    <w:name w:val="endnote reference"/>
    <w:uiPriority w:val="99"/>
    <w:semiHidden/>
    <w:unhideWhenUsed/>
    <w:rPr>
      <w:vertAlign w:val="superscript"/>
    </w:rPr>
  </w:style>
  <w:style w:type="paragraph" w:styleId="930">
    <w:name w:val="toc 1"/>
    <w:basedOn w:val="748"/>
    <w:next w:val="748"/>
    <w:uiPriority w:val="39"/>
    <w:unhideWhenUsed/>
    <w:pPr>
      <w:spacing w:after="57"/>
    </w:pPr>
  </w:style>
  <w:style w:type="paragraph" w:styleId="931">
    <w:name w:val="toc 2"/>
    <w:basedOn w:val="748"/>
    <w:next w:val="748"/>
    <w:uiPriority w:val="39"/>
    <w:unhideWhenUsed/>
    <w:pPr>
      <w:ind w:left="283"/>
      <w:spacing w:after="57"/>
    </w:pPr>
  </w:style>
  <w:style w:type="paragraph" w:styleId="932">
    <w:name w:val="toc 3"/>
    <w:basedOn w:val="748"/>
    <w:next w:val="748"/>
    <w:uiPriority w:val="39"/>
    <w:unhideWhenUsed/>
    <w:pPr>
      <w:ind w:left="567"/>
      <w:spacing w:after="57"/>
    </w:pPr>
  </w:style>
  <w:style w:type="paragraph" w:styleId="933">
    <w:name w:val="toc 4"/>
    <w:basedOn w:val="748"/>
    <w:next w:val="748"/>
    <w:uiPriority w:val="39"/>
    <w:unhideWhenUsed/>
    <w:pPr>
      <w:ind w:left="850"/>
      <w:spacing w:after="57"/>
    </w:pPr>
  </w:style>
  <w:style w:type="paragraph" w:styleId="934">
    <w:name w:val="toc 5"/>
    <w:basedOn w:val="748"/>
    <w:next w:val="748"/>
    <w:uiPriority w:val="39"/>
    <w:unhideWhenUsed/>
    <w:pPr>
      <w:ind w:left="1134"/>
      <w:spacing w:after="57"/>
    </w:pPr>
  </w:style>
  <w:style w:type="paragraph" w:styleId="935">
    <w:name w:val="toc 6"/>
    <w:basedOn w:val="748"/>
    <w:next w:val="748"/>
    <w:uiPriority w:val="39"/>
    <w:unhideWhenUsed/>
    <w:pPr>
      <w:ind w:left="1417"/>
      <w:spacing w:after="57"/>
    </w:pPr>
  </w:style>
  <w:style w:type="paragraph" w:styleId="936">
    <w:name w:val="toc 7"/>
    <w:basedOn w:val="748"/>
    <w:next w:val="748"/>
    <w:uiPriority w:val="39"/>
    <w:unhideWhenUsed/>
    <w:pPr>
      <w:ind w:left="1701"/>
      <w:spacing w:after="57"/>
    </w:pPr>
  </w:style>
  <w:style w:type="paragraph" w:styleId="937">
    <w:name w:val="toc 8"/>
    <w:basedOn w:val="748"/>
    <w:next w:val="748"/>
    <w:uiPriority w:val="39"/>
    <w:unhideWhenUsed/>
    <w:pPr>
      <w:ind w:left="1984"/>
      <w:spacing w:after="57"/>
    </w:pPr>
  </w:style>
  <w:style w:type="paragraph" w:styleId="938">
    <w:name w:val="toc 9"/>
    <w:basedOn w:val="748"/>
    <w:next w:val="748"/>
    <w:uiPriority w:val="39"/>
    <w:unhideWhenUsed/>
    <w:pPr>
      <w:ind w:left="2268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748"/>
    <w:next w:val="748"/>
    <w:uiPriority w:val="99"/>
    <w:unhideWhenUsed/>
  </w:style>
  <w:style w:type="paragraph" w:styleId="941">
    <w:name w:val="Body Text"/>
    <w:basedOn w:val="748"/>
    <w:link w:val="952"/>
    <w:pPr>
      <w:jc w:val="both"/>
    </w:pPr>
    <w:rPr>
      <w:lang w:val="en-US"/>
    </w:rPr>
  </w:style>
  <w:style w:type="paragraph" w:styleId="942">
    <w:name w:val="Body Text 3"/>
    <w:basedOn w:val="748"/>
    <w:link w:val="956"/>
    <w:pPr>
      <w:jc w:val="center"/>
    </w:pPr>
  </w:style>
  <w:style w:type="paragraph" w:styleId="943">
    <w:name w:val="Body Text Indent"/>
    <w:basedOn w:val="748"/>
    <w:link w:val="990"/>
    <w:pPr>
      <w:ind w:left="283"/>
      <w:spacing w:after="120"/>
    </w:pPr>
  </w:style>
  <w:style w:type="paragraph" w:styleId="944">
    <w:name w:val="Balloon Text"/>
    <w:basedOn w:val="748"/>
    <w:semiHidden/>
    <w:rPr>
      <w:rFonts w:ascii="Tahoma" w:hAnsi="Tahoma" w:cs="Tahoma"/>
      <w:sz w:val="16"/>
      <w:szCs w:val="16"/>
    </w:rPr>
  </w:style>
  <w:style w:type="paragraph" w:styleId="945" w:customStyle="1">
    <w:name w:val="Знак Знак Знак1 Знак Знак Знак Знак Знак Знак Знак Знак Знак"/>
    <w:basedOn w:val="748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paragraph" w:styleId="946" w:customStyle="1">
    <w:name w:val="Style10"/>
    <w:basedOn w:val="748"/>
    <w:pPr>
      <w:spacing w:line="209" w:lineRule="exact"/>
      <w:widowControl w:val="off"/>
    </w:pPr>
    <w:rPr>
      <w:rFonts w:ascii="Consolas" w:hAnsi="Consolas"/>
      <w:sz w:val="24"/>
      <w:szCs w:val="24"/>
    </w:rPr>
  </w:style>
  <w:style w:type="character" w:styleId="947" w:customStyle="1">
    <w:name w:val="Font Style17"/>
    <w:rPr>
      <w:rFonts w:ascii="Arial" w:hAnsi="Arial" w:cs="Arial"/>
      <w:sz w:val="16"/>
      <w:szCs w:val="16"/>
    </w:rPr>
  </w:style>
  <w:style w:type="character" w:styleId="948" w:customStyle="1">
    <w:name w:val="Font Style22"/>
    <w:rPr>
      <w:rFonts w:ascii="Arial" w:hAnsi="Arial" w:cs="Arial"/>
      <w:sz w:val="16"/>
      <w:szCs w:val="16"/>
    </w:rPr>
  </w:style>
  <w:style w:type="character" w:styleId="949" w:customStyle="1">
    <w:name w:val="Font Style24"/>
    <w:uiPriority w:val="99"/>
    <w:rPr>
      <w:rFonts w:ascii="Arial" w:hAnsi="Arial" w:cs="Arial"/>
      <w:b/>
      <w:bCs/>
      <w:sz w:val="16"/>
      <w:szCs w:val="16"/>
    </w:rPr>
  </w:style>
  <w:style w:type="paragraph" w:styleId="950" w:customStyle="1">
    <w:name w:val="Style8"/>
    <w:basedOn w:val="748"/>
    <w:uiPriority w:val="99"/>
    <w:pPr>
      <w:spacing w:line="213" w:lineRule="exact"/>
      <w:widowControl w:val="off"/>
    </w:pPr>
    <w:rPr>
      <w:rFonts w:ascii="Consolas" w:hAnsi="Consolas"/>
      <w:sz w:val="24"/>
      <w:szCs w:val="24"/>
    </w:rPr>
  </w:style>
  <w:style w:type="paragraph" w:styleId="951" w:customStyle="1">
    <w:name w:val="Style7"/>
    <w:basedOn w:val="748"/>
    <w:uiPriority w:val="99"/>
    <w:pPr>
      <w:widowControl w:val="off"/>
    </w:pPr>
    <w:rPr>
      <w:rFonts w:ascii="Consolas" w:hAnsi="Consolas"/>
      <w:sz w:val="24"/>
      <w:szCs w:val="24"/>
    </w:rPr>
  </w:style>
  <w:style w:type="character" w:styleId="952" w:customStyle="1">
    <w:name w:val="Основной текст Знак"/>
    <w:link w:val="941"/>
    <w:rPr>
      <w:sz w:val="28"/>
      <w:lang w:val="en-US"/>
    </w:rPr>
  </w:style>
  <w:style w:type="paragraph" w:styleId="953">
    <w:name w:val="Body Text 2"/>
    <w:basedOn w:val="748"/>
    <w:link w:val="954"/>
    <w:pPr>
      <w:spacing w:after="120" w:line="480" w:lineRule="auto"/>
    </w:pPr>
  </w:style>
  <w:style w:type="character" w:styleId="954" w:customStyle="1">
    <w:name w:val="Основной текст 2 Знак"/>
    <w:link w:val="953"/>
    <w:rPr>
      <w:sz w:val="28"/>
    </w:rPr>
  </w:style>
  <w:style w:type="character" w:styleId="955" w:customStyle="1">
    <w:name w:val="txt1"/>
    <w:rPr>
      <w:rFonts w:ascii="Verdana" w:hAnsi="Verdana"/>
      <w:color w:val="000000"/>
      <w:sz w:val="18"/>
      <w:szCs w:val="18"/>
    </w:rPr>
  </w:style>
  <w:style w:type="character" w:styleId="956" w:customStyle="1">
    <w:name w:val="Основной текст 3 Знак"/>
    <w:link w:val="942"/>
    <w:rPr>
      <w:sz w:val="28"/>
    </w:rPr>
  </w:style>
  <w:style w:type="character" w:styleId="957" w:customStyle="1">
    <w:name w:val="Заголовок 2 Знак"/>
    <w:link w:val="750"/>
    <w:rPr>
      <w:rFonts w:ascii="Arial" w:hAnsi="Arial" w:cs="Arial"/>
      <w:bCs/>
      <w:i/>
      <w:iCs/>
      <w:sz w:val="24"/>
      <w:szCs w:val="24"/>
    </w:rPr>
  </w:style>
  <w:style w:type="character" w:styleId="958" w:customStyle="1">
    <w:name w:val="Заголовок 3 Знак"/>
    <w:link w:val="751"/>
    <w:rPr>
      <w:rFonts w:ascii="Cambria" w:hAnsi="Cambria" w:eastAsia="Times New Roman" w:cs="Times New Roman"/>
      <w:b/>
      <w:bCs/>
      <w:sz w:val="26"/>
      <w:szCs w:val="26"/>
    </w:rPr>
  </w:style>
  <w:style w:type="paragraph" w:styleId="959">
    <w:name w:val="Normal (Web)"/>
    <w:basedOn w:val="74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60" w:customStyle="1">
    <w:name w:val="Верхний колонтитул Знак"/>
    <w:link w:val="791"/>
    <w:rPr>
      <w:sz w:val="24"/>
      <w:szCs w:val="24"/>
    </w:rPr>
  </w:style>
  <w:style w:type="character" w:styleId="961" w:customStyle="1">
    <w:name w:val="Без интервала Знак"/>
    <w:link w:val="782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962">
    <w:name w:val="Document Map"/>
    <w:basedOn w:val="748"/>
    <w:link w:val="963"/>
    <w:rPr>
      <w:rFonts w:ascii="Tahoma" w:hAnsi="Tahoma" w:cs="Tahoma"/>
      <w:sz w:val="16"/>
      <w:szCs w:val="16"/>
    </w:rPr>
  </w:style>
  <w:style w:type="character" w:styleId="963" w:customStyle="1">
    <w:name w:val="Схема документа Знак"/>
    <w:link w:val="962"/>
    <w:rPr>
      <w:rFonts w:ascii="Tahoma" w:hAnsi="Tahoma" w:cs="Tahoma"/>
      <w:sz w:val="16"/>
      <w:szCs w:val="16"/>
    </w:rPr>
  </w:style>
  <w:style w:type="character" w:styleId="964" w:customStyle="1">
    <w:name w:val="Нижний колонтитул Знак"/>
    <w:link w:val="793"/>
    <w:rPr>
      <w:sz w:val="28"/>
    </w:rPr>
  </w:style>
  <w:style w:type="character" w:styleId="965" w:customStyle="1">
    <w:name w:val="Font Style21"/>
    <w:rPr>
      <w:rFonts w:ascii="Times New Roman" w:hAnsi="Times New Roman" w:cs="Times New Roman"/>
      <w:color w:val="000000"/>
      <w:sz w:val="24"/>
      <w:szCs w:val="24"/>
    </w:rPr>
  </w:style>
  <w:style w:type="character" w:styleId="966" w:customStyle="1">
    <w:name w:val="Font Style1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967" w:customStyle="1">
    <w:name w:val="Font Style19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968" w:customStyle="1">
    <w:name w:val="Style6"/>
    <w:basedOn w:val="748"/>
    <w:pPr>
      <w:widowControl w:val="off"/>
    </w:pPr>
    <w:rPr>
      <w:sz w:val="24"/>
      <w:szCs w:val="24"/>
    </w:rPr>
  </w:style>
  <w:style w:type="paragraph" w:styleId="969" w:customStyle="1">
    <w:name w:val="Style9"/>
    <w:basedOn w:val="748"/>
    <w:pPr>
      <w:widowControl w:val="off"/>
    </w:pPr>
    <w:rPr>
      <w:sz w:val="24"/>
      <w:szCs w:val="24"/>
    </w:rPr>
  </w:style>
  <w:style w:type="paragraph" w:styleId="970" w:customStyle="1">
    <w:name w:val="Style11"/>
    <w:basedOn w:val="748"/>
    <w:pPr>
      <w:jc w:val="center"/>
      <w:spacing w:line="274" w:lineRule="exact"/>
      <w:widowControl w:val="off"/>
    </w:pPr>
    <w:rPr>
      <w:sz w:val="24"/>
      <w:szCs w:val="24"/>
    </w:rPr>
  </w:style>
  <w:style w:type="paragraph" w:styleId="971" w:customStyle="1">
    <w:name w:val="Style12"/>
    <w:basedOn w:val="748"/>
    <w:pPr>
      <w:spacing w:line="278" w:lineRule="exact"/>
      <w:widowControl w:val="off"/>
    </w:pPr>
    <w:rPr>
      <w:sz w:val="24"/>
      <w:szCs w:val="24"/>
    </w:rPr>
  </w:style>
  <w:style w:type="paragraph" w:styleId="972" w:customStyle="1">
    <w:name w:val="Style3"/>
    <w:basedOn w:val="748"/>
    <w:pPr>
      <w:ind w:firstLine="528"/>
      <w:jc w:val="both"/>
      <w:spacing w:line="269" w:lineRule="exact"/>
      <w:widowControl w:val="off"/>
    </w:pPr>
    <w:rPr>
      <w:sz w:val="24"/>
      <w:szCs w:val="24"/>
    </w:rPr>
  </w:style>
  <w:style w:type="paragraph" w:styleId="973" w:customStyle="1">
    <w:name w:val="Style13"/>
    <w:basedOn w:val="748"/>
    <w:pPr>
      <w:ind w:firstLine="706"/>
      <w:jc w:val="both"/>
      <w:spacing w:line="274" w:lineRule="exact"/>
      <w:widowControl w:val="off"/>
    </w:pPr>
    <w:rPr>
      <w:sz w:val="24"/>
      <w:szCs w:val="24"/>
    </w:rPr>
  </w:style>
  <w:style w:type="paragraph" w:styleId="974">
    <w:name w:val="Body Text Indent 2"/>
    <w:basedOn w:val="748"/>
    <w:link w:val="975"/>
    <w:pPr>
      <w:ind w:left="283"/>
      <w:spacing w:after="120" w:line="480" w:lineRule="auto"/>
    </w:pPr>
  </w:style>
  <w:style w:type="character" w:styleId="975" w:customStyle="1">
    <w:name w:val="Основной текст с отступом 2 Знак"/>
    <w:link w:val="974"/>
    <w:rPr>
      <w:sz w:val="28"/>
    </w:rPr>
  </w:style>
  <w:style w:type="paragraph" w:styleId="976" w:customStyle="1">
    <w:name w:val="Обычный1"/>
    <w:rPr>
      <w:lang w:eastAsia="ru-RU"/>
    </w:rPr>
  </w:style>
  <w:style w:type="character" w:styleId="977" w:customStyle="1">
    <w:name w:val="Заголовок 1 Знак"/>
    <w:link w:val="749"/>
    <w:rPr>
      <w:rFonts w:ascii="Cambria" w:hAnsi="Cambria" w:eastAsia="Times New Roman" w:cs="Times New Roman"/>
      <w:b/>
      <w:bCs/>
      <w:sz w:val="32"/>
      <w:szCs w:val="32"/>
    </w:rPr>
  </w:style>
  <w:style w:type="character" w:styleId="978" w:customStyle="1">
    <w:name w:val="Заголовок 8 Знак"/>
    <w:link w:val="756"/>
    <w:rPr>
      <w:rFonts w:ascii="Calibri" w:hAnsi="Calibri" w:eastAsia="Times New Roman" w:cs="Times New Roman"/>
      <w:i/>
      <w:iCs/>
      <w:sz w:val="24"/>
      <w:szCs w:val="24"/>
    </w:rPr>
  </w:style>
  <w:style w:type="paragraph" w:styleId="979" w:customStyle="1">
    <w:name w:val="Знак Знак1 Знак"/>
    <w:basedOn w:val="748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paragraph" w:styleId="980" w:customStyle="1">
    <w:name w:val="Знак"/>
    <w:basedOn w:val="74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981">
    <w:name w:val="page number"/>
    <w:basedOn w:val="758"/>
  </w:style>
  <w:style w:type="character" w:styleId="982">
    <w:name w:val="annotation reference"/>
    <w:rPr>
      <w:sz w:val="16"/>
      <w:szCs w:val="16"/>
    </w:rPr>
  </w:style>
  <w:style w:type="paragraph" w:styleId="983">
    <w:name w:val="annotation text"/>
    <w:basedOn w:val="748"/>
    <w:link w:val="984"/>
    <w:rPr>
      <w:sz w:val="20"/>
    </w:rPr>
  </w:style>
  <w:style w:type="character" w:styleId="984" w:customStyle="1">
    <w:name w:val="Текст примечания Знак"/>
    <w:basedOn w:val="758"/>
    <w:link w:val="983"/>
  </w:style>
  <w:style w:type="paragraph" w:styleId="985">
    <w:name w:val="annotation subject"/>
    <w:basedOn w:val="983"/>
    <w:next w:val="983"/>
    <w:link w:val="986"/>
    <w:rPr>
      <w:b/>
      <w:bCs/>
    </w:rPr>
  </w:style>
  <w:style w:type="character" w:styleId="986" w:customStyle="1">
    <w:name w:val="Тема примечания Знак"/>
    <w:link w:val="985"/>
    <w:rPr>
      <w:b/>
      <w:bCs/>
    </w:rPr>
  </w:style>
  <w:style w:type="paragraph" w:styleId="987" w:customStyle="1">
    <w:name w:val="Body Text 23"/>
    <w:basedOn w:val="748"/>
    <w:pPr>
      <w:jc w:val="both"/>
    </w:pPr>
    <w:rPr>
      <w:sz w:val="24"/>
    </w:rPr>
  </w:style>
  <w:style w:type="paragraph" w:styleId="988" w:customStyle="1">
    <w:name w:val="Normal2"/>
    <w:rPr>
      <w:lang w:eastAsia="ru-RU"/>
    </w:rPr>
  </w:style>
  <w:style w:type="paragraph" w:styleId="989">
    <w:name w:val="Body Text First Indent 2"/>
    <w:basedOn w:val="943"/>
    <w:link w:val="991"/>
    <w:pPr>
      <w:ind w:firstLine="210"/>
    </w:pPr>
  </w:style>
  <w:style w:type="character" w:styleId="990" w:customStyle="1">
    <w:name w:val="Основной текст с отступом Знак"/>
    <w:link w:val="943"/>
    <w:rPr>
      <w:sz w:val="28"/>
    </w:rPr>
  </w:style>
  <w:style w:type="character" w:styleId="991" w:customStyle="1">
    <w:name w:val="Красная строка 2 Знак"/>
    <w:link w:val="989"/>
    <w:rPr>
      <w:sz w:val="28"/>
    </w:rPr>
  </w:style>
  <w:style w:type="paragraph" w:styleId="992" w:customStyle="1">
    <w:name w:val="Знак Знак Знак Знак Знак Знак Знак Знак Знак1 Знак Знак Знак1 Знак Знак Знак4 Знак Знак Знак Знак"/>
    <w:basedOn w:val="748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paragraph" w:styleId="993" w:customStyle="1">
    <w:name w:val="Default"/>
    <w:rPr>
      <w:color w:val="000000"/>
      <w:sz w:val="24"/>
      <w:szCs w:val="24"/>
      <w:lang w:eastAsia="ru-RU"/>
    </w:rPr>
  </w:style>
  <w:style w:type="paragraph" w:styleId="994">
    <w:name w:val="Plain Text"/>
    <w:basedOn w:val="748"/>
    <w:link w:val="995"/>
    <w:uiPriority w:val="99"/>
    <w:unhideWhenUsed/>
    <w:rPr>
      <w:rFonts w:ascii="Consolas" w:hAnsi="Consolas" w:eastAsia="Calibri"/>
      <w:sz w:val="21"/>
      <w:szCs w:val="21"/>
      <w:lang w:eastAsia="en-US"/>
    </w:rPr>
  </w:style>
  <w:style w:type="character" w:styleId="995" w:customStyle="1">
    <w:name w:val="Текст Знак"/>
    <w:link w:val="994"/>
    <w:uiPriority w:val="99"/>
    <w:rPr>
      <w:rFonts w:ascii="Consolas" w:hAnsi="Consolas" w:eastAsia="Calibri"/>
      <w:sz w:val="21"/>
      <w:szCs w:val="21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гражданской защиты населения</dc:title>
  <dc:creator>Оперативный</dc:creator>
  <cp:lastModifiedBy>sitnikovans</cp:lastModifiedBy>
  <cp:revision>59</cp:revision>
  <dcterms:created xsi:type="dcterms:W3CDTF">2024-02-13T09:40:00Z</dcterms:created>
  <dcterms:modified xsi:type="dcterms:W3CDTF">2025-04-29T09:54:01Z</dcterms:modified>
  <cp:version>983040</cp:version>
</cp:coreProperties>
</file>