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Pr="009C3271" w:rsidRDefault="00335F1D" w:rsidP="00335F1D">
      <w:pPr>
        <w:jc w:val="both"/>
      </w:pPr>
      <w:r w:rsidRPr="009C3271">
        <w:t xml:space="preserve">от </w:t>
      </w:r>
      <w:r w:rsidR="00FA1C80">
        <w:t>09 июня</w:t>
      </w:r>
      <w:r w:rsidRPr="009C3271">
        <w:t xml:space="preserve"> 20</w:t>
      </w:r>
      <w:r w:rsidR="00A10881" w:rsidRPr="009C3271">
        <w:t>2</w:t>
      </w:r>
      <w:r w:rsidR="00A325C4" w:rsidRPr="009C3271">
        <w:t>5</w:t>
      </w:r>
      <w:r w:rsidRPr="009C3271">
        <w:t xml:space="preserve"> года                                                              </w:t>
      </w:r>
      <w:r w:rsidRPr="009C3271">
        <w:tab/>
        <w:t xml:space="preserve">       </w:t>
      </w:r>
      <w:r w:rsidRPr="009C3271">
        <w:tab/>
        <w:t xml:space="preserve">  </w:t>
      </w:r>
      <w:r w:rsidR="00E345F6" w:rsidRPr="009C3271">
        <w:t xml:space="preserve">      </w:t>
      </w:r>
      <w:r w:rsidRPr="009C3271">
        <w:t xml:space="preserve"> </w:t>
      </w:r>
      <w:r w:rsidR="00FA1C80">
        <w:t xml:space="preserve">        </w:t>
      </w:r>
      <w:r w:rsidRPr="009C3271">
        <w:t>№</w:t>
      </w:r>
      <w:r w:rsidR="00E6111B" w:rsidRPr="009C3271">
        <w:t xml:space="preserve"> </w:t>
      </w:r>
      <w:r w:rsidR="00FA1C80">
        <w:t>75</w:t>
      </w:r>
    </w:p>
    <w:p w:rsidR="00335F1D" w:rsidRPr="009C3271" w:rsidRDefault="00335F1D" w:rsidP="00335F1D">
      <w:proofErr w:type="spellStart"/>
      <w:r w:rsidRPr="009C3271">
        <w:t>пгт</w:t>
      </w:r>
      <w:proofErr w:type="spellEnd"/>
      <w:r w:rsidRPr="009C3271">
        <w:t>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394"/>
      </w:tblGrid>
      <w:tr w:rsidR="00B9578C" w:rsidRPr="009C3271" w:rsidTr="00D16A96">
        <w:tc>
          <w:tcPr>
            <w:tcW w:w="5245" w:type="dxa"/>
          </w:tcPr>
          <w:p w:rsidR="00B9578C" w:rsidRPr="009C3271" w:rsidRDefault="00D16A96" w:rsidP="00D16A96">
            <w:pPr>
              <w:tabs>
                <w:tab w:val="num" w:pos="-108"/>
              </w:tabs>
              <w:ind w:left="-108"/>
              <w:jc w:val="both"/>
              <w:rPr>
                <w:bCs/>
              </w:rPr>
            </w:pPr>
            <w:r w:rsidRPr="009C3271">
              <w:rPr>
                <w:bCs/>
              </w:rPr>
              <w:t>Об утверждении порядка инвентарного и аналитического учета объектов имущества муниципальной казны муниципального образования городское поселение Кондинское и начисления амортизации на амортизируемые объекты, находящиеся в составе имущества муниципальной казны муниципального образования городское поселение Кондинское</w:t>
            </w:r>
          </w:p>
        </w:tc>
        <w:tc>
          <w:tcPr>
            <w:tcW w:w="4394" w:type="dxa"/>
          </w:tcPr>
          <w:p w:rsidR="00B9578C" w:rsidRPr="009C3271" w:rsidRDefault="00B9578C" w:rsidP="005E6459">
            <w:pPr>
              <w:tabs>
                <w:tab w:val="num" w:pos="540"/>
              </w:tabs>
              <w:jc w:val="both"/>
              <w:rPr>
                <w:bCs/>
              </w:rPr>
            </w:pPr>
          </w:p>
        </w:tc>
      </w:tr>
    </w:tbl>
    <w:p w:rsidR="005E6459" w:rsidRPr="007F059C" w:rsidRDefault="005E6459" w:rsidP="007F059C">
      <w:pPr>
        <w:pStyle w:val="ab"/>
        <w:jc w:val="both"/>
        <w:rPr>
          <w:sz w:val="26"/>
          <w:szCs w:val="26"/>
        </w:rPr>
      </w:pPr>
    </w:p>
    <w:p w:rsidR="00EF43BE" w:rsidRPr="009C3271" w:rsidRDefault="00D16A96" w:rsidP="00265451">
      <w:pPr>
        <w:pStyle w:val="FORMATTEXT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C327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7" w:tooltip="’’Об утверждении Единого плана счетов бухгалтерского учета для органов ...’’&#10;Приказ Минфина России от 01.12.2010 N 157н&#10;Статус: Действующая редакция документа (действ. c 02.07.2023 по 31.12.2025)" w:history="1"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>приказом Министерства финансов Российской Федерации от 01</w:t>
        </w:r>
        <w:r w:rsidR="00FA1C80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декабря </w:t>
        </w:r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>2010</w:t>
        </w:r>
        <w:r w:rsidR="00FA1C80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года</w:t>
        </w:r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  <w:r w:rsidR="00FA1C80">
          <w:rPr>
            <w:rFonts w:ascii="Times New Roman" w:eastAsia="Times New Roman" w:hAnsi="Times New Roman" w:cs="Times New Roman"/>
            <w:bCs/>
            <w:sz w:val="24"/>
            <w:szCs w:val="24"/>
          </w:rPr>
          <w:t>№</w:t>
        </w:r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157н</w:t>
        </w:r>
      </w:hyperlink>
      <w:r w:rsidRPr="009C327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8" w:tooltip="’’Об утверждении порядка инвентарного и аналитического учета объектов имущества государственной казны ...’’&#10;Приказ Депфина Югры от 14.03.2019 N 5-нп&#10;Статус: Действующая редакция документа" w:history="1">
        <w:r w:rsidR="00FA1C80">
          <w:rPr>
            <w:rFonts w:ascii="Times New Roman" w:eastAsia="Times New Roman" w:hAnsi="Times New Roman" w:cs="Times New Roman"/>
            <w:bCs/>
            <w:sz w:val="24"/>
            <w:szCs w:val="24"/>
          </w:rPr>
          <w:t>п</w:t>
        </w:r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риказом Департамента финансов Ханты-Мансийского автономного округа - </w:t>
        </w:r>
        <w:proofErr w:type="spellStart"/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>Югры</w:t>
        </w:r>
        <w:proofErr w:type="spellEnd"/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от 14</w:t>
        </w:r>
        <w:r w:rsidR="00FA1C80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марта </w:t>
        </w:r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>2019</w:t>
        </w:r>
        <w:r w:rsidR="00FA1C80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года </w:t>
        </w:r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  <w:r w:rsidR="00FA1C80">
          <w:rPr>
            <w:rFonts w:ascii="Times New Roman" w:eastAsia="Times New Roman" w:hAnsi="Times New Roman" w:cs="Times New Roman"/>
            <w:bCs/>
            <w:sz w:val="24"/>
            <w:szCs w:val="24"/>
          </w:rPr>
          <w:t>№</w:t>
        </w:r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5-нп </w:t>
        </w:r>
        <w:r w:rsidR="00D77D03">
          <w:rPr>
            <w:rFonts w:ascii="Times New Roman" w:eastAsia="Times New Roman" w:hAnsi="Times New Roman" w:cs="Times New Roman"/>
            <w:bCs/>
            <w:sz w:val="24"/>
            <w:szCs w:val="24"/>
          </w:rPr>
          <w:t>«</w:t>
        </w:r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>Об утверждении порядка инвентарного</w:t>
        </w:r>
        <w:proofErr w:type="gramEnd"/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и аналитического учета объектов имущества государственной казны Ханты-Мансийского автономного округа - Югры и начисления амортизации на амортизируемые объекты, находящиеся в составе имущества государственной казны Ханты-Мансийского автономного округа </w:t>
        </w:r>
        <w:r w:rsidR="00A41A83">
          <w:rPr>
            <w:rFonts w:ascii="Times New Roman" w:eastAsia="Times New Roman" w:hAnsi="Times New Roman" w:cs="Times New Roman"/>
            <w:bCs/>
            <w:sz w:val="24"/>
            <w:szCs w:val="24"/>
          </w:rPr>
          <w:t>–</w:t>
        </w:r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9C3271">
          <w:rPr>
            <w:rFonts w:ascii="Times New Roman" w:eastAsia="Times New Roman" w:hAnsi="Times New Roman" w:cs="Times New Roman"/>
            <w:bCs/>
            <w:sz w:val="24"/>
            <w:szCs w:val="24"/>
          </w:rPr>
          <w:t>Югры</w:t>
        </w:r>
        <w:proofErr w:type="spellEnd"/>
        <w:r w:rsidR="00D77D03">
          <w:rPr>
            <w:rFonts w:ascii="Times New Roman" w:eastAsia="Times New Roman" w:hAnsi="Times New Roman" w:cs="Times New Roman"/>
            <w:bCs/>
            <w:sz w:val="24"/>
            <w:szCs w:val="24"/>
          </w:rPr>
          <w:t>»</w:t>
        </w:r>
      </w:hyperlink>
      <w:r w:rsidR="00EB5454" w:rsidRPr="009C3271">
        <w:rPr>
          <w:rFonts w:ascii="Times New Roman" w:eastAsia="Times New Roman" w:hAnsi="Times New Roman" w:cs="Times New Roman"/>
          <w:bCs/>
          <w:sz w:val="24"/>
          <w:szCs w:val="24"/>
        </w:rPr>
        <w:t>, руководствуясь Уставом городского поселения Кондинское</w:t>
      </w:r>
      <w:r w:rsidR="007F059C" w:rsidRPr="009C327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B5454" w:rsidRDefault="003F22D3" w:rsidP="00265451">
      <w:pPr>
        <w:ind w:firstLine="709"/>
        <w:jc w:val="both"/>
        <w:rPr>
          <w:bCs/>
        </w:rPr>
      </w:pPr>
      <w:r w:rsidRPr="009C3271">
        <w:rPr>
          <w:bCs/>
        </w:rPr>
        <w:t xml:space="preserve">1. </w:t>
      </w:r>
      <w:r w:rsidR="00D16A96" w:rsidRPr="009C3271">
        <w:t xml:space="preserve">Утвердить </w:t>
      </w:r>
      <w:r w:rsidR="003728B5">
        <w:t>П</w:t>
      </w:r>
      <w:r w:rsidR="00D16A96" w:rsidRPr="009C3271">
        <w:t>орядок инвентарного и аналитического учета объектов имущества муниципальной казны муниципального образования городское поселение Кондинское и начисления амортизации на амортизируемые объекты, находящиеся в составе имущества муниципальной казны муниципального образования городское поселение Кондинское (приложение).</w:t>
      </w:r>
      <w:r w:rsidR="00EB5454" w:rsidRPr="009C3271">
        <w:rPr>
          <w:bCs/>
        </w:rPr>
        <w:t xml:space="preserve"> </w:t>
      </w:r>
    </w:p>
    <w:p w:rsidR="00265451" w:rsidRPr="009C3271" w:rsidRDefault="00265451" w:rsidP="00265451">
      <w:pPr>
        <w:ind w:firstLine="709"/>
        <w:jc w:val="both"/>
      </w:pPr>
      <w:r>
        <w:rPr>
          <w:bCs/>
        </w:rPr>
        <w:t xml:space="preserve">2. Признать утратившим силу постановление администрации городского поселения Кондинское от 7 октября 2009 года № 42 </w:t>
      </w:r>
      <w:r w:rsidR="00D77D03">
        <w:rPr>
          <w:bCs/>
        </w:rPr>
        <w:t>«</w:t>
      </w:r>
      <w:r>
        <w:rPr>
          <w:bCs/>
        </w:rPr>
        <w:t>Об утверждении Порядка инвентарного и аналитического учета объектов имущества муниципальной казны городского поселения Кондинское</w:t>
      </w:r>
      <w:r w:rsidR="00D77D03">
        <w:rPr>
          <w:bCs/>
        </w:rPr>
        <w:t>»</w:t>
      </w:r>
      <w:r>
        <w:rPr>
          <w:bCs/>
        </w:rPr>
        <w:t>.</w:t>
      </w:r>
    </w:p>
    <w:p w:rsidR="00C229AE" w:rsidRPr="009C3271" w:rsidRDefault="00C229AE" w:rsidP="00265451">
      <w:pPr>
        <w:pStyle w:val="ab"/>
        <w:ind w:firstLine="709"/>
        <w:jc w:val="both"/>
        <w:rPr>
          <w:color w:val="000000"/>
          <w:szCs w:val="24"/>
        </w:rPr>
      </w:pPr>
      <w:r w:rsidRPr="009C3271">
        <w:rPr>
          <w:color w:val="000000"/>
          <w:szCs w:val="24"/>
        </w:rPr>
        <w:t xml:space="preserve">2. </w:t>
      </w:r>
      <w:r w:rsidR="002C7B9E" w:rsidRPr="009C3271">
        <w:rPr>
          <w:color w:val="000000"/>
          <w:szCs w:val="24"/>
        </w:rPr>
        <w:t>Настоящее п</w:t>
      </w:r>
      <w:r w:rsidRPr="009C3271">
        <w:rPr>
          <w:color w:val="000000"/>
          <w:szCs w:val="24"/>
        </w:rPr>
        <w:t xml:space="preserve">остановление опубликовать в сборнике </w:t>
      </w:r>
      <w:r w:rsidR="00D77D03">
        <w:rPr>
          <w:color w:val="000000"/>
          <w:szCs w:val="24"/>
        </w:rPr>
        <w:t>«</w:t>
      </w:r>
      <w:r w:rsidRPr="009C3271">
        <w:rPr>
          <w:color w:val="000000"/>
          <w:szCs w:val="24"/>
        </w:rPr>
        <w:t>Вестник городского поселения Кондинское</w:t>
      </w:r>
      <w:r w:rsidR="00D77D03">
        <w:rPr>
          <w:color w:val="000000"/>
          <w:szCs w:val="24"/>
        </w:rPr>
        <w:t>»</w:t>
      </w:r>
      <w:r w:rsidRPr="009C3271">
        <w:rPr>
          <w:color w:val="000000"/>
          <w:szCs w:val="24"/>
        </w:rPr>
        <w:t xml:space="preserve"> и разместить на официальном сайте органов местного самоуправления муниципального образования Кондинский район.</w:t>
      </w:r>
    </w:p>
    <w:p w:rsidR="00C229AE" w:rsidRPr="009C3271" w:rsidRDefault="00C229AE" w:rsidP="00265451">
      <w:pPr>
        <w:pStyle w:val="ab"/>
        <w:ind w:firstLine="709"/>
        <w:jc w:val="both"/>
        <w:rPr>
          <w:color w:val="000000"/>
          <w:szCs w:val="24"/>
        </w:rPr>
      </w:pPr>
      <w:r w:rsidRPr="009C3271">
        <w:rPr>
          <w:color w:val="000000"/>
          <w:szCs w:val="24"/>
        </w:rPr>
        <w:t xml:space="preserve">3. Настоящее постановление вступает в силу </w:t>
      </w:r>
      <w:r w:rsidR="009C3271" w:rsidRPr="009C3271">
        <w:rPr>
          <w:color w:val="000000"/>
          <w:szCs w:val="24"/>
        </w:rPr>
        <w:t xml:space="preserve">после его официального опубликования и распространяет свое действие на правоотношения, возникшие </w:t>
      </w:r>
      <w:r w:rsidR="003D19C8" w:rsidRPr="009C3271">
        <w:rPr>
          <w:color w:val="000000"/>
          <w:szCs w:val="24"/>
        </w:rPr>
        <w:t xml:space="preserve">с 1 </w:t>
      </w:r>
      <w:r w:rsidR="009C3271" w:rsidRPr="009C3271">
        <w:rPr>
          <w:color w:val="000000"/>
          <w:szCs w:val="24"/>
        </w:rPr>
        <w:t>января</w:t>
      </w:r>
      <w:r w:rsidR="003D19C8" w:rsidRPr="009C3271">
        <w:rPr>
          <w:color w:val="000000"/>
          <w:szCs w:val="24"/>
        </w:rPr>
        <w:t xml:space="preserve"> 2025 года</w:t>
      </w:r>
      <w:r w:rsidRPr="009C3271">
        <w:rPr>
          <w:color w:val="000000"/>
          <w:szCs w:val="24"/>
        </w:rPr>
        <w:t>.</w:t>
      </w:r>
    </w:p>
    <w:p w:rsidR="00C229AE" w:rsidRPr="009C3271" w:rsidRDefault="00C229AE" w:rsidP="00265451">
      <w:pPr>
        <w:pStyle w:val="ab"/>
        <w:ind w:firstLine="709"/>
        <w:jc w:val="both"/>
        <w:rPr>
          <w:color w:val="000000"/>
          <w:szCs w:val="24"/>
        </w:rPr>
      </w:pPr>
      <w:r w:rsidRPr="009C3271">
        <w:rPr>
          <w:color w:val="000000"/>
          <w:szCs w:val="24"/>
        </w:rPr>
        <w:t xml:space="preserve">4. </w:t>
      </w:r>
      <w:proofErr w:type="gramStart"/>
      <w:r w:rsidRPr="009C3271">
        <w:rPr>
          <w:color w:val="000000"/>
          <w:szCs w:val="24"/>
        </w:rPr>
        <w:t>Контроль за</w:t>
      </w:r>
      <w:proofErr w:type="gramEnd"/>
      <w:r w:rsidRPr="009C3271">
        <w:rPr>
          <w:color w:val="000000"/>
          <w:szCs w:val="24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9B72F9" w:rsidRPr="009C3271" w:rsidRDefault="009B72F9" w:rsidP="002C6B69">
      <w:pPr>
        <w:spacing w:line="276" w:lineRule="auto"/>
        <w:ind w:firstLine="709"/>
        <w:jc w:val="both"/>
      </w:pPr>
    </w:p>
    <w:tbl>
      <w:tblPr>
        <w:tblW w:w="0" w:type="auto"/>
        <w:tblLook w:val="01E0"/>
      </w:tblPr>
      <w:tblGrid>
        <w:gridCol w:w="4558"/>
        <w:gridCol w:w="1804"/>
        <w:gridCol w:w="3208"/>
      </w:tblGrid>
      <w:tr w:rsidR="00265451" w:rsidRPr="009C3271" w:rsidTr="002F39C8">
        <w:tc>
          <w:tcPr>
            <w:tcW w:w="4558" w:type="dxa"/>
          </w:tcPr>
          <w:p w:rsidR="00335F1D" w:rsidRPr="009C3271" w:rsidRDefault="005E6459" w:rsidP="002C6B69">
            <w:pPr>
              <w:spacing w:line="276" w:lineRule="auto"/>
              <w:jc w:val="both"/>
            </w:pPr>
            <w:r w:rsidRPr="009C3271">
              <w:t xml:space="preserve">Глава </w:t>
            </w:r>
            <w:proofErr w:type="gramStart"/>
            <w:r w:rsidR="00335F1D" w:rsidRPr="009C3271">
              <w:t>городского</w:t>
            </w:r>
            <w:proofErr w:type="gramEnd"/>
            <w:r w:rsidR="00335F1D" w:rsidRPr="009C3271">
              <w:t xml:space="preserve"> </w:t>
            </w:r>
          </w:p>
          <w:p w:rsidR="005E6459" w:rsidRPr="009C3271" w:rsidRDefault="00335F1D" w:rsidP="002C6B69">
            <w:pPr>
              <w:spacing w:line="276" w:lineRule="auto"/>
              <w:jc w:val="both"/>
              <w:rPr>
                <w:color w:val="000000"/>
              </w:rPr>
            </w:pPr>
            <w:r w:rsidRPr="009C3271">
              <w:t>поселения Кондинское</w:t>
            </w:r>
          </w:p>
        </w:tc>
        <w:tc>
          <w:tcPr>
            <w:tcW w:w="1804" w:type="dxa"/>
          </w:tcPr>
          <w:p w:rsidR="005E6459" w:rsidRPr="009C3271" w:rsidRDefault="005E6459" w:rsidP="002C6B6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08" w:type="dxa"/>
            <w:tcBorders>
              <w:left w:val="nil"/>
            </w:tcBorders>
          </w:tcPr>
          <w:p w:rsidR="00335F1D" w:rsidRPr="009C3271" w:rsidRDefault="00335F1D" w:rsidP="002C6B69">
            <w:pPr>
              <w:spacing w:line="276" w:lineRule="auto"/>
              <w:jc w:val="right"/>
            </w:pPr>
          </w:p>
          <w:p w:rsidR="005E6459" w:rsidRPr="009C3271" w:rsidRDefault="002C6B69" w:rsidP="002C6B69">
            <w:pPr>
              <w:spacing w:line="276" w:lineRule="auto"/>
              <w:jc w:val="right"/>
            </w:pPr>
            <w:r w:rsidRPr="009C3271">
              <w:t>В</w:t>
            </w:r>
            <w:r w:rsidR="00335F1D" w:rsidRPr="009C3271">
              <w:t xml:space="preserve">.А. </w:t>
            </w:r>
            <w:r w:rsidRPr="009C3271">
              <w:t>Лукашеня</w:t>
            </w:r>
          </w:p>
          <w:p w:rsidR="005E6459" w:rsidRPr="009C3271" w:rsidRDefault="005E6459" w:rsidP="002C6B69">
            <w:pPr>
              <w:spacing w:line="276" w:lineRule="auto"/>
              <w:ind w:left="2327"/>
              <w:jc w:val="right"/>
              <w:rPr>
                <w:color w:val="000000"/>
              </w:rPr>
            </w:pPr>
          </w:p>
        </w:tc>
      </w:tr>
    </w:tbl>
    <w:p w:rsidR="00265451" w:rsidRDefault="00265451" w:rsidP="009C3271">
      <w:pPr>
        <w:pStyle w:val="FORMATTEXT"/>
        <w:jc w:val="right"/>
      </w:pPr>
    </w:p>
    <w:p w:rsidR="009C3271" w:rsidRPr="00265451" w:rsidRDefault="009C3271" w:rsidP="009C32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65451">
        <w:rPr>
          <w:rFonts w:ascii="Times New Roman" w:hAnsi="Times New Roman" w:cs="Times New Roman"/>
          <w:sz w:val="24"/>
          <w:szCs w:val="24"/>
        </w:rPr>
        <w:t>Приложение</w:t>
      </w:r>
    </w:p>
    <w:p w:rsidR="009C3271" w:rsidRPr="00265451" w:rsidRDefault="009C3271" w:rsidP="009C32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6545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C3271" w:rsidRPr="00265451" w:rsidRDefault="009C3271" w:rsidP="009C32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65451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</w:p>
    <w:p w:rsidR="009C3271" w:rsidRPr="00265451" w:rsidRDefault="009C3271" w:rsidP="009C32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65451">
        <w:rPr>
          <w:rFonts w:ascii="Times New Roman" w:hAnsi="Times New Roman" w:cs="Times New Roman"/>
          <w:sz w:val="24"/>
          <w:szCs w:val="24"/>
        </w:rPr>
        <w:t xml:space="preserve">от </w:t>
      </w:r>
      <w:r w:rsidR="004B06BE">
        <w:rPr>
          <w:rFonts w:ascii="Times New Roman" w:hAnsi="Times New Roman" w:cs="Times New Roman"/>
          <w:sz w:val="24"/>
          <w:szCs w:val="24"/>
        </w:rPr>
        <w:t>09 июня</w:t>
      </w:r>
      <w:r w:rsidRPr="00265451">
        <w:rPr>
          <w:rFonts w:ascii="Times New Roman" w:hAnsi="Times New Roman" w:cs="Times New Roman"/>
          <w:sz w:val="24"/>
          <w:szCs w:val="24"/>
        </w:rPr>
        <w:t xml:space="preserve"> 2025</w:t>
      </w:r>
      <w:r w:rsidR="004B06B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65451">
        <w:rPr>
          <w:rFonts w:ascii="Times New Roman" w:hAnsi="Times New Roman" w:cs="Times New Roman"/>
          <w:sz w:val="24"/>
          <w:szCs w:val="24"/>
        </w:rPr>
        <w:t xml:space="preserve"> № </w:t>
      </w:r>
      <w:r w:rsidR="004B06BE">
        <w:rPr>
          <w:rFonts w:ascii="Times New Roman" w:hAnsi="Times New Roman" w:cs="Times New Roman"/>
          <w:sz w:val="24"/>
          <w:szCs w:val="24"/>
        </w:rPr>
        <w:t>75</w:t>
      </w:r>
      <w:r w:rsidRPr="00265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71" w:rsidRDefault="009C3271" w:rsidP="009C3271">
      <w:pPr>
        <w:pStyle w:val="HEADERTEXT"/>
        <w:rPr>
          <w:b/>
          <w:bCs/>
        </w:rPr>
      </w:pPr>
    </w:p>
    <w:p w:rsidR="009C3271" w:rsidRPr="009C3271" w:rsidRDefault="009C3271" w:rsidP="009C327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32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Порядок инвентарного и аналитического учета объектов имущества муниципальной казны муниципального образования городское поселение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Кондинское</w:t>
      </w:r>
      <w:r w:rsidRPr="009C32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начисления амортизации на амортизируемые объекты, находящиеся в составе имущества муниципальной казны муниципального образования городское поселение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Кондинское</w:t>
      </w:r>
      <w:r w:rsidRPr="009C32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9C3271" w:rsidRDefault="009C3271" w:rsidP="009C3271">
      <w:pPr>
        <w:pStyle w:val="FORMATTEXT"/>
        <w:ind w:firstLine="568"/>
        <w:jc w:val="both"/>
      </w:pPr>
      <w:r>
        <w:t xml:space="preserve"> </w:t>
      </w:r>
    </w:p>
    <w:p w:rsidR="009C3271" w:rsidRPr="009C327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9C3271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9C3271">
        <w:rPr>
          <w:rFonts w:ascii="Times New Roman" w:hAnsi="Times New Roman" w:cs="Times New Roman"/>
          <w:sz w:val="24"/>
        </w:rPr>
        <w:t xml:space="preserve">Порядок инвентарного и аналитического учета объектов имущества муниципальной казны </w:t>
      </w:r>
      <w:r w:rsidR="00EE791A">
        <w:rPr>
          <w:rFonts w:ascii="Times New Roman" w:hAnsi="Times New Roman" w:cs="Times New Roman"/>
          <w:sz w:val="24"/>
        </w:rPr>
        <w:t>муниципального образования городское поселение Кондинское</w:t>
      </w:r>
      <w:r w:rsidRPr="009C3271">
        <w:rPr>
          <w:rFonts w:ascii="Times New Roman" w:hAnsi="Times New Roman" w:cs="Times New Roman"/>
          <w:sz w:val="24"/>
        </w:rPr>
        <w:t xml:space="preserve"> и начисления амортизации на амортизируемые объекты, находящиеся в составе имущества муниципальной казны </w:t>
      </w:r>
      <w:r w:rsidR="00EE791A">
        <w:rPr>
          <w:rFonts w:ascii="Times New Roman" w:hAnsi="Times New Roman" w:cs="Times New Roman"/>
          <w:sz w:val="24"/>
        </w:rPr>
        <w:t>муниципального образования городское поселение Кондинское</w:t>
      </w:r>
      <w:r w:rsidRPr="009C3271">
        <w:rPr>
          <w:rFonts w:ascii="Times New Roman" w:hAnsi="Times New Roman" w:cs="Times New Roman"/>
          <w:sz w:val="24"/>
        </w:rPr>
        <w:t xml:space="preserve"> (далее - Порядок), установлен в соответствии с порядком бухгалтерского учета объектов основных средств, нематериальных активов, </w:t>
      </w:r>
      <w:proofErr w:type="spellStart"/>
      <w:r w:rsidRPr="009C3271">
        <w:rPr>
          <w:rFonts w:ascii="Times New Roman" w:hAnsi="Times New Roman" w:cs="Times New Roman"/>
          <w:sz w:val="24"/>
        </w:rPr>
        <w:t>непроизведенных</w:t>
      </w:r>
      <w:proofErr w:type="spellEnd"/>
      <w:r w:rsidRPr="009C3271">
        <w:rPr>
          <w:rFonts w:ascii="Times New Roman" w:hAnsi="Times New Roman" w:cs="Times New Roman"/>
          <w:sz w:val="24"/>
        </w:rPr>
        <w:t xml:space="preserve"> активов и материальных запасов, установленным Инструкцией по применению Единого плана счетов бухгалтерского учета для</w:t>
      </w:r>
      <w:proofErr w:type="gramEnd"/>
      <w:r w:rsidRPr="009C327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C3271">
        <w:rPr>
          <w:rFonts w:ascii="Times New Roman" w:hAnsi="Times New Roman" w:cs="Times New Roman"/>
          <w:sz w:val="24"/>
        </w:rPr>
        <w:t xml:space="preserve"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9" w:tooltip="’’Об утверждении Единого плана счетов бухгалтерского учета для органов ...’’&#10;Приказ Минфина России от 01.12.2010 N 157н&#10;Статус: Действующая редакция документа (действ. c 02.07.2023 по 31.12.2025)" w:history="1">
        <w:r w:rsidRPr="009C3271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 xml:space="preserve">приказом Министерства финансов Российской Федерации от </w:t>
        </w:r>
        <w:r w:rsidR="00A41A83" w:rsidRPr="00A41A83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>01 декабря 2010 года</w:t>
        </w:r>
        <w:r w:rsidRPr="009C3271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r w:rsidR="00A41A83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>№</w:t>
        </w:r>
        <w:r w:rsidRPr="009C3271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 xml:space="preserve"> 157н </w:t>
        </w:r>
        <w:r w:rsidR="00D77D03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>«</w:t>
        </w:r>
        <w:r w:rsidRPr="009C3271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  </w:r>
        <w:proofErr w:type="gramEnd"/>
        <w:r w:rsidRPr="009C3271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 xml:space="preserve"> по его применению</w:t>
        </w:r>
        <w:r w:rsidR="00D77D03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>»</w:t>
        </w:r>
      </w:hyperlink>
      <w:r w:rsidRPr="009C3271">
        <w:rPr>
          <w:rFonts w:ascii="Times New Roman" w:hAnsi="Times New Roman" w:cs="Times New Roman"/>
          <w:sz w:val="24"/>
        </w:rPr>
        <w:t xml:space="preserve"> (далее - Инструкция), </w:t>
      </w:r>
      <w:hyperlink r:id="rId10" w:tooltip="’’Об утверждении федерального стандарта бухгалтерского учета государственных финансов ’’Государственная (муниципальная) казна’’&#10;Приказ Минфина России от 15.06.2021 N 84н&#10;Статус: Действующий документ (действ. c 26.07.2021)" w:history="1">
        <w:r w:rsidRPr="009C3271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>приказом Министерства финансов Российской Федерации от 15</w:t>
        </w:r>
        <w:r w:rsidR="00D77D03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 xml:space="preserve"> июня </w:t>
        </w:r>
        <w:r w:rsidRPr="009C3271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>2021</w:t>
        </w:r>
        <w:r w:rsidR="00D77D03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 xml:space="preserve"> года №</w:t>
        </w:r>
        <w:r w:rsidRPr="009C3271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 xml:space="preserve"> 84н </w:t>
        </w:r>
        <w:r w:rsidR="00D77D03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>«</w:t>
        </w:r>
        <w:r w:rsidRPr="009C3271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 xml:space="preserve">Об утверждении федерального стандарта бухгалтерского учета государственных финансов </w:t>
        </w:r>
        <w:r w:rsidR="00D77D03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>«</w:t>
        </w:r>
        <w:r w:rsidRPr="009C3271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>Государственная (муниципальная) казна</w:t>
        </w:r>
        <w:r w:rsidR="00D77D03">
          <w:rPr>
            <w:rStyle w:val="af8"/>
            <w:rFonts w:ascii="Times New Roman" w:hAnsi="Times New Roman" w:cs="Times New Roman"/>
            <w:color w:val="auto"/>
            <w:sz w:val="24"/>
            <w:u w:val="none"/>
          </w:rPr>
          <w:t>»</w:t>
        </w:r>
      </w:hyperlink>
      <w:r w:rsidRPr="009C3271">
        <w:rPr>
          <w:rFonts w:ascii="Times New Roman" w:hAnsi="Times New Roman" w:cs="Times New Roman"/>
          <w:sz w:val="24"/>
        </w:rPr>
        <w:t xml:space="preserve">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2. Объекты, находящиеся в составе имущества муниципальной казны </w:t>
      </w:r>
      <w:r w:rsidR="00EE791A">
        <w:rPr>
          <w:rFonts w:ascii="Times New Roman" w:hAnsi="Times New Roman" w:cs="Times New Roman"/>
          <w:sz w:val="24"/>
        </w:rPr>
        <w:t>муниципального образования городское поселение Кондинское</w:t>
      </w:r>
      <w:r w:rsidRPr="00EE791A">
        <w:rPr>
          <w:rFonts w:ascii="Times New Roman" w:hAnsi="Times New Roman" w:cs="Times New Roman"/>
          <w:sz w:val="24"/>
        </w:rPr>
        <w:t xml:space="preserve"> (далее - объекты казны), принимаются к бюджетному учету по их первоначальной стоимости.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EE791A">
        <w:rPr>
          <w:rFonts w:ascii="Times New Roman" w:hAnsi="Times New Roman" w:cs="Times New Roman"/>
          <w:sz w:val="24"/>
        </w:rPr>
        <w:t xml:space="preserve">Первоначальной стоимостью объектов казны, за исключением непроизведенных активов, признается сумма фактических затрат при приобретении в результате обменных операций, сооружении или изготовлении (создании) нефинансовых активов с учетом сумм налога на добавленную стоимость, предъявленных учреждению поставщиками и (или) подрядчиками (кроме их приобретения, сооружения и изготовления в рамках деятельности, облагаемой НДС, если иное не предусмотрено законодательством Российской Федерации о налогах и сборах). </w:t>
      </w:r>
      <w:proofErr w:type="gramEnd"/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4. Первоначальной стоимостью объектов непроизведенных активов казны признается их кадастровая стоимость на дату принятия к бухгалтерскому учету.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5. Первоначальной стоимостью объектов казны, полученных по договорам, предусматривающим исполнение обязательств (оплату) </w:t>
      </w:r>
      <w:proofErr w:type="spellStart"/>
      <w:r w:rsidRPr="00EE791A">
        <w:rPr>
          <w:rFonts w:ascii="Times New Roman" w:hAnsi="Times New Roman" w:cs="Times New Roman"/>
          <w:sz w:val="24"/>
        </w:rPr>
        <w:t>неденежными</w:t>
      </w:r>
      <w:proofErr w:type="spellEnd"/>
      <w:r w:rsidRPr="00EE791A">
        <w:rPr>
          <w:rFonts w:ascii="Times New Roman" w:hAnsi="Times New Roman" w:cs="Times New Roman"/>
          <w:sz w:val="24"/>
        </w:rPr>
        <w:t xml:space="preserve"> средствами, признается стоимость ценностей, переданных или подлежащих передаче в целях исполнения обязательств по договору.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6. Объекты казны, полученные субъектом учета (в результате необменных операций) от собственника (учредителя), иной организации бюджетной сферы, подлежат признанию в бухгалтерском учете в оценке, определенной передающей стороной (собственником, </w:t>
      </w:r>
      <w:r w:rsidRPr="00EE791A">
        <w:rPr>
          <w:rFonts w:ascii="Times New Roman" w:hAnsi="Times New Roman" w:cs="Times New Roman"/>
          <w:sz w:val="24"/>
        </w:rPr>
        <w:lastRenderedPageBreak/>
        <w:t xml:space="preserve">учредителем) - по стоимости, отраженной в передаточных документах. </w:t>
      </w:r>
      <w:proofErr w:type="gramStart"/>
      <w:r w:rsidRPr="00EE791A">
        <w:rPr>
          <w:rFonts w:ascii="Times New Roman" w:hAnsi="Times New Roman" w:cs="Times New Roman"/>
          <w:sz w:val="24"/>
        </w:rPr>
        <w:t>При отсутствии информации о стоимости в передаточных документах первоначальной стоимостью объектов казны, полученных по необменной операции (безвозмездно, в том числе по договору дарения), является их текущая оценочная стоимость на дату принятия к бухгалтерскому учету, признаваемая справедливой стоимостью указанного объекта казны, увеличенная на стоимость услуг, связанных с их доставкой, регистрацией и приведением их в состояние, пригодное для использования.</w:t>
      </w:r>
      <w:proofErr w:type="gramEnd"/>
      <w:r w:rsidRPr="00EE791A">
        <w:rPr>
          <w:rFonts w:ascii="Times New Roman" w:hAnsi="Times New Roman" w:cs="Times New Roman"/>
          <w:sz w:val="24"/>
        </w:rPr>
        <w:t xml:space="preserve">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объектом, совершенных без отсрочки платежа, и определяется в сумме денежных средств, необходимых при продаже (приобретении) указанных объектов на дату принятия к учету.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Определение текущей оценочной стоимости в целях принятия к бухгалтерскому учету объекта казны производится на основе цены, действующей на дату принятия к учету (оприходования) имущества, полученного безвозмездно, на данный или аналогичный вид имущества. Данные о действующей цене должны быть подтверждены документально, а в случаях невозможности документального подтверждения - экспертным путем.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proofErr w:type="gramStart"/>
      <w:r w:rsidRPr="00EE791A">
        <w:rPr>
          <w:rFonts w:ascii="Times New Roman" w:hAnsi="Times New Roman" w:cs="Times New Roman"/>
          <w:sz w:val="24"/>
        </w:rPr>
        <w:t>При определении текущей оценочной стоимости в целях принятия к бухгалтерскому учету объекта казны комиссией по поступлению и выбытию активов (далее - комиссия) используются данные о ценах на аналогичные материальные ценности, полученные в письменной форме от организаций-изготовителей, сведения об уровне цен, имеющиеся у органов государственной статистики, а также в средствах массовой информации и специальной литературе, экспертные заключения (в том числе экспертов, привлеченных</w:t>
      </w:r>
      <w:proofErr w:type="gramEnd"/>
      <w:r w:rsidRPr="00EE791A">
        <w:rPr>
          <w:rFonts w:ascii="Times New Roman" w:hAnsi="Times New Roman" w:cs="Times New Roman"/>
          <w:sz w:val="24"/>
        </w:rPr>
        <w:t xml:space="preserve"> на добровольных началах к работе в комиссии) о стоимости отдельных (аналогичных) объектов нефинансовых активов.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>В случае</w:t>
      </w:r>
      <w:proofErr w:type="gramStart"/>
      <w:r w:rsidRPr="00EE791A">
        <w:rPr>
          <w:rFonts w:ascii="Times New Roman" w:hAnsi="Times New Roman" w:cs="Times New Roman"/>
          <w:sz w:val="24"/>
        </w:rPr>
        <w:t>,</w:t>
      </w:r>
      <w:proofErr w:type="gramEnd"/>
      <w:r w:rsidRPr="00EE791A">
        <w:rPr>
          <w:rFonts w:ascii="Times New Roman" w:hAnsi="Times New Roman" w:cs="Times New Roman"/>
          <w:sz w:val="24"/>
        </w:rPr>
        <w:t xml:space="preserve"> если данные о ценах на аналогичные либо схожие материальные ценности по каким-либо причинам недоступны,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оценке, равной одному рублю. При этом</w:t>
      </w:r>
      <w:proofErr w:type="gramStart"/>
      <w:r w:rsidRPr="00EE791A">
        <w:rPr>
          <w:rFonts w:ascii="Times New Roman" w:hAnsi="Times New Roman" w:cs="Times New Roman"/>
          <w:sz w:val="24"/>
        </w:rPr>
        <w:t>,</w:t>
      </w:r>
      <w:proofErr w:type="gramEnd"/>
      <w:r w:rsidRPr="00EE791A">
        <w:rPr>
          <w:rFonts w:ascii="Times New Roman" w:hAnsi="Times New Roman" w:cs="Times New Roman"/>
          <w:sz w:val="24"/>
        </w:rPr>
        <w:t xml:space="preserve"> указанные материальные ценности, соответствующие критериям признания активов, отражаются на балансовых счетах в условной оценке: один объект, один рубль.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После получения данных о ценах на аналогичные либо схожие материальные ценности по объекту нефинансового актива (материальной ценности), отраженных на дату признания в условной оценке, комиссией осуществляется пересмотр балансовой (справедливой) стоимости такого объекта. Проверка наличия данных о ценах на аналогичные либо схожие материальные ценности по объекту нефинансового актива (материальной ценности) осуществляется ежегодно, перед составлением годовой бюджетной отчетности.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7. Балансовой стоимостью объектов казны является их первоначальная стоимость с учетом ее изменений.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>8. Изменение первоначальной (балансовой) стоимости объектов казны производится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EE791A">
        <w:rPr>
          <w:rFonts w:ascii="Times New Roman" w:hAnsi="Times New Roman" w:cs="Times New Roman"/>
          <w:sz w:val="24"/>
        </w:rPr>
        <w:t>разукомплектации</w:t>
      </w:r>
      <w:proofErr w:type="spellEnd"/>
      <w:r w:rsidRPr="00EE791A">
        <w:rPr>
          <w:rFonts w:ascii="Times New Roman" w:hAnsi="Times New Roman" w:cs="Times New Roman"/>
          <w:sz w:val="24"/>
        </w:rPr>
        <w:t xml:space="preserve">), а также переоценки объектов казны.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9. Отражение в бюджетном учете операций с объектами казны осуществляется на счетах бюджетного учета с установлением дополнительных разрядов (подвида) в коде аналитического </w:t>
      </w:r>
      <w:proofErr w:type="gramStart"/>
      <w:r w:rsidRPr="00EE791A">
        <w:rPr>
          <w:rFonts w:ascii="Times New Roman" w:hAnsi="Times New Roman" w:cs="Times New Roman"/>
          <w:sz w:val="24"/>
        </w:rPr>
        <w:t>счета плана счетов бюджетного учета объектов казны</w:t>
      </w:r>
      <w:proofErr w:type="gramEnd"/>
      <w:r w:rsidRPr="00EE791A">
        <w:rPr>
          <w:rFonts w:ascii="Times New Roman" w:hAnsi="Times New Roman" w:cs="Times New Roman"/>
          <w:sz w:val="24"/>
        </w:rPr>
        <w:t xml:space="preserve"> в соответствии с приложением 1 к настоящему Порядку.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10. Периодичность отражения в бюджетном учете операций с объектами казны на основании информации из реестра имущества казны осуществляется ежемесячно.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11. Начисление амортизации на амортизируемые объекты казны осуществляется в соответствии с порядком начисления амортизации на объекты основных средств и нематериальных активов, установленным пунктами 84 - 93 Инструкции.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Расчет годовой суммы амортизации на объекты казны производится линейным </w:t>
      </w:r>
      <w:r w:rsidRPr="00EE791A">
        <w:rPr>
          <w:rFonts w:ascii="Times New Roman" w:hAnsi="Times New Roman" w:cs="Times New Roman"/>
          <w:sz w:val="24"/>
        </w:rPr>
        <w:lastRenderedPageBreak/>
        <w:t xml:space="preserve">способом, исходя из его балансовой стоимости и нормы амортизации, исчисленной исходя из срока его полезного использования.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12. </w:t>
      </w:r>
      <w:proofErr w:type="gramStart"/>
      <w:r w:rsidRPr="00EE791A">
        <w:rPr>
          <w:rFonts w:ascii="Times New Roman" w:hAnsi="Times New Roman" w:cs="Times New Roman"/>
          <w:sz w:val="24"/>
        </w:rPr>
        <w:t>В случаях расчета амортизационных начислений линейным способом, при изменении срока полезного использования в связи с изменением первоначально принятых нормативных показателей функционирования объектов казны, в том числе в результате проведенной достройки, дооборудования, реконструкции, модернизации или частичной ликвидации, изменении срока права пользования активом, начиная с месяца, в котором был изменен срок полезного использования, расчет годовой суммы амортизации производится учреждением линейным способом, исходя</w:t>
      </w:r>
      <w:proofErr w:type="gramEnd"/>
      <w:r w:rsidRPr="00EE791A">
        <w:rPr>
          <w:rFonts w:ascii="Times New Roman" w:hAnsi="Times New Roman" w:cs="Times New Roman"/>
          <w:sz w:val="24"/>
        </w:rPr>
        <w:t xml:space="preserve"> из остаточной стоимости амортизируемого объекта казны на дату изменения срока полезного использования и уточненной нормы амортизации, исчисленной исходя из оставшегося срока полезного использования на дату изменения срока использования.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Под остаточной стоимостью амортизируемого объекта казны на соответствующую дату понимается балансовая стоимость объекта казны, уменьшенная на </w:t>
      </w:r>
      <w:proofErr w:type="gramStart"/>
      <w:r w:rsidRPr="00EE791A">
        <w:rPr>
          <w:rFonts w:ascii="Times New Roman" w:hAnsi="Times New Roman" w:cs="Times New Roman"/>
          <w:sz w:val="24"/>
        </w:rPr>
        <w:t>сумму начисленной на</w:t>
      </w:r>
      <w:proofErr w:type="gramEnd"/>
      <w:r w:rsidRPr="00EE791A">
        <w:rPr>
          <w:rFonts w:ascii="Times New Roman" w:hAnsi="Times New Roman" w:cs="Times New Roman"/>
          <w:sz w:val="24"/>
        </w:rPr>
        <w:t xml:space="preserve"> соответствующую дату амортизации. </w:t>
      </w:r>
    </w:p>
    <w:p w:rsidR="009C3271" w:rsidRPr="00EE791A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EE791A">
        <w:rPr>
          <w:rFonts w:ascii="Times New Roman" w:hAnsi="Times New Roman" w:cs="Times New Roman"/>
          <w:sz w:val="24"/>
        </w:rPr>
        <w:t xml:space="preserve">Под оставшимся сроком полезного использования на соответствующую дату понимается срок полезного использования амортизируемого объекта казны, уменьшенный на срок его фактического использования на соответствующую дату.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13. При принятии к учету объекта казны по балансовой стоимости с ранее начисленной суммой амортизации, расчет годовой суммы амортизации производится линейным способом, исходя из остаточной стоимости амортизируемого объекта казны на дату его принятия к учету, и нормы амортизации, исчисленной исходя из оставшегося срока полезного использования на дату его принятия к учету.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14. В течение финансового года амортизация начисляется ежемесячно линейным способом в размере 1/12 годовой суммы.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15. Начисление амортизации начинается с первого числа месяца, следующего за месяцем принятия объекта казны к бухгалтерскому учету, и производится до полного погашения стоимости этого объекта либо его выбытия (в том числе по основанию списания объекта казны с бухгалтерского учета).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16. В случаях, когда объект казны простаивает или не используется, или удерживается для последующей передачи (списания), начисление амортизации объектов казны не приостанавливается, за исключением случая, когда остаточная стоимость объекта казны равна нулю.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17. Начисление амортизации не может производиться свыше 100% стоимости амортизируемого объекта казны.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18. Начисление амортизации на объект казны прекращается с первого числа месяца, следующего за месяцем полного погашения стоимости объекта казны или за месяцем выбытия этого объекта с бухгалтерского учета.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Начисленная в размере 100% стоимости амортизация на объекты казны, которые пригодны для дальнейшей эксплуатации (использования), не может служить основанием для принятия решения об их списании по причине полной амортизации и (или) нулевой остаточной стоимости.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19. По объектам казны амортизация начисляется в следующем порядке: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на объекты казны стоимостью свыше 100 000 рублей амортизация начисляется в соответствии с рассчитанными нормами амортизации;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на объекты казны (за исключением объектов библиотечного фонда и нематериальных активов) стоимостью от 10 000 до 100 000 рублей включительно амортизация начисляется в размере 100% первоначальной стоимости объекта казны;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на объекты казны (за исключением объектов библиотечного фонда и нематериальных активов) стоимостью до 10 000 рублей включительно амортизация не начисляется;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на объекты библиотечного фонда стоимостью до 100 000 рублей включительно амортизация начисляется в размере 100% балансовой стоимости при выдаче объекта в эксплуатацию;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lastRenderedPageBreak/>
        <w:t xml:space="preserve">на объекты нематериальных активов стоимостью до 100 000 рублей включительно амортизация начисляется в размере 100% балансовой стоимости при принятии объекта на учет.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20. Отражение в бюджетном учете операций по начислению амортизации на объекты казны осуществляется на счетах бюджетного учета, с установлением дополнительных разрядов (подвида) в коде аналитического счета плана счетов бюджетного учета по начислению амортизации на объекты казны в соответствии с приложением 2 к настоящему Порядку.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21. Единицей учета объекта казны является инвентарный объект.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Каждому объекту недвижимого имущества, а также объекту движимого имущества присваивается уникальный инвентарный порядковый номер (далее - инвентарный номер) независимо от того, находится ли он в эксплуатации, запасе или на консервации.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Инвентарный номер формируется следующим образом: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первые три (3) знака обозначают код синтетического счета Плана счетов бюджетного учета, следующие два (2) знака - код аналитического счета и последние семь (7) знаков - порядковый номер объекта по каждому счету.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Инвентарный номер, присвоенный объекту казны, сохраняется за ним на весь период его нахождения в учете. В случае принятия на учет объекта казны, входящего в инвентарную группу, ввиду разукомплектования последней, такому объекту казны присваивается новый инвентарный номер.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Инвентарные номера выбывших с балансового учета инвентарных объектов казны вновь принятым к учету объектам не присваиваются. </w:t>
      </w:r>
    </w:p>
    <w:p w:rsidR="009C3271" w:rsidRPr="00174CE1" w:rsidRDefault="009C3271" w:rsidP="009C3271">
      <w:pPr>
        <w:pStyle w:val="FORMATTEXT"/>
        <w:ind w:firstLine="568"/>
        <w:jc w:val="both"/>
        <w:rPr>
          <w:rFonts w:ascii="Times New Roman" w:hAnsi="Times New Roman" w:cs="Times New Roman"/>
          <w:sz w:val="24"/>
        </w:rPr>
      </w:pPr>
      <w:r w:rsidRPr="00174CE1">
        <w:rPr>
          <w:rFonts w:ascii="Times New Roman" w:hAnsi="Times New Roman" w:cs="Times New Roman"/>
          <w:sz w:val="24"/>
        </w:rPr>
        <w:t xml:space="preserve">При невозможности обозначения инвентарного номера на объекте казны в случаях, определенных требованиями </w:t>
      </w:r>
      <w:proofErr w:type="gramStart"/>
      <w:r w:rsidRPr="00174CE1">
        <w:rPr>
          <w:rFonts w:ascii="Times New Roman" w:hAnsi="Times New Roman" w:cs="Times New Roman"/>
          <w:sz w:val="24"/>
        </w:rPr>
        <w:t>его эксплуатации, присвоенный ему инвентарный номер применяется</w:t>
      </w:r>
      <w:proofErr w:type="gramEnd"/>
      <w:r w:rsidRPr="00174CE1">
        <w:rPr>
          <w:rFonts w:ascii="Times New Roman" w:hAnsi="Times New Roman" w:cs="Times New Roman"/>
          <w:sz w:val="24"/>
        </w:rPr>
        <w:t xml:space="preserve"> в целях бухгалтерского учета с отражением в соответствующих регистрах бухгалтерского учета без нанесения на объект казны. </w:t>
      </w:r>
    </w:p>
    <w:p w:rsidR="009C3271" w:rsidRDefault="009C3271" w:rsidP="009C3271">
      <w:pPr>
        <w:pStyle w:val="FORMATTEXT"/>
        <w:jc w:val="right"/>
      </w:pPr>
    </w:p>
    <w:p w:rsidR="009C3271" w:rsidRDefault="009C3271" w:rsidP="009C3271">
      <w:pPr>
        <w:pStyle w:val="FORMATTEXT"/>
        <w:jc w:val="right"/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B3CCB" w:rsidRDefault="006B3CCB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B3CCB" w:rsidRDefault="006B3CCB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B3CCB" w:rsidRDefault="006B3CCB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9C3271" w:rsidRPr="0067470D" w:rsidRDefault="0067470D" w:rsidP="003728B5">
      <w:pPr>
        <w:pStyle w:val="FORMATTEX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="009C3271" w:rsidRPr="0067470D">
        <w:rPr>
          <w:rFonts w:ascii="Times New Roman" w:hAnsi="Times New Roman" w:cs="Times New Roman"/>
          <w:sz w:val="24"/>
        </w:rPr>
        <w:t>Приложение 1</w:t>
      </w:r>
    </w:p>
    <w:p w:rsidR="009C3271" w:rsidRPr="005374F2" w:rsidRDefault="009C3271" w:rsidP="009C327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374F2">
        <w:rPr>
          <w:rFonts w:ascii="Times New Roman" w:hAnsi="Times New Roman" w:cs="Times New Roman"/>
          <w:sz w:val="22"/>
          <w:szCs w:val="22"/>
        </w:rPr>
        <w:t xml:space="preserve">к </w:t>
      </w:r>
      <w:r w:rsidR="005374F2" w:rsidRPr="005374F2">
        <w:rPr>
          <w:rFonts w:ascii="Times New Roman" w:hAnsi="Times New Roman" w:cs="Times New Roman"/>
          <w:sz w:val="22"/>
          <w:szCs w:val="22"/>
        </w:rPr>
        <w:t>П</w:t>
      </w:r>
      <w:r w:rsidRPr="005374F2">
        <w:rPr>
          <w:rFonts w:ascii="Times New Roman" w:hAnsi="Times New Roman" w:cs="Times New Roman"/>
          <w:sz w:val="22"/>
          <w:szCs w:val="22"/>
        </w:rPr>
        <w:t>орядку инвентарного</w:t>
      </w:r>
      <w:proofErr w:type="gramEnd"/>
    </w:p>
    <w:p w:rsidR="009C3271" w:rsidRPr="005374F2" w:rsidRDefault="009C3271" w:rsidP="009C327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>и аналитического учета объектов</w:t>
      </w:r>
    </w:p>
    <w:p w:rsidR="009C3271" w:rsidRPr="005374F2" w:rsidRDefault="009C3271" w:rsidP="009C327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>имущества муниципальной казны</w:t>
      </w:r>
    </w:p>
    <w:p w:rsidR="0067470D" w:rsidRPr="005374F2" w:rsidRDefault="0067470D" w:rsidP="009C327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67470D" w:rsidRPr="005374F2" w:rsidRDefault="0067470D" w:rsidP="009C327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городское поселение Кондинское </w:t>
      </w:r>
    </w:p>
    <w:p w:rsidR="0067470D" w:rsidRPr="005374F2" w:rsidRDefault="0067470D" w:rsidP="009C327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и начисления амортизации </w:t>
      </w:r>
    </w:p>
    <w:p w:rsidR="0067470D" w:rsidRPr="005374F2" w:rsidRDefault="0067470D" w:rsidP="0067470D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на амортизируемые объекты, находящиеся </w:t>
      </w:r>
    </w:p>
    <w:p w:rsidR="0067470D" w:rsidRPr="005374F2" w:rsidRDefault="0067470D" w:rsidP="009C327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в составе имущества муниципальной казны </w:t>
      </w:r>
    </w:p>
    <w:p w:rsidR="0067470D" w:rsidRPr="005374F2" w:rsidRDefault="0067470D" w:rsidP="009C327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67470D" w:rsidRDefault="0067470D" w:rsidP="009C3271">
      <w:pPr>
        <w:pStyle w:val="FORMATTEXT"/>
        <w:jc w:val="right"/>
        <w:rPr>
          <w:rFonts w:ascii="Times New Roman" w:hAnsi="Times New Roman" w:cs="Times New Roman"/>
          <w:sz w:val="24"/>
        </w:rPr>
      </w:pPr>
      <w:r w:rsidRPr="005374F2">
        <w:rPr>
          <w:rFonts w:ascii="Times New Roman" w:hAnsi="Times New Roman" w:cs="Times New Roman"/>
          <w:sz w:val="22"/>
          <w:szCs w:val="22"/>
        </w:rPr>
        <w:t>городское поселение Кондинское</w:t>
      </w:r>
    </w:p>
    <w:p w:rsidR="009C3271" w:rsidRDefault="009C3271" w:rsidP="009C3271">
      <w:pPr>
        <w:pStyle w:val="HEADERTEXT"/>
        <w:rPr>
          <w:b/>
          <w:bCs/>
        </w:rPr>
      </w:pPr>
    </w:p>
    <w:p w:rsidR="009C3271" w:rsidRDefault="009C3271" w:rsidP="009C3271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</w:p>
    <w:p w:rsidR="009C3271" w:rsidRPr="006B3CCB" w:rsidRDefault="009C3271" w:rsidP="009C3271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6B3CCB">
        <w:rPr>
          <w:rFonts w:ascii="Times New Roman" w:hAnsi="Times New Roman" w:cs="Times New Roman"/>
          <w:b/>
          <w:bCs/>
          <w:color w:val="auto"/>
        </w:rPr>
        <w:t>ПЛАН СЧЕТОВ БЮДЖЕТНОГО УЧЕТА ОБЪЕКТОВ КАЗНЫ</w:t>
      </w:r>
    </w:p>
    <w:p w:rsidR="009C3271" w:rsidRPr="0067470D" w:rsidRDefault="009C3271" w:rsidP="009C3271">
      <w:pPr>
        <w:pStyle w:val="HEADERTEXT"/>
        <w:jc w:val="center"/>
        <w:outlineLvl w:val="3"/>
        <w:rPr>
          <w:bCs/>
          <w:color w:val="auto"/>
        </w:rPr>
      </w:pPr>
    </w:p>
    <w:tbl>
      <w:tblPr>
        <w:tblW w:w="9486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525"/>
        <w:gridCol w:w="1602"/>
        <w:gridCol w:w="850"/>
        <w:gridCol w:w="525"/>
        <w:gridCol w:w="881"/>
        <w:gridCol w:w="5103"/>
      </w:tblGrid>
      <w:tr w:rsidR="006B3CCB" w:rsidRPr="006B3CCB" w:rsidTr="006B3CCB">
        <w:trPr>
          <w:trHeight w:val="332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3CCB" w:rsidRPr="006B3CCB" w:rsidRDefault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N </w:t>
            </w:r>
            <w:proofErr w:type="gramStart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п</w:t>
            </w:r>
            <w:proofErr w:type="gramEnd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/п </w:t>
            </w:r>
          </w:p>
        </w:tc>
        <w:tc>
          <w:tcPr>
            <w:tcW w:w="3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3CCB" w:rsidRPr="006B3CCB" w:rsidRDefault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Синтетический счет объекта учета 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3CCB" w:rsidRPr="006B3CCB" w:rsidRDefault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Наименование объекта учета имущества муниципальной казны </w:t>
            </w:r>
          </w:p>
        </w:tc>
      </w:tr>
      <w:tr w:rsidR="006B3CCB" w:rsidRPr="006B3CCB" w:rsidTr="006B3CCB">
        <w:trPr>
          <w:trHeight w:val="31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3CCB" w:rsidRPr="006B3CCB" w:rsidRDefault="006B3CC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3CCB" w:rsidRPr="006B3CCB" w:rsidRDefault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коды счета 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3CCB" w:rsidRPr="006B3CCB" w:rsidRDefault="006B3CC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6B3CCB" w:rsidRPr="006B3CCB" w:rsidTr="006B3CCB">
        <w:trPr>
          <w:trHeight w:val="32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3CCB" w:rsidRPr="006B3CCB" w:rsidRDefault="006B3CC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3CCB" w:rsidRPr="006B3CCB" w:rsidRDefault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синтетический 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3CCB" w:rsidRPr="006B3CCB" w:rsidRDefault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аналитический 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3CCB" w:rsidRPr="006B3CCB" w:rsidRDefault="006B3CC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6B3CCB" w:rsidRPr="006B3CCB" w:rsidTr="006B3CCB">
        <w:tc>
          <w:tcPr>
            <w:tcW w:w="5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3CCB" w:rsidRPr="006B3CCB" w:rsidRDefault="006B3CC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3CCB" w:rsidRPr="006B3CCB" w:rsidRDefault="006B3CC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3CCB" w:rsidRPr="006B3CCB" w:rsidRDefault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группа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3CCB" w:rsidRPr="006B3CCB" w:rsidRDefault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вид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3CCB" w:rsidRPr="006B3CCB" w:rsidRDefault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подвид 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3CCB" w:rsidRPr="006B3CCB" w:rsidRDefault="006B3CC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Недвижимое имущество, составляющее казну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1.1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Жилые помещения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1.2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Нежилые помещения (здания, сооружения)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Движимое имущество, составляющее казну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2.1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Машины и оборудование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2.2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Транспортные средства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2.3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Инвентарь производственный и хозяйственный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2.4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Биологические ресурсы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2.5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Прочие нефинансовые активы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Ценности государственных фондов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Нематериальные активы, составляющие казну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Непроизведенные активы, составляющие казну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5.1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Земля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5.2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Ресурсы недр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5.3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Прочие непроизведенные активы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Материальные запасы, составляющие казну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7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Прочие активы, составляющие казну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Нефинансовые активы, составляющие казну в концессии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8.1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Недвижимое имущество </w:t>
            </w:r>
            <w:proofErr w:type="spellStart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концедента</w:t>
            </w:r>
            <w:proofErr w:type="spellEnd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составляющие казну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8.2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Движимое имущество </w:t>
            </w:r>
            <w:proofErr w:type="spellStart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концедента</w:t>
            </w:r>
            <w:proofErr w:type="spellEnd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составляющие казну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8.3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Непроизведенные</w:t>
            </w:r>
            <w:proofErr w:type="spellEnd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активы (земля) </w:t>
            </w:r>
            <w:proofErr w:type="spellStart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концедента</w:t>
            </w:r>
            <w:proofErr w:type="spellEnd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составляющие казну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8.4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I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Нематериальные активы </w:t>
            </w:r>
            <w:proofErr w:type="spellStart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концедента</w:t>
            </w:r>
            <w:proofErr w:type="spellEnd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составляющие казну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Вложения в объекты казны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9.1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Вложения в недвижимое имущество казны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9.2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Вложения в движимое имущество казны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9.3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Вложения в нематериальные активы казны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9.4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Вложения в непроизведенные активы казны </w:t>
            </w:r>
          </w:p>
        </w:tc>
      </w:tr>
      <w:tr w:rsidR="0067470D" w:rsidRPr="006B3CCB" w:rsidTr="006B3CCB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9.5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B3CCB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Вложения в материальные запасы казны </w:t>
            </w:r>
          </w:p>
        </w:tc>
      </w:tr>
    </w:tbl>
    <w:p w:rsidR="009C3271" w:rsidRDefault="009C3271" w:rsidP="009C32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9C3271" w:rsidRDefault="009C3271" w:rsidP="009C3271">
      <w:pPr>
        <w:pStyle w:val="FORMATTEXT"/>
        <w:jc w:val="right"/>
      </w:pPr>
    </w:p>
    <w:p w:rsidR="009C3271" w:rsidRDefault="009C3271" w:rsidP="009C3271">
      <w:pPr>
        <w:pStyle w:val="FORMATTEXT"/>
        <w:jc w:val="right"/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</w:p>
    <w:p w:rsidR="0067470D" w:rsidRPr="0067470D" w:rsidRDefault="0067470D" w:rsidP="0067470D">
      <w:pPr>
        <w:pStyle w:val="FORMATTEXT"/>
        <w:jc w:val="right"/>
        <w:rPr>
          <w:rFonts w:ascii="Times New Roman" w:hAnsi="Times New Roman" w:cs="Times New Roman"/>
          <w:sz w:val="24"/>
        </w:rPr>
      </w:pPr>
      <w:r w:rsidRPr="0067470D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67470D" w:rsidRPr="005374F2" w:rsidRDefault="0067470D" w:rsidP="0067470D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374F2">
        <w:rPr>
          <w:rFonts w:ascii="Times New Roman" w:hAnsi="Times New Roman" w:cs="Times New Roman"/>
          <w:sz w:val="22"/>
          <w:szCs w:val="22"/>
        </w:rPr>
        <w:t xml:space="preserve">к </w:t>
      </w:r>
      <w:r w:rsidR="005374F2">
        <w:rPr>
          <w:rFonts w:ascii="Times New Roman" w:hAnsi="Times New Roman" w:cs="Times New Roman"/>
          <w:sz w:val="22"/>
          <w:szCs w:val="22"/>
        </w:rPr>
        <w:t>П</w:t>
      </w:r>
      <w:r w:rsidRPr="005374F2">
        <w:rPr>
          <w:rFonts w:ascii="Times New Roman" w:hAnsi="Times New Roman" w:cs="Times New Roman"/>
          <w:sz w:val="22"/>
          <w:szCs w:val="22"/>
        </w:rPr>
        <w:t>орядку инвентарного</w:t>
      </w:r>
      <w:proofErr w:type="gramEnd"/>
    </w:p>
    <w:p w:rsidR="0067470D" w:rsidRPr="005374F2" w:rsidRDefault="0067470D" w:rsidP="0067470D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>и аналитического учета объектов</w:t>
      </w:r>
    </w:p>
    <w:p w:rsidR="0067470D" w:rsidRPr="005374F2" w:rsidRDefault="0067470D" w:rsidP="0067470D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>имущества муниципальной казны</w:t>
      </w:r>
    </w:p>
    <w:p w:rsidR="0067470D" w:rsidRPr="005374F2" w:rsidRDefault="0067470D" w:rsidP="0067470D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67470D" w:rsidRPr="005374F2" w:rsidRDefault="0067470D" w:rsidP="0067470D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городское поселение Кондинское </w:t>
      </w:r>
    </w:p>
    <w:p w:rsidR="0067470D" w:rsidRPr="005374F2" w:rsidRDefault="0067470D" w:rsidP="0067470D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и начисления амортизации </w:t>
      </w:r>
    </w:p>
    <w:p w:rsidR="0067470D" w:rsidRPr="005374F2" w:rsidRDefault="0067470D" w:rsidP="0067470D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на амортизируемые объекты, находящиеся </w:t>
      </w:r>
    </w:p>
    <w:p w:rsidR="0067470D" w:rsidRPr="005374F2" w:rsidRDefault="0067470D" w:rsidP="0067470D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в составе имущества муниципальной казны </w:t>
      </w:r>
    </w:p>
    <w:p w:rsidR="0067470D" w:rsidRPr="005374F2" w:rsidRDefault="0067470D" w:rsidP="0067470D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67470D" w:rsidRPr="005374F2" w:rsidRDefault="0067470D" w:rsidP="0067470D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5374F2">
        <w:rPr>
          <w:rFonts w:ascii="Times New Roman" w:hAnsi="Times New Roman" w:cs="Times New Roman"/>
          <w:sz w:val="22"/>
          <w:szCs w:val="22"/>
        </w:rPr>
        <w:t>городское поселение Кондинское</w:t>
      </w:r>
    </w:p>
    <w:p w:rsidR="009C3271" w:rsidRDefault="009C3271" w:rsidP="009C3271">
      <w:pPr>
        <w:pStyle w:val="HEADERTEXT"/>
        <w:rPr>
          <w:b/>
          <w:bCs/>
        </w:rPr>
      </w:pPr>
    </w:p>
    <w:p w:rsidR="009C3271" w:rsidRPr="0067470D" w:rsidRDefault="009C3271" w:rsidP="009C3271">
      <w:pPr>
        <w:pStyle w:val="HEADERTEXT"/>
        <w:jc w:val="center"/>
        <w:outlineLvl w:val="3"/>
        <w:rPr>
          <w:b/>
          <w:bCs/>
          <w:color w:val="auto"/>
        </w:rPr>
      </w:pPr>
      <w:r>
        <w:rPr>
          <w:b/>
          <w:bCs/>
        </w:rPr>
        <w:t xml:space="preserve"> </w:t>
      </w:r>
    </w:p>
    <w:p w:rsidR="009C3271" w:rsidRPr="0067470D" w:rsidRDefault="009C3271" w:rsidP="009C3271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67470D">
        <w:rPr>
          <w:rFonts w:ascii="Times New Roman" w:hAnsi="Times New Roman" w:cs="Times New Roman"/>
          <w:b/>
          <w:bCs/>
          <w:color w:val="auto"/>
        </w:rPr>
        <w:t>ПЛАН СЧЕТОВ БЮДЖЕТНОГО УЧЕТА ПО НАЧИСЛЕНИЮ АМОРТИЗАЦИИ НА ОБЪЕКТЫ КАЗНЫ</w:t>
      </w:r>
    </w:p>
    <w:p w:rsidR="009C3271" w:rsidRDefault="009C3271" w:rsidP="009C3271">
      <w:pPr>
        <w:pStyle w:val="HEADERTEXT"/>
        <w:jc w:val="center"/>
        <w:outlineLvl w:val="3"/>
        <w:rPr>
          <w:b/>
          <w:bCs/>
        </w:rPr>
      </w:pPr>
    </w:p>
    <w:tbl>
      <w:tblPr>
        <w:tblW w:w="9486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525"/>
        <w:gridCol w:w="1602"/>
        <w:gridCol w:w="850"/>
        <w:gridCol w:w="525"/>
        <w:gridCol w:w="881"/>
        <w:gridCol w:w="5103"/>
      </w:tblGrid>
      <w:tr w:rsidR="0067470D" w:rsidRPr="006B3CCB" w:rsidTr="0067470D">
        <w:trPr>
          <w:trHeight w:val="378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7470D" w:rsidRPr="006B3CCB" w:rsidRDefault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N </w:t>
            </w:r>
          </w:p>
          <w:p w:rsidR="0067470D" w:rsidRPr="006B3CCB" w:rsidRDefault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п</w:t>
            </w:r>
            <w:proofErr w:type="gramEnd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/п </w:t>
            </w:r>
          </w:p>
        </w:tc>
        <w:tc>
          <w:tcPr>
            <w:tcW w:w="3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7470D" w:rsidRPr="006B3CCB" w:rsidRDefault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Синтетический счет объекта учета 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7470D" w:rsidRPr="006B3CCB" w:rsidRDefault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Наименование объекта учета имущества муниципальной казны </w:t>
            </w:r>
          </w:p>
        </w:tc>
      </w:tr>
      <w:tr w:rsidR="0067470D" w:rsidRPr="006B3CCB" w:rsidTr="00247807"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470D" w:rsidRPr="006B3CCB" w:rsidRDefault="0067470D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7470D" w:rsidRPr="006B3CCB" w:rsidRDefault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коды счета 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470D" w:rsidRPr="006B3CCB" w:rsidRDefault="0067470D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67470D" w:rsidRPr="006B3CCB" w:rsidTr="0067470D"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синтетический 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аналитический 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67470D" w:rsidRPr="006B3CCB" w:rsidTr="0067470D"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группа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вид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подвид 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67470D" w:rsidRPr="006B3CCB" w:rsidTr="0067470D">
        <w:trPr>
          <w:trHeight w:val="514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недвижимого имущества в составе имущества казны </w:t>
            </w:r>
          </w:p>
        </w:tc>
      </w:tr>
      <w:tr w:rsidR="0067470D" w:rsidRPr="006B3CCB" w:rsidTr="0067470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1.1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жилых помещений </w:t>
            </w:r>
          </w:p>
        </w:tc>
      </w:tr>
      <w:tr w:rsidR="0067470D" w:rsidRPr="006B3CCB" w:rsidTr="0067470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1.2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нежилых помещений (зданий, сооружений) </w:t>
            </w:r>
          </w:p>
        </w:tc>
      </w:tr>
      <w:tr w:rsidR="0067470D" w:rsidRPr="006B3CCB" w:rsidTr="0067470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движимого имущества в составе имущества казны </w:t>
            </w:r>
          </w:p>
        </w:tc>
      </w:tr>
      <w:tr w:rsidR="0067470D" w:rsidRPr="006B3CCB" w:rsidTr="0067470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2.1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машин и оборудования </w:t>
            </w:r>
          </w:p>
        </w:tc>
      </w:tr>
      <w:tr w:rsidR="0067470D" w:rsidRPr="006B3CCB" w:rsidTr="0067470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2.2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транспортных средств </w:t>
            </w:r>
          </w:p>
        </w:tc>
      </w:tr>
      <w:tr w:rsidR="0067470D" w:rsidRPr="006B3CCB" w:rsidTr="0067470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2.3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инвентаря производственного и хозяйственного </w:t>
            </w:r>
          </w:p>
        </w:tc>
      </w:tr>
      <w:tr w:rsidR="0067470D" w:rsidRPr="006B3CCB" w:rsidTr="0067470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2.4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прочих нефинансовых активов </w:t>
            </w:r>
          </w:p>
        </w:tc>
      </w:tr>
      <w:tr w:rsidR="0067470D" w:rsidRPr="006B3CCB" w:rsidTr="0067470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нематериальных активов в составе имущества казны </w:t>
            </w:r>
          </w:p>
        </w:tc>
      </w:tr>
      <w:tr w:rsidR="0067470D" w:rsidRPr="006B3CCB" w:rsidTr="0067470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имущества казны в концессии </w:t>
            </w:r>
          </w:p>
        </w:tc>
      </w:tr>
      <w:tr w:rsidR="0067470D" w:rsidRPr="006B3CCB" w:rsidTr="0067470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4.1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недвижимого имущества </w:t>
            </w:r>
            <w:proofErr w:type="spellStart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концедента</w:t>
            </w:r>
            <w:proofErr w:type="spellEnd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</w:tc>
      </w:tr>
      <w:tr w:rsidR="0067470D" w:rsidRPr="006B3CCB" w:rsidTr="0067470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4.2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 w:rsidP="0067470D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C3271" w:rsidRPr="006B3CCB" w:rsidRDefault="009C3271">
            <w:pPr>
              <w:pStyle w:val="FORMATTEXT"/>
              <w:spacing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Амортизация движимого имущества </w:t>
            </w:r>
            <w:proofErr w:type="spellStart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>концедента</w:t>
            </w:r>
            <w:proofErr w:type="spellEnd"/>
            <w:r w:rsidRPr="006B3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</w:tc>
      </w:tr>
    </w:tbl>
    <w:p w:rsidR="00335F1D" w:rsidRDefault="00335F1D" w:rsidP="006B3CCB">
      <w:pPr>
        <w:pStyle w:val="ab"/>
        <w:jc w:val="both"/>
        <w:rPr>
          <w:szCs w:val="24"/>
        </w:rPr>
      </w:pPr>
      <w:bookmarkStart w:id="0" w:name="_GoBack"/>
      <w:bookmarkEnd w:id="0"/>
    </w:p>
    <w:sectPr w:rsidR="00335F1D" w:rsidSect="00FA1C80">
      <w:headerReference w:type="even" r:id="rId11"/>
      <w:headerReference w:type="default" r:id="rId12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D1" w:rsidRDefault="007514D1">
      <w:r>
        <w:separator/>
      </w:r>
    </w:p>
  </w:endnote>
  <w:endnote w:type="continuationSeparator" w:id="0">
    <w:p w:rsidR="007514D1" w:rsidRDefault="0075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D1" w:rsidRDefault="007514D1">
      <w:r>
        <w:separator/>
      </w:r>
    </w:p>
  </w:footnote>
  <w:footnote w:type="continuationSeparator" w:id="0">
    <w:p w:rsidR="007514D1" w:rsidRDefault="00751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B76C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A5294F"/>
    <w:multiLevelType w:val="hybridMultilevel"/>
    <w:tmpl w:val="9A4CD23A"/>
    <w:lvl w:ilvl="0" w:tplc="CEAE70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0E2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357A8"/>
    <w:rsid w:val="00036320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0CBA"/>
    <w:rsid w:val="000D4F79"/>
    <w:rsid w:val="000D60B6"/>
    <w:rsid w:val="000D643F"/>
    <w:rsid w:val="000E0479"/>
    <w:rsid w:val="000E0CF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4CE1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2B6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37CAC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451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51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6B69"/>
    <w:rsid w:val="002C7847"/>
    <w:rsid w:val="002C7B9E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2AC5"/>
    <w:rsid w:val="002E3BD7"/>
    <w:rsid w:val="002E4FEC"/>
    <w:rsid w:val="002E755D"/>
    <w:rsid w:val="002E767D"/>
    <w:rsid w:val="002F04E7"/>
    <w:rsid w:val="002F166A"/>
    <w:rsid w:val="002F2A02"/>
    <w:rsid w:val="002F354F"/>
    <w:rsid w:val="002F3863"/>
    <w:rsid w:val="002F39C8"/>
    <w:rsid w:val="002F59D2"/>
    <w:rsid w:val="002F5C18"/>
    <w:rsid w:val="002F701E"/>
    <w:rsid w:val="002F7AD8"/>
    <w:rsid w:val="00300A8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3D7"/>
    <w:rsid w:val="00362979"/>
    <w:rsid w:val="00364455"/>
    <w:rsid w:val="00364B15"/>
    <w:rsid w:val="00365BD8"/>
    <w:rsid w:val="00365EBD"/>
    <w:rsid w:val="0036659B"/>
    <w:rsid w:val="003701D7"/>
    <w:rsid w:val="00371103"/>
    <w:rsid w:val="003728B5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1F5A"/>
    <w:rsid w:val="003C2E1D"/>
    <w:rsid w:val="003C2F40"/>
    <w:rsid w:val="003C4266"/>
    <w:rsid w:val="003C4D8D"/>
    <w:rsid w:val="003C7125"/>
    <w:rsid w:val="003D19C8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22D3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1CB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042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06BE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22B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374F2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47FF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38A2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0D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470D"/>
    <w:rsid w:val="00675FF6"/>
    <w:rsid w:val="0067735B"/>
    <w:rsid w:val="00680700"/>
    <w:rsid w:val="006809A5"/>
    <w:rsid w:val="00683A24"/>
    <w:rsid w:val="006849AC"/>
    <w:rsid w:val="00685330"/>
    <w:rsid w:val="0068542C"/>
    <w:rsid w:val="00686CA4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CCB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4D1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6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059C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0E5C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2F9"/>
    <w:rsid w:val="009B7EF0"/>
    <w:rsid w:val="009C0114"/>
    <w:rsid w:val="009C3271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0881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5C4"/>
    <w:rsid w:val="00A32879"/>
    <w:rsid w:val="00A34781"/>
    <w:rsid w:val="00A36D13"/>
    <w:rsid w:val="00A37AA3"/>
    <w:rsid w:val="00A41A8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89F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A7DE2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08F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76C78"/>
    <w:rsid w:val="00B77A44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29AE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3969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96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45121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7D03"/>
    <w:rsid w:val="00D807C6"/>
    <w:rsid w:val="00D811E0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2C44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1AF8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6A92"/>
    <w:rsid w:val="00E5763E"/>
    <w:rsid w:val="00E6111B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368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454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91A"/>
    <w:rsid w:val="00EE7A40"/>
    <w:rsid w:val="00EF2BCB"/>
    <w:rsid w:val="00EF3DA9"/>
    <w:rsid w:val="00EF43BE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1C80"/>
    <w:rsid w:val="00FA20E9"/>
    <w:rsid w:val="00FA2D11"/>
    <w:rsid w:val="00FA41B6"/>
    <w:rsid w:val="00FA4CB5"/>
    <w:rsid w:val="00FA4D80"/>
    <w:rsid w:val="00FA6948"/>
    <w:rsid w:val="00FB0398"/>
    <w:rsid w:val="00FB0B54"/>
    <w:rsid w:val="00FB0C77"/>
    <w:rsid w:val="00FB0D8C"/>
    <w:rsid w:val="00FB385E"/>
    <w:rsid w:val="00FB644A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aliases w:val="ПФ-таб.текст,ТЕКСТ,Без интервала2,письмо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aliases w:val="ПФ-таб.текст Знак,ТЕКСТ Знак,Без интервала2 Знак,письмо Знак"/>
    <w:link w:val="ab"/>
    <w:uiPriority w:val="1"/>
    <w:qFormat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  <w:style w:type="character" w:styleId="af7">
    <w:name w:val="Emphasis"/>
    <w:basedOn w:val="a0"/>
    <w:uiPriority w:val="20"/>
    <w:qFormat/>
    <w:rsid w:val="000357A8"/>
    <w:rPr>
      <w:i/>
      <w:iCs/>
    </w:rPr>
  </w:style>
  <w:style w:type="paragraph" w:customStyle="1" w:styleId="ConsPlusNormal">
    <w:name w:val="ConsPlusNormal"/>
    <w:rsid w:val="003D1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Hyperlink"/>
    <w:basedOn w:val="a0"/>
    <w:uiPriority w:val="99"/>
    <w:unhideWhenUsed/>
    <w:rsid w:val="00D16A96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16A9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9C32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aliases w:val="ПФ-таб.текст,ТЕКСТ,Без интервала2,письмо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aliases w:val="ПФ-таб.текст Знак,ТЕКСТ Знак,Без интервала2 Знак,письмо Знак"/>
    <w:link w:val="ab"/>
    <w:uiPriority w:val="1"/>
    <w:qFormat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  <w:style w:type="character" w:styleId="af7">
    <w:name w:val="Emphasis"/>
    <w:basedOn w:val="a0"/>
    <w:uiPriority w:val="20"/>
    <w:qFormat/>
    <w:rsid w:val="000357A8"/>
    <w:rPr>
      <w:i/>
      <w:iCs/>
    </w:rPr>
  </w:style>
  <w:style w:type="paragraph" w:customStyle="1" w:styleId="ConsPlusNormal">
    <w:name w:val="ConsPlusNormal"/>
    <w:rsid w:val="003D1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Hyperlink"/>
    <w:basedOn w:val="a0"/>
    <w:uiPriority w:val="99"/>
    <w:unhideWhenUsed/>
    <w:rsid w:val="00D16A96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16A9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9C32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31681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2249301&amp;mark=0000000000000000000000000000000000000000000000000064U0I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kodeks://link/d?nd=607325790&amp;mark=0000000000000000000000000000000000000000000000000064U0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249301&amp;mark=0000000000000000000000000000000000000000000000000064U0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19927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9</cp:revision>
  <cp:lastPrinted>2025-06-09T09:09:00Z</cp:lastPrinted>
  <dcterms:created xsi:type="dcterms:W3CDTF">2025-05-19T11:24:00Z</dcterms:created>
  <dcterms:modified xsi:type="dcterms:W3CDTF">2025-06-09T09:09:00Z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