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6"/>
        <w:jc w:val="right"/>
      </w:pPr>
      <w:r>
        <w:t xml:space="preserve">ПРОЕКТ</w:t>
      </w:r>
    </w:p>
    <w:p>
      <w:pPr>
        <w:pStyle w:val="Heading6"/>
      </w:pPr>
      <w:r>
        <w:t xml:space="preserve">А</w:t>
      </w:r>
      <w:r>
        <w:t xml:space="preserve">ДМИНИСТРАЦИЯ</w:t>
      </w:r>
    </w:p>
    <w:p>
      <w:pPr>
        <w:pStyle w:val="Heading6"/>
        <w:rPr>
          <w:caps/>
          <w:szCs w:val="28"/>
        </w:rPr>
      </w:pPr>
      <w:r>
        <w:rPr>
          <w:caps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- Югры</w:t>
      </w:r>
    </w:p>
    <w:p>
      <w:pPr>
        <w:pStyle w:val="Heading6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rPr>
          <w:caps/>
          <w:szCs w:val="28"/>
        </w:rPr>
      </w:pPr>
      <w:r>
        <w:rPr>
          <w:caps/>
          <w:szCs w:val="28"/>
        </w:rPr>
        <w:t xml:space="preserve">Постановление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</w:pPr>
      <w:r>
        <w:t xml:space="preserve">от </w:t>
      </w:r>
      <w:r>
        <w:t xml:space="preserve">«__» _____</w:t>
      </w:r>
      <w:r>
        <w:t xml:space="preserve"> </w:t>
      </w:r>
      <w:r>
        <w:t xml:space="preserve"> 202</w:t>
      </w:r>
      <w:r>
        <w:t xml:space="preserve">5</w:t>
      </w:r>
      <w:r>
        <w:t xml:space="preserve"> года      </w:t>
        <w:tab/>
        <w:tab/>
        <w:tab/>
        <w:t xml:space="preserve">                              </w:t>
      </w:r>
      <w:r>
        <w:t xml:space="preserve">                 </w:t>
      </w:r>
      <w:r>
        <w:t xml:space="preserve">   </w:t>
      </w:r>
      <w:r>
        <w:t xml:space="preserve">              </w:t>
      </w:r>
      <w:r>
        <w:t xml:space="preserve">№  </w:t>
      </w:r>
      <w:r>
        <w:t xml:space="preserve">__</w:t>
      </w:r>
    </w:p>
    <w:p>
      <w:pPr>
        <w:pStyle w:val="Normal"/>
      </w:pPr>
      <w:r>
        <w:t xml:space="preserve">пгт. Кондинское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Heading8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О внесении изменений в постановление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администрации </w:t>
      </w:r>
      <w:r>
        <w:rPr>
          <w:b w:val="0"/>
          <w:i w:val="0"/>
          <w:sz w:val="24"/>
        </w:rPr>
      </w:r>
    </w:p>
    <w:p>
      <w:pPr>
        <w:pStyle w:val="Heading8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г</w:t>
      </w:r>
      <w:r>
        <w:rPr>
          <w:b w:val="0"/>
          <w:i w:val="0"/>
          <w:sz w:val="24"/>
        </w:rPr>
        <w:t xml:space="preserve">ородского поселения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 Кондинское от </w:t>
      </w:r>
      <w:r>
        <w:rPr>
          <w:b w:val="0"/>
          <w:i w:val="0"/>
          <w:sz w:val="24"/>
        </w:rPr>
        <w:t xml:space="preserve">0</w:t>
      </w:r>
      <w:r>
        <w:rPr>
          <w:b w:val="0"/>
          <w:i w:val="0"/>
          <w:sz w:val="24"/>
        </w:rPr>
        <w:t xml:space="preserve">3</w:t>
      </w:r>
      <w:r>
        <w:rPr>
          <w:b w:val="0"/>
          <w:i w:val="0"/>
          <w:sz w:val="24"/>
        </w:rPr>
        <w:t xml:space="preserve"> ноября 20</w:t>
      </w:r>
      <w:r>
        <w:rPr>
          <w:b w:val="0"/>
          <w:i w:val="0"/>
          <w:sz w:val="24"/>
        </w:rPr>
        <w:t xml:space="preserve">15</w:t>
      </w:r>
      <w:r>
        <w:rPr>
          <w:b w:val="0"/>
          <w:i w:val="0"/>
          <w:sz w:val="24"/>
        </w:rPr>
        <w:t xml:space="preserve"> года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</w:r>
    </w:p>
    <w:p>
      <w:pPr>
        <w:pStyle w:val="Heading8"/>
        <w:rPr>
          <w:b w:val="0"/>
          <w:bCs w:val="0"/>
          <w:i w:val="0"/>
          <w:iCs w:val="0"/>
          <w:sz w:val="24"/>
        </w:rPr>
      </w:pPr>
      <w:r>
        <w:rPr>
          <w:b w:val="0"/>
          <w:i w:val="0"/>
          <w:sz w:val="24"/>
        </w:rPr>
        <w:t xml:space="preserve">№ </w:t>
      </w:r>
      <w:r>
        <w:rPr>
          <w:b w:val="0"/>
          <w:bCs w:val="0"/>
          <w:i w:val="0"/>
          <w:iCs w:val="0"/>
          <w:sz w:val="24"/>
        </w:rPr>
        <w:t xml:space="preserve">12</w:t>
      </w:r>
      <w:r>
        <w:rPr>
          <w:b w:val="0"/>
          <w:bCs w:val="0"/>
          <w:i w:val="0"/>
          <w:iCs w:val="0"/>
          <w:sz w:val="24"/>
        </w:rPr>
        <w:t xml:space="preserve">3</w:t>
      </w:r>
      <w:r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 xml:space="preserve">«Об утверждении административного регламента </w:t>
      </w:r>
    </w:p>
    <w:p>
      <w:pPr>
        <w:pStyle w:val="Heading8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по предоставлению муниципальной услуги «Передача </w:t>
      </w:r>
    </w:p>
    <w:p>
      <w:pPr>
        <w:pStyle w:val="Heading8"/>
      </w:pPr>
      <w:r>
        <w:rPr>
          <w:b w:val="0"/>
          <w:bCs w:val="0"/>
          <w:i w:val="0"/>
          <w:iCs w:val="0"/>
          <w:sz w:val="24"/>
        </w:rPr>
        <w:t xml:space="preserve">гражданами </w:t>
      </w:r>
      <w:r>
        <w:rPr>
          <w:b w:val="0"/>
          <w:bCs w:val="0"/>
          <w:i w:val="0"/>
          <w:iCs w:val="0"/>
          <w:sz w:val="24"/>
        </w:rPr>
        <w:t xml:space="preserve">в муниципальную собственность</w:t>
      </w:r>
      <w:r>
        <w:t xml:space="preserve"> </w:t>
      </w:r>
    </w:p>
    <w:p>
      <w:pPr>
        <w:pStyle w:val="Heading8"/>
        <w:rPr>
          <w:bCs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приватизированных </w:t>
      </w:r>
      <w:r>
        <w:rPr>
          <w:b w:val="0"/>
          <w:bCs w:val="0"/>
          <w:i w:val="0"/>
          <w:iCs w:val="0"/>
          <w:sz w:val="24"/>
        </w:rPr>
        <w:t xml:space="preserve">жилых </w:t>
      </w:r>
      <w:r>
        <w:rPr>
          <w:b w:val="0"/>
          <w:bCs w:val="0"/>
          <w:i w:val="0"/>
          <w:iCs w:val="0"/>
          <w:sz w:val="24"/>
        </w:rPr>
        <w:t xml:space="preserve">помещений</w:t>
      </w:r>
      <w:r>
        <w:rPr>
          <w:bCs w:val="0"/>
          <w:iCs w:val="0"/>
          <w:sz w:val="24"/>
        </w:rPr>
        <w:t xml:space="preserve">»</w:t>
      </w:r>
    </w:p>
    <w:p>
      <w:pPr>
        <w:pStyle w:val="Normal"/>
        <w:tabs>
          <w:tab w:val="left" w:pos="993" w:leader="none"/>
        </w:tabs>
        <w:ind w:firstLine="567"/>
        <w:jc w:val="both"/>
      </w:pPr>
    </w:p>
    <w:p>
      <w:pPr>
        <w:pStyle w:val="Normal"/>
        <w:ind w:firstLine="567"/>
        <w:jc w:val="both"/>
      </w:pPr>
    </w:p>
    <w:p>
      <w:pPr>
        <w:pStyle w:val="Normal"/>
        <w:ind w:firstLine="851"/>
        <w:jc w:val="both"/>
      </w:pPr>
      <w:r>
        <w:t xml:space="preserve">На основании </w:t>
      </w:r>
      <w:r>
        <w:t xml:space="preserve"> </w:t>
      </w:r>
      <w:r>
        <w:t xml:space="preserve">Федерального закона </w:t>
      </w:r>
      <w:r>
        <w:t xml:space="preserve">от 27 июля 2010 года № 210-ФЗ «Об организации предоставления государ</w:t>
      </w:r>
      <w:r>
        <w:t xml:space="preserve">ственных и муниципальных услуг» </w:t>
      </w:r>
      <w:r>
        <w:t xml:space="preserve">и </w:t>
      </w:r>
      <w:r>
        <w:t xml:space="preserve">в целях приведения нормативных правовых актов</w:t>
      </w:r>
      <w:r>
        <w:t xml:space="preserve"> администрации городского поселения Кондинское</w:t>
      </w:r>
      <w:r>
        <w:t xml:space="preserve"> в соответствие с действующим законодательством:</w:t>
      </w:r>
    </w:p>
    <w:p>
      <w:pPr>
        <w:pStyle w:val="Heading8"/>
        <w:numPr>
          <w:numId w:val="14"/>
          <w:ilvl w:val="0"/>
        </w:numPr>
        <w:tabs>
          <w:tab w:val="left" w:pos="993" w:leader="none"/>
        </w:tabs>
        <w:ind w:left="0" w:firstLine="709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Внести в </w:t>
      </w:r>
      <w:r>
        <w:rPr>
          <w:b w:val="0"/>
          <w:bCs w:val="0"/>
          <w:i w:val="0"/>
          <w:iCs w:val="0"/>
          <w:sz w:val="24"/>
        </w:rPr>
        <w:t xml:space="preserve">постановле</w:t>
      </w:r>
      <w:r>
        <w:rPr>
          <w:b w:val="0"/>
          <w:bCs w:val="0"/>
          <w:i w:val="0"/>
          <w:iCs w:val="0"/>
          <w:sz w:val="24"/>
        </w:rPr>
        <w:t xml:space="preserve">ни</w:t>
      </w:r>
      <w:r>
        <w:rPr>
          <w:b w:val="0"/>
          <w:bCs w:val="0"/>
          <w:i w:val="0"/>
          <w:iCs w:val="0"/>
          <w:sz w:val="24"/>
        </w:rPr>
        <w:t xml:space="preserve">е</w:t>
      </w:r>
      <w:r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 xml:space="preserve">администрации городс</w:t>
      </w:r>
      <w:r>
        <w:rPr>
          <w:b w:val="0"/>
          <w:bCs w:val="0"/>
          <w:i w:val="0"/>
          <w:iCs w:val="0"/>
          <w:sz w:val="24"/>
        </w:rPr>
        <w:t xml:space="preserve">кого по</w:t>
      </w:r>
      <w:r>
        <w:rPr>
          <w:b w:val="0"/>
          <w:bCs w:val="0"/>
          <w:i w:val="0"/>
          <w:iCs w:val="0"/>
          <w:sz w:val="24"/>
        </w:rPr>
        <w:t xml:space="preserve">селения  </w:t>
      </w:r>
      <w:r>
        <w:rPr>
          <w:b w:val="0"/>
          <w:bCs w:val="0"/>
          <w:i w:val="0"/>
          <w:iCs w:val="0"/>
          <w:sz w:val="24"/>
        </w:rPr>
        <w:t xml:space="preserve">Кон</w:t>
      </w:r>
      <w:r>
        <w:rPr>
          <w:b w:val="0"/>
          <w:bCs w:val="0"/>
          <w:i w:val="0"/>
          <w:iCs w:val="0"/>
          <w:sz w:val="24"/>
        </w:rPr>
        <w:t xml:space="preserve">динско</w:t>
      </w:r>
      <w:r>
        <w:rPr>
          <w:b w:val="0"/>
          <w:bCs w:val="0"/>
          <w:i w:val="0"/>
          <w:iCs w:val="0"/>
          <w:sz w:val="24"/>
        </w:rPr>
        <w:t xml:space="preserve">е от </w:t>
      </w:r>
      <w:r>
        <w:rPr>
          <w:b w:val="0"/>
          <w:bCs w:val="0"/>
          <w:i w:val="0"/>
          <w:iCs w:val="0"/>
          <w:sz w:val="24"/>
        </w:rPr>
        <w:t xml:space="preserve">0</w:t>
      </w:r>
      <w:r>
        <w:rPr>
          <w:b w:val="0"/>
          <w:bCs w:val="0"/>
          <w:i w:val="0"/>
          <w:iCs w:val="0"/>
          <w:sz w:val="24"/>
        </w:rPr>
        <w:t xml:space="preserve">3</w:t>
      </w:r>
      <w:r>
        <w:rPr>
          <w:b w:val="0"/>
          <w:bCs w:val="0"/>
          <w:i w:val="0"/>
          <w:iCs w:val="0"/>
          <w:sz w:val="24"/>
        </w:rPr>
        <w:t xml:space="preserve"> ноября</w:t>
      </w:r>
      <w:r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 xml:space="preserve">20</w:t>
      </w:r>
      <w:r>
        <w:rPr>
          <w:b w:val="0"/>
          <w:bCs w:val="0"/>
          <w:i w:val="0"/>
          <w:iCs w:val="0"/>
          <w:sz w:val="24"/>
        </w:rPr>
        <w:t xml:space="preserve">15</w:t>
      </w:r>
      <w:r>
        <w:rPr>
          <w:b w:val="0"/>
          <w:bCs w:val="0"/>
          <w:i w:val="0"/>
          <w:iCs w:val="0"/>
          <w:sz w:val="24"/>
        </w:rPr>
        <w:t xml:space="preserve"> года</w:t>
      </w:r>
      <w:r>
        <w:rPr>
          <w:b w:val="0"/>
          <w:bCs w:val="0"/>
          <w:i w:val="0"/>
          <w:iCs w:val="0"/>
          <w:sz w:val="24"/>
        </w:rPr>
        <w:t xml:space="preserve"> № </w:t>
      </w:r>
      <w:r>
        <w:rPr>
          <w:b w:val="0"/>
          <w:bCs w:val="0"/>
          <w:i w:val="0"/>
          <w:iCs w:val="0"/>
          <w:sz w:val="24"/>
        </w:rPr>
        <w:t xml:space="preserve">12</w:t>
      </w:r>
      <w:r>
        <w:rPr>
          <w:b w:val="0"/>
          <w:bCs w:val="0"/>
          <w:i w:val="0"/>
          <w:iCs w:val="0"/>
          <w:sz w:val="24"/>
        </w:rPr>
        <w:t xml:space="preserve">3</w:t>
      </w:r>
      <w:r>
        <w:rPr>
          <w:b w:val="0"/>
          <w:bCs w:val="0"/>
          <w:i w:val="0"/>
          <w:iCs w:val="0"/>
          <w:sz w:val="24"/>
        </w:rPr>
        <w:t xml:space="preserve"> «</w:t>
      </w:r>
      <w:r>
        <w:rPr>
          <w:b w:val="0"/>
          <w:bCs w:val="0"/>
          <w:i w:val="0"/>
          <w:iCs w:val="0"/>
          <w:sz w:val="24"/>
        </w:rPr>
        <w:t xml:space="preserve">Об утверждении административного регламента</w:t>
      </w:r>
      <w:r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 xml:space="preserve">предоставления муниципальной услуги</w:t>
      </w:r>
      <w:r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 xml:space="preserve">по предоставлению муниципальной услуги «Передача гражданами </w:t>
      </w:r>
      <w:r>
        <w:rPr>
          <w:b w:val="0"/>
          <w:bCs w:val="0"/>
          <w:i w:val="0"/>
          <w:iCs w:val="0"/>
          <w:sz w:val="24"/>
        </w:rPr>
        <w:t xml:space="preserve">в муниципальную собственность </w:t>
      </w:r>
      <w:r>
        <w:rPr>
          <w:b w:val="0"/>
          <w:bCs w:val="0"/>
          <w:i w:val="0"/>
          <w:iCs w:val="0"/>
          <w:sz w:val="24"/>
        </w:rPr>
        <w:t xml:space="preserve">приватизированных жилых помещений»</w:t>
      </w:r>
      <w:r>
        <w:rPr>
          <w:b w:val="0"/>
          <w:bCs w:val="0"/>
          <w:i w:val="0"/>
          <w:iCs w:val="0"/>
          <w:sz w:val="24"/>
        </w:rPr>
        <w:t xml:space="preserve"> (далее – постановление)</w:t>
      </w:r>
      <w:r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 xml:space="preserve">следующие изме</w:t>
      </w:r>
      <w:r>
        <w:rPr>
          <w:b w:val="0"/>
          <w:bCs w:val="0"/>
          <w:i w:val="0"/>
          <w:iCs w:val="0"/>
          <w:sz w:val="24"/>
        </w:rPr>
        <w:t xml:space="preserve">нения:</w:t>
      </w:r>
    </w:p>
    <w:p>
      <w:pPr>
        <w:pStyle w:val="Normal"/>
        <w:tabs>
          <w:tab w:val="left" w:pos="0" w:leader="none"/>
        </w:tabs>
        <w:ind w:firstLine="709"/>
        <w:jc w:val="both"/>
        <w:outlineLvl w:val="1"/>
        <w:rPr>
          <w:iCs/>
          <w:lang w:eastAsia="en-US"/>
        </w:rPr>
      </w:pPr>
      <w:r>
        <w:t xml:space="preserve">1.1.</w:t>
      </w:r>
      <w:r>
        <w:t xml:space="preserve"> В подпункте 2 пункта 2.6. </w:t>
      </w:r>
      <w:r>
        <w:t xml:space="preserve">раздела 2 </w:t>
      </w:r>
      <w:r>
        <w:rPr>
          <w:iCs/>
          <w:lang w:eastAsia="en-US"/>
        </w:rPr>
        <w:t xml:space="preserve">приложения к постановлению </w:t>
      </w:r>
      <w:r>
        <w:rPr>
          <w:iCs/>
          <w:lang w:eastAsia="en-US"/>
        </w:rPr>
        <w:t xml:space="preserve">слова </w:t>
      </w:r>
      <w:r>
        <w:rPr>
          <w:iCs/>
          <w:lang w:eastAsia="en-US"/>
        </w:rPr>
        <w:t xml:space="preserve">«</w:t>
      </w:r>
      <w:r>
        <w:t xml:space="preserve">паспортов граждан</w:t>
      </w:r>
      <w:r>
        <w:rPr>
          <w:iCs/>
          <w:lang w:eastAsia="en-US"/>
        </w:rPr>
        <w:t xml:space="preserve">» заменить на слова «</w:t>
      </w:r>
      <w:r>
        <w:t xml:space="preserve">паспорт</w:t>
      </w:r>
      <w:r>
        <w:t xml:space="preserve">ов </w:t>
      </w:r>
      <w:r>
        <w:t xml:space="preserve">граждан Российской Федерации</w:t>
      </w:r>
      <w:r>
        <w:t xml:space="preserve"> и иных документов, удостоверяющих личность заявителя, в соответствии с законодательством Российской</w:t>
      </w:r>
      <w:r>
        <w:rPr>
          <w:iCs/>
          <w:lang w:eastAsia="en-US"/>
        </w:rPr>
        <w:t xml:space="preserve">»</w:t>
      </w:r>
      <w:r>
        <w:rPr>
          <w:iCs/>
          <w:lang w:eastAsia="en-US"/>
        </w:rPr>
        <w:t xml:space="preserve">.</w:t>
      </w:r>
      <w:r>
        <w:rPr>
          <w:iCs/>
          <w:lang w:eastAsia="en-US"/>
        </w:rPr>
      </w:r>
    </w:p>
    <w:p>
      <w:pPr>
        <w:pStyle w:val="Normal"/>
        <w:shd w:val="clear" w:color="auto" w:fill="ffffff"/>
        <w:ind w:firstLine="709"/>
        <w:jc w:val="both"/>
      </w:pPr>
      <w:r>
        <w:t xml:space="preserve">1.2. </w:t>
      </w:r>
      <w:r>
        <w:fldChar w:fldCharType="begin"/>
      </w:r>
      <w:r>
        <w:instrText xml:space="preserve"> HYPERLINK "javascript:;"</w:instrText>
      </w:r>
      <w:r>
        <w:fldChar w:fldCharType="separate"/>
      </w:r>
      <w:r>
        <w:t xml:space="preserve">Подпункт 7 пункта 2.6</w:t>
      </w:r>
      <w:r>
        <w:fldChar w:fldCharType="end"/>
      </w:r>
      <w:r>
        <w:t xml:space="preserve"> </w:t>
      </w:r>
      <w:r>
        <w:t xml:space="preserve">раздела 2 </w:t>
      </w:r>
      <w:r>
        <w:rPr>
          <w:iCs/>
          <w:lang w:eastAsia="en-US"/>
        </w:rPr>
        <w:t xml:space="preserve">приложения к постановлению</w:t>
      </w:r>
      <w:r>
        <w:rPr>
          <w:iCs/>
          <w:lang w:eastAsia="en-US"/>
        </w:rPr>
        <w:t xml:space="preserve"> утратил силу.</w:t>
      </w:r>
    </w:p>
    <w:p>
      <w:pPr>
        <w:pStyle w:val="UserStyle_6"/>
        <w:spacing w:before="0" w:beforeAutospacing="0" w:after="0" w:afterAutospacing="0"/>
        <w:ind w:firstLine="709"/>
        <w:jc w:val="both"/>
      </w:pPr>
      <w:r>
        <w:t xml:space="preserve">1.3. </w:t>
      </w:r>
      <w:r>
        <w:fldChar w:fldCharType="begin"/>
      </w:r>
      <w:r>
        <w:instrText xml:space="preserve"> HYPERLINK "javascript:;"</w:instrText>
      </w:r>
      <w:r>
        <w:fldChar w:fldCharType="separate"/>
      </w:r>
      <w:r>
        <w:t xml:space="preserve">Пункт 2.10</w:t>
      </w:r>
      <w:r>
        <w:fldChar w:fldCharType="end"/>
      </w:r>
      <w:r>
        <w:t xml:space="preserve"> </w:t>
      </w:r>
      <w:r>
        <w:t xml:space="preserve">раздела 2 </w:t>
      </w:r>
      <w:r>
        <w:rPr>
          <w:iCs/>
          <w:lang w:eastAsia="en-US"/>
        </w:rPr>
        <w:t xml:space="preserve">приложения к постановлению </w:t>
      </w:r>
      <w:r>
        <w:t xml:space="preserve">изложить в следующей редакции:</w:t>
      </w:r>
    </w:p>
    <w:p>
      <w:pPr>
        <w:pStyle w:val="UserStyle_7"/>
        <w:spacing w:before="0" w:beforeAutospacing="0" w:after="0" w:afterAutospacing="0"/>
        <w:ind w:firstLine="709"/>
        <w:jc w:val="both"/>
      </w:pPr>
      <w:r>
        <w:t xml:space="preserve">«</w:t>
      </w:r>
      <w:r>
        <w:t xml:space="preserve">2.10. И</w:t>
      </w:r>
      <w:r>
        <w:t xml:space="preserve">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  <w:r>
        <w:t xml:space="preserve">».</w:t>
      </w:r>
    </w:p>
    <w:p>
      <w:pPr>
        <w:pStyle w:val="UserStyle_6"/>
        <w:spacing w:before="0" w:beforeAutospacing="0" w:after="0" w:afterAutospacing="0"/>
        <w:ind w:firstLine="709"/>
        <w:jc w:val="both"/>
      </w:pPr>
      <w:r>
        <w:t xml:space="preserve">1.4. </w:t>
      </w:r>
      <w:r>
        <w:fldChar w:fldCharType="begin"/>
      </w:r>
      <w:r>
        <w:instrText xml:space="preserve"> HYPERLINK "javascript:;"</w:instrText>
      </w:r>
      <w:r>
        <w:fldChar w:fldCharType="separate"/>
      </w:r>
      <w:r>
        <w:t xml:space="preserve">Пункт 19</w:t>
      </w:r>
      <w:r>
        <w:fldChar w:fldCharType="end"/>
      </w:r>
      <w:r>
        <w:t xml:space="preserve"> </w:t>
      </w:r>
      <w:r>
        <w:t xml:space="preserve">раздела 5</w:t>
      </w:r>
      <w:r>
        <w:t xml:space="preserve"> </w:t>
      </w:r>
      <w:r>
        <w:rPr>
          <w:iCs/>
          <w:lang w:eastAsia="en-US"/>
        </w:rPr>
        <w:t xml:space="preserve">приложения к постановлению </w:t>
      </w:r>
      <w:r>
        <w:t xml:space="preserve">изложить в следующей редакции:</w:t>
      </w:r>
    </w:p>
    <w:p>
      <w:pPr>
        <w:pStyle w:val="UserStyle_7"/>
        <w:spacing w:before="0" w:beforeAutospacing="0" w:after="0" w:afterAutospacing="0"/>
        <w:ind w:firstLine="709"/>
        <w:jc w:val="both"/>
      </w:pPr>
      <w:r>
        <w:t xml:space="preserve">«19. </w:t>
      </w: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уполномоченной должностное лицо</w:t>
      </w:r>
      <w:r>
        <w:t xml:space="preserve">, работник, наделенные полномочиями по рассмотрению жалоб</w:t>
      </w:r>
      <w:r>
        <w:t xml:space="preserve"> в соответствии с пунктом 2 главы 5 настоящего административного регламента, незамедлительно направляют имеющиеся материалы в органы прокуратуры.</w:t>
      </w:r>
      <w:r>
        <w:t xml:space="preserve">».</w:t>
      </w:r>
    </w:p>
    <w:p>
      <w:pPr>
        <w:pStyle w:val="Normal"/>
        <w:numPr>
          <w:numId w:val="27"/>
          <w:ilvl w:val="1"/>
        </w:numPr>
        <w:tabs>
          <w:tab w:val="left" w:pos="142" w:leader="none"/>
          <w:tab w:val="left" w:pos="567" w:leader="none"/>
          <w:tab w:val="left" w:pos="993" w:leader="none"/>
        </w:tabs>
        <w:jc w:val="both"/>
        <w:rPr>
          <w:iCs/>
          <w:lang w:eastAsia="en-US"/>
        </w:rPr>
      </w:pPr>
      <w:r>
        <w:rPr>
          <w:iCs/>
          <w:lang w:eastAsia="en-US"/>
        </w:rPr>
        <w:t xml:space="preserve">Раздел</w:t>
      </w:r>
      <w:r>
        <w:rPr>
          <w:iCs/>
          <w:lang w:eastAsia="en-US"/>
        </w:rPr>
        <w:t xml:space="preserve"> 2 дополнить </w:t>
      </w:r>
      <w:r>
        <w:rPr>
          <w:iCs/>
          <w:lang w:eastAsia="en-US"/>
        </w:rPr>
        <w:t xml:space="preserve">пунктом</w:t>
      </w:r>
      <w:r>
        <w:rPr>
          <w:iCs/>
          <w:lang w:eastAsia="en-US"/>
        </w:rPr>
        <w:t xml:space="preserve"> 2.1</w:t>
      </w:r>
      <w:r>
        <w:rPr>
          <w:iCs/>
          <w:lang w:eastAsia="en-US"/>
        </w:rPr>
        <w:t xml:space="preserve">7</w:t>
      </w:r>
      <w:r>
        <w:rPr>
          <w:iCs/>
          <w:lang w:eastAsia="en-US"/>
        </w:rPr>
        <w:t xml:space="preserve"> </w:t>
      </w:r>
      <w:r>
        <w:rPr>
          <w:iCs/>
          <w:lang w:eastAsia="en-US"/>
        </w:rPr>
        <w:t xml:space="preserve">приложения к постановлению </w:t>
      </w:r>
      <w:r>
        <w:rPr>
          <w:iCs/>
          <w:lang w:eastAsia="en-US"/>
        </w:rPr>
        <w:t xml:space="preserve">следующего содержания: </w:t>
      </w:r>
    </w:p>
    <w:p>
      <w:pPr>
        <w:pStyle w:val="Normal"/>
        <w:jc w:val="center"/>
        <w:rPr>
          <w:b/>
        </w:rPr>
      </w:pPr>
      <w:r>
        <w:t xml:space="preserve">«</w:t>
      </w:r>
      <w:r>
        <w:rPr>
          <w:b/>
        </w:rPr>
        <w:t xml:space="preserve">2.1</w:t>
      </w:r>
      <w:r>
        <w:rPr>
          <w:b/>
        </w:rPr>
        <w:t xml:space="preserve">7</w:t>
      </w:r>
      <w:r>
        <w:rPr>
          <w:b/>
        </w:rPr>
        <w:t xml:space="preserve">. Случаи и порядок предоставления муниципальной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услуги в упреждающем (проактивном) режиме</w:t>
      </w:r>
    </w:p>
    <w:p>
      <w:pPr>
        <w:pStyle w:val="Normal"/>
        <w:ind w:firstLine="709"/>
        <w:jc w:val="both"/>
        <w:outlineLvl w:val="0"/>
        <w:rPr>
          <w:iCs/>
          <w:lang w:eastAsia="en-US"/>
        </w:rPr>
      </w:pPr>
      <w:r>
        <w:t xml:space="preserve">2.15.1. Случаи предоставления муниципальной услуги в упреждающем (проактивном) режиме не предусмотрены.».</w:t>
      </w:r>
      <w:r>
        <w:rPr>
          <w:iCs/>
          <w:lang w:eastAsia="en-US"/>
        </w:rPr>
      </w:r>
    </w:p>
    <w:p>
      <w:pPr>
        <w:pStyle w:val="Normal"/>
        <w:tabs>
          <w:tab w:val="left" w:pos="851" w:leader="none"/>
        </w:tabs>
        <w:ind w:firstLine="709"/>
        <w:jc w:val="both"/>
      </w:pPr>
      <w:r>
        <w:t xml:space="preserve">2</w:t>
      </w:r>
      <w:r>
        <w:t xml:space="preserve">. </w:t>
      </w:r>
      <w:r>
        <w:t xml:space="preserve">   </w:t>
      </w:r>
      <w: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  <w:r>
        <w:t xml:space="preserve"> </w:t>
      </w:r>
    </w:p>
    <w:p>
      <w:pPr>
        <w:pStyle w:val="UserStyle_1"/>
        <w:tabs>
          <w:tab w:val="left" w:pos="567" w:leader="none"/>
          <w:tab w:val="left" w:pos="993" w:leader="none"/>
        </w:tabs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опубликования.</w:t>
      </w:r>
    </w:p>
    <w:p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Контроль за выполнением постановления возложить на заместителя главы администрации городского поселения Кондинское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ородского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Кондинское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Лукашеня</w:t>
      </w:r>
    </w:p>
    <w:sectPr>
      <w:type w:val="nextPage"/>
      <w:pgSz w:w="11907" w:h="16840"/>
      <w:pgMar w:top="1134" w:right="851" w:bottom="56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5" w:hanging="88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861" w:hanging="1152"/>
      </w:pPr>
      <w:rPr>
        <w:rFonts w:ascii="Times New Roman" w:hAnsi="Times New Roman" w:cs="Times New Roman"/>
        <w:b w:val="0"/>
        <w:i w:val="0"/>
        <w:strike w:val="0"/>
        <w:color w:val="000000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129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2295" w:leader="none"/>
        </w:tabs>
        <w:ind w:left="2295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3870" w:leader="none"/>
        </w:tabs>
        <w:ind w:left="387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5805" w:leader="none"/>
        </w:tabs>
        <w:ind w:left="5805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7380" w:leader="none"/>
        </w:tabs>
        <w:ind w:left="73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9315" w:leader="none"/>
        </w:tabs>
        <w:ind w:left="931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1250" w:leader="none"/>
        </w:tabs>
        <w:ind w:left="1125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2825" w:leader="none"/>
        </w:tabs>
        <w:ind w:left="12825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4760" w:leader="none"/>
        </w:tabs>
        <w:ind w:left="14760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</w:lvl>
    <w:lvl w:ilvl="1">
      <w:start w:val="4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211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73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33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54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39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608" w:hanging="180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5"/>
      <w:numFmt w:val="decimal"/>
      <w:suff w:val="tab"/>
      <w:lvlText w:val="%1.%2."/>
      <w:lvlJc w:val="left"/>
      <w:pPr>
        <w:pStyle w:val="Normal"/>
        <w:ind w:left="1211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73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33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54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39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608" w:hanging="180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1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3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5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7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9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1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3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5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7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861" w:hanging="1152"/>
      </w:pPr>
      <w:rPr>
        <w:rFonts w:ascii="Times New Roman" w:hAnsi="Times New Roman" w:cs="Times New Roman"/>
        <w:b w:val="0"/>
        <w:i w:val="0"/>
        <w:strike w:val="0"/>
        <w:color w:val="000000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129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520" w:leader="none"/>
        </w:tabs>
        <w:ind w:left="25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240" w:leader="none"/>
        </w:tabs>
        <w:ind w:left="32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4320" w:leader="none"/>
        </w:tabs>
        <w:ind w:left="43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5040" w:leader="none"/>
        </w:tabs>
        <w:ind w:left="50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6120" w:leader="none"/>
        </w:tabs>
        <w:ind w:left="612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6840" w:leader="none"/>
        </w:tabs>
        <w:ind w:left="68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7920" w:leader="none"/>
        </w:tabs>
        <w:ind w:left="7920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65" w:leader="none"/>
        </w:tabs>
        <w:ind w:left="465" w:hanging="46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709" w:leader="none"/>
        </w:tabs>
        <w:ind w:left="1709" w:hanging="465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3208" w:leader="none"/>
        </w:tabs>
        <w:ind w:left="320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4452" w:leader="none"/>
        </w:tabs>
        <w:ind w:left="445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6056" w:leader="none"/>
        </w:tabs>
        <w:ind w:left="605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7300" w:leader="none"/>
        </w:tabs>
        <w:ind w:left="730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8904" w:leader="none"/>
        </w:tabs>
        <w:ind w:left="890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0148" w:leader="none"/>
        </w:tabs>
        <w:ind w:left="1014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1752" w:leader="none"/>
        </w:tabs>
        <w:ind w:left="11752" w:hanging="180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6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  <w:rPr>
        <w:sz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647" w:hanging="108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47" w:hanging="108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007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007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36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367" w:hanging="180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800" w:leader="none"/>
        </w:tabs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60" w:leader="none"/>
        </w:tabs>
        <w:ind w:left="660" w:hanging="360"/>
      </w:pPr>
    </w:lvl>
    <w:lvl w:ilvl="1">
      <w:start w:val="0"/>
      <w:numFmt w:val="bullet"/>
      <w:suff w:val="tab"/>
      <w:lvlText w:val="-"/>
      <w:lvlJc w:val="left"/>
      <w:pPr>
        <w:pStyle w:val="Normal"/>
        <w:tabs>
          <w:tab w:val="num" w:pos="1380" w:leader="none"/>
        </w:tabs>
        <w:ind w:left="138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80" w:leader="none"/>
        </w:tabs>
        <w:ind w:left="108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080" w:leader="none"/>
        </w:tabs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440" w:leader="none"/>
        </w:tabs>
        <w:ind w:left="14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440" w:leader="none"/>
        </w:tabs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800" w:leader="none"/>
        </w:tabs>
        <w:ind w:left="18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160" w:leader="none"/>
        </w:tabs>
        <w:ind w:left="21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160" w:leader="none"/>
        </w:tabs>
        <w:ind w:left="216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520" w:leader="none"/>
        </w:tabs>
        <w:ind w:left="2520" w:hanging="2160"/>
      </w:pPr>
    </w:lvl>
  </w:abstractNum>
  <w:abstractNum w:abstractNumId="2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54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80" w:leader="none"/>
        </w:tabs>
        <w:ind w:left="1380" w:hanging="54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400" w:leader="none"/>
        </w:tabs>
        <w:ind w:left="24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240" w:leader="none"/>
        </w:tabs>
        <w:ind w:left="32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4440" w:leader="none"/>
        </w:tabs>
        <w:ind w:left="4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5280" w:leader="none"/>
        </w:tabs>
        <w:ind w:left="52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6480" w:leader="none"/>
        </w:tabs>
        <w:ind w:left="64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7320" w:leader="none"/>
        </w:tabs>
        <w:ind w:left="7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8520" w:leader="none"/>
        </w:tabs>
        <w:ind w:left="8520" w:hanging="1800"/>
      </w:pPr>
    </w:lvl>
  </w:abstractNum>
  <w:abstractNum w:abstractNumId="24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540" w:hanging="54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894" w:hanging="54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8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56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1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32" w:hanging="180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0"/>
      <w:numFmt w:val="bullet"/>
      <w:suff w:val="tab"/>
      <w:lvlText w:val="-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num w:numId="1">
    <w:abstractNumId w:val="25"/>
  </w:num>
  <w:num w:numId="2">
    <w:abstractNumId w:val="19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0"/>
  </w:num>
  <w:num w:numId="12">
    <w:abstractNumId w:val="20"/>
  </w:num>
  <w:num w:numId="13">
    <w:abstractNumId w:val="9"/>
  </w:num>
  <w:num w:numId="14">
    <w:abstractNumId w:val="13"/>
  </w:num>
  <w:num w:numId="15">
    <w:abstractNumId w:val="26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6"/>
  </w:num>
  <w:num w:numId="21">
    <w:abstractNumId w:val="2"/>
  </w:num>
  <w:num w:numId="22">
    <w:abstractNumId w:val="22"/>
  </w:num>
  <w:num w:numId="23">
    <w:abstractNumId w:val="10"/>
  </w:num>
  <w:num w:numId="24">
    <w:abstractNumId w:val="24"/>
  </w:num>
  <w:num w:numId="25">
    <w:abstractNumId w:val="4"/>
  </w:num>
  <w:num w:numId="26">
    <w:abstractNumId w:val="7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b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sz w:val="28"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b/>
      <w:bCs/>
      <w:i/>
      <w:iCs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Заголовок 6"/>
    <w:basedOn w:val="Normal"/>
    <w:next w:val="Normal"/>
    <w:link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Заголовок 7"/>
    <w:basedOn w:val="Normal"/>
    <w:next w:val="Normal"/>
    <w:link w:val="Normal"/>
    <w:qFormat/>
    <w:pPr>
      <w:keepNext/>
      <w:jc w:val="center"/>
      <w:outlineLvl w:val="6"/>
    </w:pPr>
    <w:rPr>
      <w:b/>
      <w:bCs/>
      <w:sz w:val="32"/>
    </w:rPr>
  </w:style>
  <w:style w:type="paragraph" w:styleId="Heading8">
    <w:name w:val="Заголовок 8"/>
    <w:basedOn w:val="Normal"/>
    <w:next w:val="Normal"/>
    <w:link w:val="Normal"/>
    <w:qFormat/>
    <w:pPr>
      <w:keepNext/>
      <w:outlineLvl w:val="7"/>
    </w:pPr>
    <w:rPr>
      <w:b/>
      <w:bCs/>
      <w:i/>
      <w:iCs/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b/>
      <w:szCs w:val="20"/>
    </w:r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8"/>
      <w:szCs w:val="20"/>
    </w:rPr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sz w:val="28"/>
      <w:szCs w:val="20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3">
    <w:name w:val="Основной текст 3"/>
    <w:basedOn w:val="Normal"/>
    <w:next w:val="BodyText3"/>
    <w:link w:val="Normal"/>
    <w:pPr>
      <w:jc w:val="both"/>
    </w:pPr>
  </w:style>
  <w:style w:type="paragraph" w:styleId="UserStyle_0">
    <w:name w:val="ConsPlusTitle"/>
    <w:next w:val="UserStyle_0"/>
    <w:link w:val="Normal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UserStyle_1">
    <w:name w:val="ConsPlusNormal"/>
    <w:next w:val="UserStyle_1"/>
    <w:link w:val="UserStyle_2"/>
    <w:pPr>
      <w:widowControl w:val="off"/>
    </w:pPr>
    <w:rPr>
      <w:rFonts w:ascii="Calibri" w:hAnsi="Calibri"/>
      <w:sz w:val="22"/>
      <w:lang w:bidi="ar-SA"/>
    </w:rPr>
  </w:style>
  <w:style w:type="paragraph" w:styleId="UserStyle_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character" w:styleId="UserStyle_4">
    <w:name w:val="Гипертекстовая ссылка"/>
    <w:next w:val="UserStyle_4"/>
    <w:link w:val="Normal"/>
    <w:uiPriority w:val="99"/>
    <w:rPr>
      <w:rFonts w:cs="Times New Roman"/>
      <w:color w:val="106bbe"/>
    </w:rPr>
  </w:style>
  <w:style w:type="character" w:styleId="UserStyle_2">
    <w:name w:val="ConsPlusNormal Знак"/>
    <w:next w:val="UserStyle_2"/>
    <w:link w:val="UserStyle_1"/>
    <w:locked/>
    <w:rPr>
      <w:rFonts w:ascii="Calibri" w:hAnsi="Calibri"/>
      <w:sz w:val="22"/>
      <w:lang w:bidi="ar-SA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character" w:styleId="UserStyle_5">
    <w:name w:val="namedoc"/>
    <w:basedOn w:val="NormalCharacter"/>
    <w:next w:val="UserStyle_5"/>
    <w:link w:val="Normal"/>
  </w:style>
  <w:style w:type="paragraph" w:styleId="UserStyle_6">
    <w:name w:val="headertext"/>
    <w:basedOn w:val="Normal"/>
    <w:next w:val="UserStyle_6"/>
    <w:link w:val="Normal"/>
    <w:pPr>
      <w:spacing w:before="100" w:beforeAutospacing="1" w:after="100" w:afterAutospacing="1"/>
    </w:pPr>
  </w:style>
  <w:style w:type="paragraph" w:styleId="UserStyle_7">
    <w:name w:val="formattext"/>
    <w:basedOn w:val="Normal"/>
    <w:next w:val="UserStyle_7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2645</Characters>
  <CharactersWithSpaces>3103</CharactersWithSpaces>
  <Company>Microsoft</Company>
  <DocSecurity>0</DocSecurity>
  <HyperlinksChanged>false</HyperlinksChanged>
  <Lines>22</Lines>
  <Pages>2</Pages>
  <Paragraphs>6</Paragraphs>
  <ScaleCrop>false</ScaleCrop>
  <SharedDoc>false</SharedDoc>
  <Template>Normal.dotm</Template>
  <Words>464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АРТУР</dc:creator>
  <cp:lastModifiedBy>самаратл</cp:lastModifiedBy>
  <cp:revision>13</cp:revision>
  <dcterms:created xsi:type="dcterms:W3CDTF">2021-10-08T06:28:00Z</dcterms:created>
  <dcterms:modified xsi:type="dcterms:W3CDTF">2025-04-17T06:16:00Z</dcterms:modified>
  <cp:version>786432</cp:version>
</cp:coreProperties>
</file>