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16" w:rsidRDefault="00B14616">
      <w:pPr>
        <w:spacing w:line="276" w:lineRule="auto"/>
        <w:ind w:right="-142"/>
        <w:jc w:val="center"/>
        <w:rPr>
          <w:rFonts w:eastAsia="Arial Unicode MS"/>
          <w:b/>
          <w:sz w:val="26"/>
          <w:szCs w:val="26"/>
        </w:rPr>
      </w:pPr>
      <w:bookmarkStart w:id="0" w:name="_GoBack"/>
      <w:bookmarkEnd w:id="0"/>
    </w:p>
    <w:p w:rsidR="00B14616" w:rsidRDefault="00091430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B14616" w:rsidRDefault="00091430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:rsidR="00B14616" w:rsidRDefault="00B14616">
      <w:pPr>
        <w:spacing w:line="276" w:lineRule="auto"/>
        <w:ind w:right="-142"/>
        <w:jc w:val="center"/>
        <w:rPr>
          <w:sz w:val="26"/>
          <w:szCs w:val="26"/>
        </w:rPr>
      </w:pP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</w:p>
    <w:p w:rsidR="00B14616" w:rsidRDefault="00091430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1 января (к декабрю 2025 года) – 1,7% (в связи увеличением с 1 января ставки НДС с 20% до 22%);</w:t>
      </w:r>
    </w:p>
    <w:p w:rsidR="00B14616" w:rsidRDefault="00091430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:rsidR="00B14616" w:rsidRDefault="00091430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указанным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d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8" w:tooltip="https://admhmao.ru/documents/pravovye-akty/postanovleniya-gubernatora/11900310/" w:history="1">
        <w:r>
          <w:rPr>
            <w:rStyle w:val="af5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>) по всем муниципальным образованиям автономного округа утверждены предельные индексы на 2026 год: с 1 января – 1,7%, с 1 октября от 10,7% до 15,4% (включительно).</w:t>
      </w:r>
    </w:p>
    <w:p w:rsidR="00B14616" w:rsidRDefault="00091430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B14616" w:rsidRDefault="00091430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:rsidR="00B14616" w:rsidRDefault="00091430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:rsidR="00B14616" w:rsidRDefault="000914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:rsidR="00B14616" w:rsidRDefault="00091430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B14616" w:rsidRDefault="00091430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механизмы: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Губернатора Ханты-Мансийского автономного округа – </w:t>
      </w:r>
      <w:proofErr w:type="gramStart"/>
      <w:r>
        <w:rPr>
          <w:sz w:val="26"/>
          <w:szCs w:val="26"/>
        </w:rPr>
        <w:t>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>установлена</w:t>
      </w:r>
      <w:proofErr w:type="gramEnd"/>
      <w:r>
        <w:rPr>
          <w:sz w:val="26"/>
          <w:szCs w:val="26"/>
        </w:rPr>
        <w:t xml:space="preserve">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округа;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</w:t>
      </w:r>
      <w:proofErr w:type="spellStart"/>
      <w:r>
        <w:rPr>
          <w:sz w:val="26"/>
          <w:szCs w:val="26"/>
        </w:rPr>
        <w:t>ресурсоснабжающим</w:t>
      </w:r>
      <w:proofErr w:type="spellEnd"/>
      <w:r>
        <w:rPr>
          <w:sz w:val="26"/>
          <w:szCs w:val="26"/>
        </w:rPr>
        <w:t xml:space="preserve"> организациям из муниципальных бюджетов;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утвержденных РСТ Югры (возмещение недополученных доходов региональному оператору осуществляется из бюджета автономного округа). 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:rsidR="00B14616" w:rsidRDefault="00091430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Информация об установленных РСТ Югры тарифах на газ, тепловую энергию, холодное водоснабжение, водоотведение, по обращению с ТКО размещена на сайте РСТ Югры в разделе «Документы» в подразделе «Приказы </w:t>
      </w:r>
      <w:proofErr w:type="gramStart"/>
      <w:r>
        <w:rPr>
          <w:rFonts w:eastAsia="Calibri"/>
          <w:sz w:val="26"/>
          <w:szCs w:val="26"/>
        </w:rPr>
        <w:t>службы»/</w:t>
      </w:r>
      <w:proofErr w:type="gramEnd"/>
      <w:r>
        <w:rPr>
          <w:rFonts w:eastAsia="Calibri"/>
          <w:sz w:val="26"/>
          <w:szCs w:val="26"/>
        </w:rPr>
        <w:t xml:space="preserve">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f5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:rsidR="00B14616" w:rsidRDefault="0009143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>установлена программа для расчета платежа за услугу «Обращение с ТКО» (</w:t>
      </w:r>
      <w:hyperlink r:id="rId10" w:tooltip="https://www.yugra-ecology.ru/calculator" w:history="1">
        <w:r>
          <w:rPr>
            <w:rStyle w:val="af5"/>
            <w:rFonts w:eastAsia="Arial Unicode MS"/>
            <w:sz w:val="26"/>
            <w:szCs w:val="26"/>
          </w:rPr>
          <w:t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f5"/>
            <w:rFonts w:eastAsia="Arial Unicode MS"/>
            <w:sz w:val="26"/>
            <w:szCs w:val="26"/>
          </w:rPr>
          <w:t>https://yugra-ecology.ru/documents?id=3fd99214304d98c3610fcc86598d3e530f2b8d3b0c04f2de7b16a531c3e1d179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:rsidR="00B14616" w:rsidRDefault="00091430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>Региональной энергетической комиссии Тюменской области, Ханты-Мансийского автономного округа – Югры, Ямало-Ненецкого 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proofErr w:type="gramStart"/>
        <w:r>
          <w:rPr>
            <w:rStyle w:val="17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</w:t>
      </w:r>
      <w:proofErr w:type="gramEnd"/>
      <w:r>
        <w:rPr>
          <w:rFonts w:eastAsia="Arial Unicode MS"/>
          <w:sz w:val="26"/>
          <w:szCs w:val="26"/>
        </w:rPr>
        <w:t xml:space="preserve"> главной странице «Деятельность», раздел «Нормативные правовые и ненормативные правовые акты».</w:t>
      </w:r>
    </w:p>
    <w:p w:rsidR="00B14616" w:rsidRDefault="00091430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f5"/>
            <w:sz w:val="26"/>
            <w:szCs w:val="26"/>
          </w:rPr>
          <w:t>https://jsn.admhmao.ru/).</w:t>
        </w:r>
      </w:hyperlink>
    </w:p>
    <w:p w:rsidR="00B14616" w:rsidRDefault="00091430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</w:t>
      </w:r>
      <w:proofErr w:type="gramStart"/>
      <w:r>
        <w:rPr>
          <w:rFonts w:eastAsia="Calibri"/>
          <w:sz w:val="26"/>
          <w:szCs w:val="26"/>
        </w:rPr>
        <w:t xml:space="preserve">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proofErr w:type="gramEnd"/>
      <w:r>
        <w:rPr>
          <w:rStyle w:val="af5"/>
          <w:rFonts w:eastAsia="Calibri"/>
          <w:sz w:val="26"/>
          <w:szCs w:val="26"/>
        </w:rPr>
        <w:fldChar w:fldCharType="begin"/>
      </w:r>
      <w:r>
        <w:rPr>
          <w:rStyle w:val="af5"/>
          <w:rFonts w:eastAsia="Calibri"/>
          <w:sz w:val="26"/>
          <w:szCs w:val="26"/>
        </w:rPr>
        <w:instrText xml:space="preserve"> HYPERLINK "https://depjkke.admhmao.ru/contacts/" \o "https://depjkke.admhmao.ru/contacts/" </w:instrText>
      </w:r>
      <w:r>
        <w:rPr>
          <w:rStyle w:val="af5"/>
          <w:rFonts w:eastAsia="Calibri"/>
          <w:sz w:val="26"/>
          <w:szCs w:val="26"/>
        </w:rPr>
        <w:fldChar w:fldCharType="separate"/>
      </w:r>
      <w:r>
        <w:rPr>
          <w:rStyle w:val="af5"/>
          <w:rFonts w:eastAsia="Calibri"/>
          <w:sz w:val="26"/>
          <w:szCs w:val="26"/>
        </w:rPr>
        <w:t>https://depjkke.admhmao.ru/</w:t>
      </w:r>
      <w:r>
        <w:rPr>
          <w:rStyle w:val="af5"/>
          <w:rFonts w:eastAsia="Calibri"/>
          <w:sz w:val="26"/>
          <w:szCs w:val="26"/>
        </w:rPr>
        <w:fldChar w:fldCharType="end"/>
      </w:r>
      <w:r>
        <w:rPr>
          <w:rStyle w:val="af5"/>
          <w:rFonts w:eastAsia="Calibri"/>
          <w:sz w:val="26"/>
          <w:szCs w:val="26"/>
        </w:rPr>
        <w:t>).</w:t>
      </w:r>
    </w:p>
    <w:p w:rsidR="00B14616" w:rsidRDefault="00091430">
      <w:pPr>
        <w:spacing w:line="276" w:lineRule="auto"/>
        <w:ind w:firstLine="851"/>
        <w:jc w:val="both"/>
        <w:rPr>
          <w:rStyle w:val="af5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отходов относится к полномочиям Департамента промышленности Ханты-Мансийского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f5"/>
          <w:color w:val="000000" w:themeColor="text1"/>
          <w:sz w:val="26"/>
          <w:szCs w:val="26"/>
        </w:rPr>
        <w:t xml:space="preserve"> (</w:t>
      </w:r>
      <w:hyperlink r:id="rId14" w:tooltip="https://depprom.admhmao.ru/contacts/" w:history="1">
        <w:r>
          <w:rPr>
            <w:rStyle w:val="af5"/>
            <w:sz w:val="26"/>
            <w:szCs w:val="26"/>
          </w:rPr>
          <w:t>https://depprom.admhmao.ru/</w:t>
        </w:r>
      </w:hyperlink>
      <w:r>
        <w:rPr>
          <w:rStyle w:val="af5"/>
          <w:color w:val="000000" w:themeColor="text1"/>
          <w:sz w:val="26"/>
          <w:szCs w:val="26"/>
        </w:rPr>
        <w:t>).</w:t>
      </w:r>
    </w:p>
    <w:p w:rsidR="00B14616" w:rsidRDefault="00091430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:rsidR="00B14616" w:rsidRDefault="00091430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В соответствии с Законом Ханты-Мансийского автономного округа – </w:t>
      </w:r>
      <w:proofErr w:type="gramStart"/>
      <w:r>
        <w:rPr>
          <w:rFonts w:eastAsia="Calibri"/>
          <w:sz w:val="26"/>
          <w:szCs w:val="26"/>
        </w:rPr>
        <w:t>Югры</w:t>
      </w:r>
      <w:r>
        <w:rPr>
          <w:rFonts w:eastAsia="Calibri"/>
          <w:sz w:val="26"/>
          <w:szCs w:val="26"/>
          <w:vertAlign w:val="superscript"/>
        </w:rPr>
        <w:footnoteReference w:id="5"/>
      </w:r>
      <w:r>
        <w:rPr>
          <w:rFonts w:eastAsia="Calibri"/>
          <w:sz w:val="26"/>
          <w:szCs w:val="26"/>
        </w:rPr>
        <w:t xml:space="preserve">  граждане</w:t>
      </w:r>
      <w:proofErr w:type="gramEnd"/>
      <w:r>
        <w:rPr>
          <w:rFonts w:eastAsia="Calibri"/>
          <w:sz w:val="26"/>
          <w:szCs w:val="26"/>
        </w:rPr>
        <w:t>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B14616" w:rsidRDefault="000914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8-800-301-44-43. Прием вопросов на единую горячую линию осуществляется с 09:00 до 21:00 часов ежедневно.</w:t>
      </w:r>
    </w:p>
    <w:p w:rsidR="00B14616" w:rsidRDefault="00B14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p w:rsidR="00B14616" w:rsidRDefault="00B14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sectPr w:rsidR="00B14616">
      <w:headerReference w:type="default" r:id="rId15"/>
      <w:headerReference w:type="first" r:id="rId16"/>
      <w:footerReference w:type="first" r:id="rId17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8C" w:rsidRDefault="00020B8C">
      <w:r>
        <w:separator/>
      </w:r>
    </w:p>
  </w:endnote>
  <w:endnote w:type="continuationSeparator" w:id="0">
    <w:p w:rsidR="00020B8C" w:rsidRDefault="0002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616" w:rsidRDefault="00B14616">
    <w:pPr>
      <w:pStyle w:val="afc"/>
      <w:jc w:val="center"/>
    </w:pPr>
  </w:p>
  <w:p w:rsidR="00B14616" w:rsidRDefault="00B1461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8C" w:rsidRDefault="00020B8C">
      <w:r>
        <w:separator/>
      </w:r>
    </w:p>
  </w:footnote>
  <w:footnote w:type="continuationSeparator" w:id="0">
    <w:p w:rsidR="00020B8C" w:rsidRDefault="00020B8C">
      <w:r>
        <w:continuationSeparator/>
      </w:r>
    </w:p>
  </w:footnote>
  <w:footnote w:id="1">
    <w:p w:rsidR="00B14616" w:rsidRDefault="00091430">
      <w:pPr>
        <w:pStyle w:val="ab"/>
        <w:jc w:val="both"/>
        <w:rPr>
          <w:bCs/>
        </w:rPr>
      </w:pPr>
      <w:r>
        <w:rPr>
          <w:rStyle w:val="ad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</w:p>
    <w:p w:rsidR="00B14616" w:rsidRDefault="00B14616">
      <w:pPr>
        <w:pStyle w:val="ab"/>
        <w:jc w:val="both"/>
      </w:pPr>
    </w:p>
  </w:footnote>
  <w:footnote w:id="2">
    <w:p w:rsidR="00B14616" w:rsidRDefault="00091430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</w:p>
  </w:footnote>
  <w:footnote w:id="3">
    <w:p w:rsidR="00B14616" w:rsidRDefault="00091430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децентрализации»</w:t>
      </w:r>
      <w:r>
        <w:t xml:space="preserve"> </w:t>
      </w:r>
    </w:p>
  </w:footnote>
  <w:footnote w:id="4">
    <w:p w:rsidR="00B14616" w:rsidRDefault="00091430">
      <w:pPr>
        <w:pStyle w:val="ab"/>
        <w:jc w:val="both"/>
      </w:pPr>
      <w:r>
        <w:rPr>
          <w:rStyle w:val="ad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  <w:footnote w:id="5">
    <w:p w:rsidR="00B14616" w:rsidRDefault="00091430">
      <w:pPr>
        <w:pStyle w:val="ab"/>
        <w:jc w:val="both"/>
        <w:rPr>
          <w:szCs w:val="18"/>
        </w:rPr>
      </w:pPr>
      <w:r>
        <w:rPr>
          <w:rStyle w:val="ad"/>
        </w:rPr>
        <w:footnoteRef/>
      </w:r>
      <w:r>
        <w:t xml:space="preserve"> З</w:t>
      </w:r>
      <w:r>
        <w:rPr>
          <w:rFonts w:eastAsia="Calibri"/>
          <w:szCs w:val="18"/>
        </w:rPr>
        <w:t>акон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616" w:rsidRDefault="00B14616">
    <w:pPr>
      <w:pStyle w:val="afa"/>
      <w:jc w:val="center"/>
    </w:pPr>
  </w:p>
  <w:p w:rsidR="00B14616" w:rsidRDefault="00B1461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616" w:rsidRDefault="00B14616">
    <w:pPr>
      <w:pStyle w:val="afa"/>
      <w:jc w:val="center"/>
    </w:pPr>
  </w:p>
  <w:p w:rsidR="00B14616" w:rsidRDefault="00B1461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0255B"/>
    <w:multiLevelType w:val="hybridMultilevel"/>
    <w:tmpl w:val="8FC895B2"/>
    <w:lvl w:ilvl="0" w:tplc="5D2CD6D6">
      <w:start w:val="1"/>
      <w:numFmt w:val="decimal"/>
      <w:lvlText w:val="%1."/>
      <w:lvlJc w:val="left"/>
      <w:pPr>
        <w:ind w:left="720" w:hanging="360"/>
      </w:pPr>
    </w:lvl>
    <w:lvl w:ilvl="1" w:tplc="79F05294">
      <w:start w:val="1"/>
      <w:numFmt w:val="lowerLetter"/>
      <w:lvlText w:val="%2."/>
      <w:lvlJc w:val="left"/>
      <w:pPr>
        <w:ind w:left="1440" w:hanging="360"/>
      </w:pPr>
    </w:lvl>
    <w:lvl w:ilvl="2" w:tplc="5CC09C1A">
      <w:start w:val="1"/>
      <w:numFmt w:val="lowerRoman"/>
      <w:lvlText w:val="%3."/>
      <w:lvlJc w:val="right"/>
      <w:pPr>
        <w:ind w:left="2160" w:hanging="180"/>
      </w:pPr>
    </w:lvl>
    <w:lvl w:ilvl="3" w:tplc="09DE05E2">
      <w:start w:val="1"/>
      <w:numFmt w:val="decimal"/>
      <w:lvlText w:val="%4."/>
      <w:lvlJc w:val="left"/>
      <w:pPr>
        <w:ind w:left="2880" w:hanging="360"/>
      </w:pPr>
    </w:lvl>
    <w:lvl w:ilvl="4" w:tplc="2D00C7B2">
      <w:start w:val="1"/>
      <w:numFmt w:val="lowerLetter"/>
      <w:lvlText w:val="%5."/>
      <w:lvlJc w:val="left"/>
      <w:pPr>
        <w:ind w:left="3600" w:hanging="360"/>
      </w:pPr>
    </w:lvl>
    <w:lvl w:ilvl="5" w:tplc="7FAE92AA">
      <w:start w:val="1"/>
      <w:numFmt w:val="lowerRoman"/>
      <w:lvlText w:val="%6."/>
      <w:lvlJc w:val="right"/>
      <w:pPr>
        <w:ind w:left="4320" w:hanging="180"/>
      </w:pPr>
    </w:lvl>
    <w:lvl w:ilvl="6" w:tplc="EEBAE2EE">
      <w:start w:val="1"/>
      <w:numFmt w:val="decimal"/>
      <w:lvlText w:val="%7."/>
      <w:lvlJc w:val="left"/>
      <w:pPr>
        <w:ind w:left="5040" w:hanging="360"/>
      </w:pPr>
    </w:lvl>
    <w:lvl w:ilvl="7" w:tplc="74820394">
      <w:start w:val="1"/>
      <w:numFmt w:val="lowerLetter"/>
      <w:lvlText w:val="%8."/>
      <w:lvlJc w:val="left"/>
      <w:pPr>
        <w:ind w:left="5760" w:hanging="360"/>
      </w:pPr>
    </w:lvl>
    <w:lvl w:ilvl="8" w:tplc="C87CBD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17E5B"/>
    <w:multiLevelType w:val="hybridMultilevel"/>
    <w:tmpl w:val="5DA62280"/>
    <w:lvl w:ilvl="0" w:tplc="EC3EAE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6CE73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00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AC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A6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4A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4D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AC8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24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B2AC2"/>
    <w:multiLevelType w:val="hybridMultilevel"/>
    <w:tmpl w:val="40EC30B8"/>
    <w:lvl w:ilvl="0" w:tplc="4A981784">
      <w:start w:val="1"/>
      <w:numFmt w:val="decimal"/>
      <w:lvlText w:val="%1."/>
      <w:lvlJc w:val="left"/>
      <w:pPr>
        <w:ind w:left="1260" w:hanging="360"/>
      </w:pPr>
    </w:lvl>
    <w:lvl w:ilvl="1" w:tplc="72021A42">
      <w:start w:val="1"/>
      <w:numFmt w:val="lowerLetter"/>
      <w:lvlText w:val="%2."/>
      <w:lvlJc w:val="left"/>
      <w:pPr>
        <w:ind w:left="1980" w:hanging="360"/>
      </w:pPr>
    </w:lvl>
    <w:lvl w:ilvl="2" w:tplc="B3568EF4">
      <w:start w:val="1"/>
      <w:numFmt w:val="lowerRoman"/>
      <w:lvlText w:val="%3."/>
      <w:lvlJc w:val="right"/>
      <w:pPr>
        <w:ind w:left="2700" w:hanging="180"/>
      </w:pPr>
    </w:lvl>
    <w:lvl w:ilvl="3" w:tplc="CFAA56C4">
      <w:start w:val="1"/>
      <w:numFmt w:val="decimal"/>
      <w:lvlText w:val="%4."/>
      <w:lvlJc w:val="left"/>
      <w:pPr>
        <w:ind w:left="3420" w:hanging="360"/>
      </w:pPr>
    </w:lvl>
    <w:lvl w:ilvl="4" w:tplc="159E8E70">
      <w:start w:val="1"/>
      <w:numFmt w:val="lowerLetter"/>
      <w:lvlText w:val="%5."/>
      <w:lvlJc w:val="left"/>
      <w:pPr>
        <w:ind w:left="4140" w:hanging="360"/>
      </w:pPr>
    </w:lvl>
    <w:lvl w:ilvl="5" w:tplc="EC507978">
      <w:start w:val="1"/>
      <w:numFmt w:val="lowerRoman"/>
      <w:lvlText w:val="%6."/>
      <w:lvlJc w:val="right"/>
      <w:pPr>
        <w:ind w:left="4860" w:hanging="180"/>
      </w:pPr>
    </w:lvl>
    <w:lvl w:ilvl="6" w:tplc="6DBC4F60">
      <w:start w:val="1"/>
      <w:numFmt w:val="decimal"/>
      <w:lvlText w:val="%7."/>
      <w:lvlJc w:val="left"/>
      <w:pPr>
        <w:ind w:left="5580" w:hanging="360"/>
      </w:pPr>
    </w:lvl>
    <w:lvl w:ilvl="7" w:tplc="85626E26">
      <w:start w:val="1"/>
      <w:numFmt w:val="lowerLetter"/>
      <w:lvlText w:val="%8."/>
      <w:lvlJc w:val="left"/>
      <w:pPr>
        <w:ind w:left="6300" w:hanging="360"/>
      </w:pPr>
    </w:lvl>
    <w:lvl w:ilvl="8" w:tplc="2AC64068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8B73074"/>
    <w:multiLevelType w:val="hybridMultilevel"/>
    <w:tmpl w:val="2C9235B2"/>
    <w:lvl w:ilvl="0" w:tplc="661A832A">
      <w:start w:val="1"/>
      <w:numFmt w:val="decimal"/>
      <w:lvlText w:val="%1."/>
      <w:lvlJc w:val="left"/>
      <w:pPr>
        <w:ind w:left="1428" w:hanging="360"/>
      </w:pPr>
    </w:lvl>
    <w:lvl w:ilvl="1" w:tplc="8556C21A">
      <w:start w:val="1"/>
      <w:numFmt w:val="lowerLetter"/>
      <w:lvlText w:val="%2."/>
      <w:lvlJc w:val="left"/>
      <w:pPr>
        <w:ind w:left="2148" w:hanging="360"/>
      </w:pPr>
    </w:lvl>
    <w:lvl w:ilvl="2" w:tplc="1A44E412">
      <w:start w:val="1"/>
      <w:numFmt w:val="lowerRoman"/>
      <w:lvlText w:val="%3."/>
      <w:lvlJc w:val="right"/>
      <w:pPr>
        <w:ind w:left="2868" w:hanging="180"/>
      </w:pPr>
    </w:lvl>
    <w:lvl w:ilvl="3" w:tplc="01C2CF98">
      <w:start w:val="1"/>
      <w:numFmt w:val="decimal"/>
      <w:lvlText w:val="%4."/>
      <w:lvlJc w:val="left"/>
      <w:pPr>
        <w:ind w:left="3588" w:hanging="360"/>
      </w:pPr>
    </w:lvl>
    <w:lvl w:ilvl="4" w:tplc="9314E830">
      <w:start w:val="1"/>
      <w:numFmt w:val="lowerLetter"/>
      <w:lvlText w:val="%5."/>
      <w:lvlJc w:val="left"/>
      <w:pPr>
        <w:ind w:left="4308" w:hanging="360"/>
      </w:pPr>
    </w:lvl>
    <w:lvl w:ilvl="5" w:tplc="10FCDDAE">
      <w:start w:val="1"/>
      <w:numFmt w:val="lowerRoman"/>
      <w:lvlText w:val="%6."/>
      <w:lvlJc w:val="right"/>
      <w:pPr>
        <w:ind w:left="5028" w:hanging="180"/>
      </w:pPr>
    </w:lvl>
    <w:lvl w:ilvl="6" w:tplc="0AFA8458">
      <w:start w:val="1"/>
      <w:numFmt w:val="decimal"/>
      <w:lvlText w:val="%7."/>
      <w:lvlJc w:val="left"/>
      <w:pPr>
        <w:ind w:left="5748" w:hanging="360"/>
      </w:pPr>
    </w:lvl>
    <w:lvl w:ilvl="7" w:tplc="BCE895AA">
      <w:start w:val="1"/>
      <w:numFmt w:val="lowerLetter"/>
      <w:lvlText w:val="%8."/>
      <w:lvlJc w:val="left"/>
      <w:pPr>
        <w:ind w:left="6468" w:hanging="360"/>
      </w:pPr>
    </w:lvl>
    <w:lvl w:ilvl="8" w:tplc="14F42BC6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8752BCF"/>
    <w:multiLevelType w:val="hybridMultilevel"/>
    <w:tmpl w:val="9B9C318E"/>
    <w:lvl w:ilvl="0" w:tplc="8244FD78">
      <w:start w:val="1"/>
      <w:numFmt w:val="decimal"/>
      <w:lvlText w:val="%1."/>
      <w:lvlJc w:val="left"/>
      <w:pPr>
        <w:ind w:left="720" w:hanging="360"/>
      </w:pPr>
    </w:lvl>
    <w:lvl w:ilvl="1" w:tplc="87D4496C">
      <w:start w:val="1"/>
      <w:numFmt w:val="lowerLetter"/>
      <w:lvlText w:val="%2."/>
      <w:lvlJc w:val="left"/>
      <w:pPr>
        <w:ind w:left="1440" w:hanging="360"/>
      </w:pPr>
    </w:lvl>
    <w:lvl w:ilvl="2" w:tplc="3A8451FE">
      <w:start w:val="1"/>
      <w:numFmt w:val="lowerRoman"/>
      <w:lvlText w:val="%3."/>
      <w:lvlJc w:val="right"/>
      <w:pPr>
        <w:ind w:left="2160" w:hanging="180"/>
      </w:pPr>
    </w:lvl>
    <w:lvl w:ilvl="3" w:tplc="CF58D8FC">
      <w:start w:val="1"/>
      <w:numFmt w:val="decimal"/>
      <w:lvlText w:val="%4."/>
      <w:lvlJc w:val="left"/>
      <w:pPr>
        <w:ind w:left="2880" w:hanging="360"/>
      </w:pPr>
    </w:lvl>
    <w:lvl w:ilvl="4" w:tplc="BD588562">
      <w:start w:val="1"/>
      <w:numFmt w:val="lowerLetter"/>
      <w:lvlText w:val="%5."/>
      <w:lvlJc w:val="left"/>
      <w:pPr>
        <w:ind w:left="3600" w:hanging="360"/>
      </w:pPr>
    </w:lvl>
    <w:lvl w:ilvl="5" w:tplc="A2BC992E">
      <w:start w:val="1"/>
      <w:numFmt w:val="lowerRoman"/>
      <w:lvlText w:val="%6."/>
      <w:lvlJc w:val="right"/>
      <w:pPr>
        <w:ind w:left="4320" w:hanging="180"/>
      </w:pPr>
    </w:lvl>
    <w:lvl w:ilvl="6" w:tplc="2998F1E2">
      <w:start w:val="1"/>
      <w:numFmt w:val="decimal"/>
      <w:lvlText w:val="%7."/>
      <w:lvlJc w:val="left"/>
      <w:pPr>
        <w:ind w:left="5040" w:hanging="360"/>
      </w:pPr>
    </w:lvl>
    <w:lvl w:ilvl="7" w:tplc="06AE829E">
      <w:start w:val="1"/>
      <w:numFmt w:val="lowerLetter"/>
      <w:lvlText w:val="%8."/>
      <w:lvlJc w:val="left"/>
      <w:pPr>
        <w:ind w:left="5760" w:hanging="360"/>
      </w:pPr>
    </w:lvl>
    <w:lvl w:ilvl="8" w:tplc="6C962B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73E8F"/>
    <w:multiLevelType w:val="hybridMultilevel"/>
    <w:tmpl w:val="5B96E156"/>
    <w:lvl w:ilvl="0" w:tplc="59580EDA">
      <w:start w:val="1"/>
      <w:numFmt w:val="decimal"/>
      <w:lvlText w:val="%1."/>
      <w:lvlJc w:val="left"/>
      <w:pPr>
        <w:ind w:left="720" w:hanging="360"/>
      </w:pPr>
    </w:lvl>
    <w:lvl w:ilvl="1" w:tplc="399802B2">
      <w:start w:val="1"/>
      <w:numFmt w:val="lowerLetter"/>
      <w:lvlText w:val="%2."/>
      <w:lvlJc w:val="left"/>
      <w:pPr>
        <w:ind w:left="1440" w:hanging="360"/>
      </w:pPr>
    </w:lvl>
    <w:lvl w:ilvl="2" w:tplc="A7005B4A">
      <w:start w:val="1"/>
      <w:numFmt w:val="lowerRoman"/>
      <w:lvlText w:val="%3."/>
      <w:lvlJc w:val="right"/>
      <w:pPr>
        <w:ind w:left="2160" w:hanging="180"/>
      </w:pPr>
    </w:lvl>
    <w:lvl w:ilvl="3" w:tplc="908E135E">
      <w:start w:val="1"/>
      <w:numFmt w:val="decimal"/>
      <w:lvlText w:val="%4."/>
      <w:lvlJc w:val="left"/>
      <w:pPr>
        <w:ind w:left="2880" w:hanging="360"/>
      </w:pPr>
    </w:lvl>
    <w:lvl w:ilvl="4" w:tplc="4C04BA72">
      <w:start w:val="1"/>
      <w:numFmt w:val="lowerLetter"/>
      <w:lvlText w:val="%5."/>
      <w:lvlJc w:val="left"/>
      <w:pPr>
        <w:ind w:left="3600" w:hanging="360"/>
      </w:pPr>
    </w:lvl>
    <w:lvl w:ilvl="5" w:tplc="5EA07B42">
      <w:start w:val="1"/>
      <w:numFmt w:val="lowerRoman"/>
      <w:lvlText w:val="%6."/>
      <w:lvlJc w:val="right"/>
      <w:pPr>
        <w:ind w:left="4320" w:hanging="180"/>
      </w:pPr>
    </w:lvl>
    <w:lvl w:ilvl="6" w:tplc="145A0FDC">
      <w:start w:val="1"/>
      <w:numFmt w:val="decimal"/>
      <w:lvlText w:val="%7."/>
      <w:lvlJc w:val="left"/>
      <w:pPr>
        <w:ind w:left="5040" w:hanging="360"/>
      </w:pPr>
    </w:lvl>
    <w:lvl w:ilvl="7" w:tplc="E102B726">
      <w:start w:val="1"/>
      <w:numFmt w:val="lowerLetter"/>
      <w:lvlText w:val="%8."/>
      <w:lvlJc w:val="left"/>
      <w:pPr>
        <w:ind w:left="5760" w:hanging="360"/>
      </w:pPr>
    </w:lvl>
    <w:lvl w:ilvl="8" w:tplc="D80CC56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53A88"/>
    <w:multiLevelType w:val="multilevel"/>
    <w:tmpl w:val="206E8E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7">
    <w:nsid w:val="6B932EDC"/>
    <w:multiLevelType w:val="multilevel"/>
    <w:tmpl w:val="553439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8">
    <w:nsid w:val="70180B7F"/>
    <w:multiLevelType w:val="hybridMultilevel"/>
    <w:tmpl w:val="635C5034"/>
    <w:lvl w:ilvl="0" w:tplc="4E36D660">
      <w:start w:val="1"/>
      <w:numFmt w:val="decimal"/>
      <w:lvlText w:val="%1."/>
      <w:lvlJc w:val="left"/>
      <w:pPr>
        <w:ind w:left="360" w:hanging="360"/>
      </w:pPr>
    </w:lvl>
    <w:lvl w:ilvl="1" w:tplc="E2E61358">
      <w:start w:val="1"/>
      <w:numFmt w:val="lowerLetter"/>
      <w:lvlText w:val="%2."/>
      <w:lvlJc w:val="left"/>
      <w:pPr>
        <w:ind w:left="1080" w:hanging="360"/>
      </w:pPr>
    </w:lvl>
    <w:lvl w:ilvl="2" w:tplc="66B82AD6">
      <w:start w:val="1"/>
      <w:numFmt w:val="lowerRoman"/>
      <w:lvlText w:val="%3."/>
      <w:lvlJc w:val="right"/>
      <w:pPr>
        <w:ind w:left="1800" w:hanging="180"/>
      </w:pPr>
    </w:lvl>
    <w:lvl w:ilvl="3" w:tplc="9F8E8E4C">
      <w:start w:val="1"/>
      <w:numFmt w:val="decimal"/>
      <w:lvlText w:val="%4."/>
      <w:lvlJc w:val="left"/>
      <w:pPr>
        <w:ind w:left="2520" w:hanging="360"/>
      </w:pPr>
    </w:lvl>
    <w:lvl w:ilvl="4" w:tplc="82405B3E">
      <w:start w:val="1"/>
      <w:numFmt w:val="lowerLetter"/>
      <w:lvlText w:val="%5."/>
      <w:lvlJc w:val="left"/>
      <w:pPr>
        <w:ind w:left="3240" w:hanging="360"/>
      </w:pPr>
    </w:lvl>
    <w:lvl w:ilvl="5" w:tplc="E2DEEB3E">
      <w:start w:val="1"/>
      <w:numFmt w:val="lowerRoman"/>
      <w:lvlText w:val="%6."/>
      <w:lvlJc w:val="right"/>
      <w:pPr>
        <w:ind w:left="3960" w:hanging="180"/>
      </w:pPr>
    </w:lvl>
    <w:lvl w:ilvl="6" w:tplc="4DDE9B28">
      <w:start w:val="1"/>
      <w:numFmt w:val="decimal"/>
      <w:lvlText w:val="%7."/>
      <w:lvlJc w:val="left"/>
      <w:pPr>
        <w:ind w:left="4680" w:hanging="360"/>
      </w:pPr>
    </w:lvl>
    <w:lvl w:ilvl="7" w:tplc="E034B624">
      <w:start w:val="1"/>
      <w:numFmt w:val="lowerLetter"/>
      <w:lvlText w:val="%8."/>
      <w:lvlJc w:val="left"/>
      <w:pPr>
        <w:ind w:left="5400" w:hanging="360"/>
      </w:pPr>
    </w:lvl>
    <w:lvl w:ilvl="8" w:tplc="2C8C5E7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A00B5A"/>
    <w:multiLevelType w:val="hybridMultilevel"/>
    <w:tmpl w:val="75443D92"/>
    <w:lvl w:ilvl="0" w:tplc="63C62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AE5F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E020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E8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44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ED6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F06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029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C64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16"/>
    <w:rsid w:val="00020B8C"/>
    <w:rsid w:val="00091430"/>
    <w:rsid w:val="0091553D"/>
    <w:rsid w:val="009654E8"/>
    <w:rsid w:val="00B14616"/>
    <w:rsid w:val="00F6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BD0B2-E817-4905-B624-2BB96565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">
    <w:name w:val="Название1"/>
    <w:basedOn w:val="a"/>
    <w:link w:val="af4"/>
    <w:qFormat/>
    <w:pPr>
      <w:jc w:val="center"/>
    </w:pPr>
    <w:rPr>
      <w:sz w:val="28"/>
      <w:szCs w:val="20"/>
    </w:rPr>
  </w:style>
  <w:style w:type="character" w:customStyle="1" w:styleId="af4">
    <w:name w:val="Название Знак"/>
    <w:link w:val="14"/>
    <w:rPr>
      <w:sz w:val="28"/>
    </w:rPr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Pr>
      <w:sz w:val="24"/>
      <w:szCs w:val="24"/>
    </w:rPr>
  </w:style>
  <w:style w:type="character" w:customStyle="1" w:styleId="25">
    <w:name w:val="Основной текст (2)_"/>
    <w:link w:val="26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5">
    <w:name w:val="Заголовок №1_"/>
    <w:link w:val="16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7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prom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CE16-18E8-4784-BE4F-3E443BDF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User</cp:lastModifiedBy>
  <cp:revision>3</cp:revision>
  <dcterms:created xsi:type="dcterms:W3CDTF">2026-03-19T04:13:00Z</dcterms:created>
  <dcterms:modified xsi:type="dcterms:W3CDTF">2026-03-19T04:45:00Z</dcterms:modified>
</cp:coreProperties>
</file>