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892D3E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92D3E" w:rsidRDefault="00D865CE" w:rsidP="00C937B2">
            <w:pPr>
              <w:rPr>
                <w:sz w:val="28"/>
                <w:szCs w:val="28"/>
              </w:rPr>
            </w:pPr>
            <w:r w:rsidRPr="00892D3E">
              <w:rPr>
                <w:sz w:val="28"/>
                <w:szCs w:val="28"/>
              </w:rPr>
              <w:t xml:space="preserve">от </w:t>
            </w:r>
            <w:r w:rsidR="00C937B2" w:rsidRPr="00892D3E">
              <w:rPr>
                <w:sz w:val="28"/>
                <w:szCs w:val="28"/>
              </w:rPr>
              <w:t>10</w:t>
            </w:r>
            <w:r w:rsidR="00572A3A" w:rsidRPr="00892D3E">
              <w:rPr>
                <w:sz w:val="28"/>
                <w:szCs w:val="28"/>
              </w:rPr>
              <w:t xml:space="preserve"> </w:t>
            </w:r>
            <w:r w:rsidR="00C937B2" w:rsidRPr="00892D3E">
              <w:rPr>
                <w:sz w:val="28"/>
                <w:szCs w:val="28"/>
              </w:rPr>
              <w:t>марта</w:t>
            </w:r>
            <w:r w:rsidR="00CB45C2" w:rsidRPr="00892D3E">
              <w:rPr>
                <w:sz w:val="28"/>
                <w:szCs w:val="28"/>
              </w:rPr>
              <w:t xml:space="preserve"> </w:t>
            </w:r>
            <w:r w:rsidR="00C306BE" w:rsidRPr="00892D3E">
              <w:rPr>
                <w:sz w:val="28"/>
                <w:szCs w:val="28"/>
              </w:rPr>
              <w:t>202</w:t>
            </w:r>
            <w:r w:rsidR="0098193C" w:rsidRPr="00892D3E">
              <w:rPr>
                <w:sz w:val="28"/>
                <w:szCs w:val="28"/>
              </w:rPr>
              <w:t>6</w:t>
            </w:r>
            <w:r w:rsidR="00387035" w:rsidRPr="00892D3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92D3E" w:rsidRDefault="00387035" w:rsidP="00710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92D3E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92D3E" w:rsidRDefault="005F085B" w:rsidP="007100B6">
            <w:pPr>
              <w:jc w:val="right"/>
              <w:rPr>
                <w:sz w:val="28"/>
                <w:szCs w:val="28"/>
              </w:rPr>
            </w:pPr>
            <w:r w:rsidRPr="00892D3E">
              <w:rPr>
                <w:sz w:val="28"/>
                <w:szCs w:val="28"/>
              </w:rPr>
              <w:t xml:space="preserve">№ </w:t>
            </w:r>
            <w:r w:rsidR="00892D3E">
              <w:rPr>
                <w:sz w:val="28"/>
                <w:szCs w:val="28"/>
              </w:rPr>
              <w:t>49</w:t>
            </w:r>
            <w:r w:rsidR="00387035" w:rsidRPr="00892D3E">
              <w:rPr>
                <w:sz w:val="28"/>
                <w:szCs w:val="28"/>
              </w:rPr>
              <w:t>-п</w:t>
            </w:r>
          </w:p>
        </w:tc>
      </w:tr>
      <w:tr w:rsidR="00387035" w:rsidRPr="00892D3E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92D3E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92D3E" w:rsidRDefault="00387035" w:rsidP="007100B6">
            <w:pPr>
              <w:jc w:val="center"/>
              <w:rPr>
                <w:sz w:val="28"/>
                <w:szCs w:val="28"/>
              </w:rPr>
            </w:pPr>
            <w:r w:rsidRPr="00892D3E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892D3E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892D3E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892D3E" w:rsidTr="00CB774B">
        <w:tc>
          <w:tcPr>
            <w:tcW w:w="6062" w:type="dxa"/>
          </w:tcPr>
          <w:p w:rsidR="00892D3E" w:rsidRPr="00892D3E" w:rsidRDefault="00892D3E" w:rsidP="00892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2D3E">
              <w:rPr>
                <w:sz w:val="28"/>
                <w:szCs w:val="28"/>
              </w:rPr>
              <w:t>Об установлении публичного сервитута</w:t>
            </w:r>
          </w:p>
          <w:p w:rsidR="00387035" w:rsidRPr="00892D3E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92D3E" w:rsidRPr="00892D3E" w:rsidRDefault="00892D3E" w:rsidP="0089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3E">
        <w:rPr>
          <w:sz w:val="28"/>
          <w:szCs w:val="28"/>
        </w:rPr>
        <w:t xml:space="preserve">В соответствии со статьей 23, главой V.7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на основании ходатайства акционерного общества «Югорская региональная электросетевая компания», </w:t>
      </w:r>
      <w:r w:rsidRPr="00892D3E">
        <w:rPr>
          <w:b/>
          <w:sz w:val="28"/>
          <w:szCs w:val="28"/>
        </w:rPr>
        <w:t>администрация городского поселения Междуреченский постановляет:</w:t>
      </w:r>
      <w:r w:rsidRPr="00892D3E">
        <w:rPr>
          <w:sz w:val="28"/>
          <w:szCs w:val="28"/>
        </w:rPr>
        <w:t xml:space="preserve"> </w:t>
      </w:r>
    </w:p>
    <w:p w:rsidR="00892D3E" w:rsidRPr="00892D3E" w:rsidRDefault="00892D3E" w:rsidP="0089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3E">
        <w:rPr>
          <w:sz w:val="28"/>
          <w:szCs w:val="28"/>
        </w:rPr>
        <w:t xml:space="preserve">1. Установить в интересах акционерного общества «Югорская региональная электросетевая компания» (ИНН 8601045152, </w:t>
      </w:r>
      <w:r>
        <w:rPr>
          <w:sz w:val="28"/>
          <w:szCs w:val="28"/>
        </w:rPr>
        <w:br/>
      </w:r>
      <w:r w:rsidRPr="00892D3E">
        <w:rPr>
          <w:sz w:val="28"/>
          <w:szCs w:val="28"/>
        </w:rPr>
        <w:t>ОГРН 1118601002596) в целях размещения сооружения коммунального хозяйства «ЛЭП-0,4 кВ для электроснабжения МКД с электрическими плитами по ул. Строителей в пгт. Междуреченский Кондинского района (ЛЭП-0,4 кВ ориентировочной протяженностью 0,2 км, РЩ-0,4 кВ)» публичный сервитут, площадью 258,22 кв.</w:t>
      </w:r>
      <w:r>
        <w:rPr>
          <w:sz w:val="28"/>
          <w:szCs w:val="28"/>
        </w:rPr>
        <w:t xml:space="preserve"> </w:t>
      </w:r>
      <w:r w:rsidRPr="00892D3E">
        <w:rPr>
          <w:sz w:val="28"/>
          <w:szCs w:val="28"/>
        </w:rPr>
        <w:t xml:space="preserve">м, в границах кадастрового квартала 86:01:0401009, </w:t>
      </w:r>
      <w:r>
        <w:rPr>
          <w:sz w:val="28"/>
          <w:szCs w:val="28"/>
        </w:rPr>
        <w:br/>
      </w:r>
      <w:r w:rsidRPr="00892D3E">
        <w:rPr>
          <w:sz w:val="28"/>
          <w:szCs w:val="28"/>
        </w:rPr>
        <w:t xml:space="preserve">на землях, государственная собственность на которые не разграничена, </w:t>
      </w:r>
      <w:r>
        <w:rPr>
          <w:sz w:val="28"/>
          <w:szCs w:val="28"/>
        </w:rPr>
        <w:br/>
      </w:r>
      <w:r w:rsidRPr="00892D3E">
        <w:rPr>
          <w:sz w:val="28"/>
          <w:szCs w:val="28"/>
        </w:rPr>
        <w:t>и на частях земельных участков с кадастровыми номерами и адресами</w:t>
      </w:r>
      <w:r>
        <w:rPr>
          <w:sz w:val="28"/>
          <w:szCs w:val="28"/>
        </w:rPr>
        <w:t xml:space="preserve"> (приложение 1).</w:t>
      </w:r>
    </w:p>
    <w:p w:rsidR="00892D3E" w:rsidRPr="00892D3E" w:rsidRDefault="00892D3E" w:rsidP="0089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3E">
        <w:rPr>
          <w:sz w:val="28"/>
          <w:szCs w:val="28"/>
        </w:rPr>
        <w:t xml:space="preserve">2. Сведения о границах публичного сервитута </w:t>
      </w:r>
      <w:r>
        <w:rPr>
          <w:sz w:val="28"/>
          <w:szCs w:val="28"/>
        </w:rPr>
        <w:t>(</w:t>
      </w:r>
      <w:r>
        <w:rPr>
          <w:sz w:val="28"/>
          <w:szCs w:val="28"/>
        </w:rPr>
        <w:t>приложение 2</w:t>
      </w:r>
      <w:r>
        <w:rPr>
          <w:sz w:val="28"/>
          <w:szCs w:val="28"/>
        </w:rPr>
        <w:t>).</w:t>
      </w:r>
    </w:p>
    <w:p w:rsidR="00892D3E" w:rsidRPr="00892D3E" w:rsidRDefault="00892D3E" w:rsidP="0089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3E">
        <w:rPr>
          <w:sz w:val="28"/>
          <w:szCs w:val="28"/>
        </w:rPr>
        <w:t>3. Публичный сервитут устанавливается на срок 20 лет.</w:t>
      </w:r>
    </w:p>
    <w:p w:rsidR="00892D3E" w:rsidRPr="00892D3E" w:rsidRDefault="00892D3E" w:rsidP="0089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3E">
        <w:rPr>
          <w:sz w:val="28"/>
          <w:szCs w:val="28"/>
        </w:rPr>
        <w:t>4. Срок, в течение которого использование частей земельных участков в соответствии с их разрешенным использованием будет невозможно или существенно затруднено в св</w:t>
      </w:r>
      <w:r>
        <w:rPr>
          <w:sz w:val="28"/>
          <w:szCs w:val="28"/>
        </w:rPr>
        <w:t>язи с осуществлением сервитута -</w:t>
      </w:r>
      <w:r w:rsidRPr="00892D3E">
        <w:rPr>
          <w:sz w:val="28"/>
          <w:szCs w:val="28"/>
        </w:rPr>
        <w:t xml:space="preserve"> 4 месяца.</w:t>
      </w:r>
    </w:p>
    <w:p w:rsidR="00892D3E" w:rsidRPr="00892D3E" w:rsidRDefault="00892D3E" w:rsidP="0089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3E">
        <w:rPr>
          <w:sz w:val="28"/>
          <w:szCs w:val="28"/>
        </w:rPr>
        <w:t xml:space="preserve">5. Акционерное общество «Югорская региональная электросетевая компания» обязано привести земли и части земельных участков, на которые установлен публичный сервитут, в состояние пригодное для дальнейшего  использования в соответствии с разрешенным использованием, в срок </w:t>
      </w:r>
      <w:r>
        <w:rPr>
          <w:sz w:val="28"/>
          <w:szCs w:val="28"/>
        </w:rPr>
        <w:br/>
      </w:r>
      <w:r w:rsidRPr="00892D3E">
        <w:rPr>
          <w:sz w:val="28"/>
          <w:szCs w:val="28"/>
        </w:rPr>
        <w:t>не позднее чем три месяца после размещения объектов электросетевого хозяйства, а также снести объекты, размещенные им на основании публичного сервитута,  и осуществить  при необходимости рекультивацию земель и частей земельных участков в срок не позднее чем шесть месяцев с момента прекращения публичного сервитута.</w:t>
      </w:r>
    </w:p>
    <w:p w:rsidR="00892D3E" w:rsidRPr="00892D3E" w:rsidRDefault="00892D3E" w:rsidP="0089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3E">
        <w:rPr>
          <w:sz w:val="28"/>
          <w:szCs w:val="28"/>
        </w:rPr>
        <w:t xml:space="preserve">6. </w:t>
      </w:r>
      <w:r w:rsidRPr="00892D3E">
        <w:rPr>
          <w:sz w:val="28"/>
          <w:szCs w:val="28"/>
        </w:rPr>
        <w:t>Обнародовать постановление в соответствии с решением Совета депутатов городского поселения Междуреченский от 28 апреля 2017 года</w:t>
      </w:r>
      <w:r>
        <w:rPr>
          <w:sz w:val="28"/>
          <w:szCs w:val="28"/>
        </w:rPr>
        <w:br/>
      </w:r>
      <w:r w:rsidRPr="00892D3E">
        <w:rPr>
          <w:sz w:val="28"/>
          <w:szCs w:val="28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892D3E" w:rsidRPr="00892D3E" w:rsidRDefault="00892D3E" w:rsidP="0089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3E">
        <w:rPr>
          <w:sz w:val="28"/>
          <w:szCs w:val="28"/>
        </w:rPr>
        <w:t>7. Контроль за выполнением постановления оставляю за собой.</w:t>
      </w:r>
    </w:p>
    <w:p w:rsidR="004E472A" w:rsidRPr="00892D3E" w:rsidRDefault="004E472A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74B" w:rsidRPr="00892D3E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D3E" w:rsidRPr="00892D3E" w:rsidRDefault="00892D3E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4E472A" w:rsidRPr="00892D3E" w:rsidTr="00D56192">
        <w:tc>
          <w:tcPr>
            <w:tcW w:w="4492" w:type="dxa"/>
          </w:tcPr>
          <w:p w:rsidR="004E472A" w:rsidRPr="00892D3E" w:rsidRDefault="004E472A" w:rsidP="00D56192">
            <w:pPr>
              <w:jc w:val="both"/>
              <w:rPr>
                <w:sz w:val="28"/>
                <w:szCs w:val="28"/>
              </w:rPr>
            </w:pPr>
            <w:r w:rsidRPr="00892D3E">
              <w:rPr>
                <w:sz w:val="28"/>
                <w:szCs w:val="28"/>
              </w:rPr>
              <w:t xml:space="preserve">Исполняющий обязанности </w:t>
            </w:r>
          </w:p>
          <w:p w:rsidR="004E472A" w:rsidRPr="00892D3E" w:rsidRDefault="004E472A" w:rsidP="00D56192">
            <w:pPr>
              <w:rPr>
                <w:color w:val="000000"/>
                <w:sz w:val="28"/>
                <w:szCs w:val="28"/>
              </w:rPr>
            </w:pPr>
            <w:r w:rsidRPr="00892D3E">
              <w:rPr>
                <w:sz w:val="28"/>
                <w:szCs w:val="28"/>
              </w:rPr>
              <w:t>главы городского поселения Междуреченский</w:t>
            </w:r>
          </w:p>
        </w:tc>
        <w:tc>
          <w:tcPr>
            <w:tcW w:w="1736" w:type="dxa"/>
          </w:tcPr>
          <w:p w:rsidR="004E472A" w:rsidRPr="00892D3E" w:rsidRDefault="004E472A" w:rsidP="00D561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4E472A" w:rsidRPr="00892D3E" w:rsidRDefault="004E472A" w:rsidP="00D56192">
            <w:pPr>
              <w:ind w:left="2327"/>
              <w:jc w:val="right"/>
              <w:rPr>
                <w:sz w:val="28"/>
                <w:szCs w:val="28"/>
              </w:rPr>
            </w:pPr>
          </w:p>
          <w:p w:rsidR="004E472A" w:rsidRPr="00892D3E" w:rsidRDefault="004E472A" w:rsidP="00D56192">
            <w:pPr>
              <w:ind w:left="1335"/>
              <w:jc w:val="right"/>
              <w:rPr>
                <w:sz w:val="28"/>
                <w:szCs w:val="28"/>
              </w:rPr>
            </w:pPr>
          </w:p>
          <w:p w:rsidR="004E472A" w:rsidRPr="00892D3E" w:rsidRDefault="004E472A" w:rsidP="00D56192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892D3E">
              <w:rPr>
                <w:sz w:val="28"/>
                <w:szCs w:val="28"/>
              </w:rPr>
              <w:t>Н.П.Копысов</w:t>
            </w:r>
          </w:p>
        </w:tc>
      </w:tr>
    </w:tbl>
    <w:p w:rsidR="00CB774B" w:rsidRDefault="00CB774B"/>
    <w:p w:rsidR="00CB774B" w:rsidRDefault="00CB774B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892D3E" w:rsidRDefault="00892D3E"/>
    <w:p w:rsidR="00CB774B" w:rsidRDefault="00CB774B"/>
    <w:p w:rsidR="004C52BE" w:rsidRDefault="004C52BE" w:rsidP="004C52B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98193C">
        <w:rPr>
          <w:color w:val="000000"/>
          <w:sz w:val="16"/>
          <w:szCs w:val="16"/>
        </w:rPr>
        <w:t>нк документов/Постановления 2026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</w:t>
      </w:r>
      <w:r w:rsidR="00892D3E">
        <w:t xml:space="preserve">1 </w:t>
      </w:r>
      <w:r w:rsidRPr="001D4512">
        <w:t xml:space="preserve">к постановлению 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BA2594" w:rsidRPr="001D4512" w:rsidRDefault="00A62239" w:rsidP="00BA2594">
      <w:pPr>
        <w:ind w:left="4962"/>
      </w:pPr>
      <w:r>
        <w:t xml:space="preserve">от </w:t>
      </w:r>
      <w:r w:rsidR="00C937B2">
        <w:t>10</w:t>
      </w:r>
      <w:r w:rsidR="005C7C2A">
        <w:t>.</w:t>
      </w:r>
      <w:r w:rsidR="0098193C">
        <w:t>0</w:t>
      </w:r>
      <w:r w:rsidR="00C937B2">
        <w:t>3</w:t>
      </w:r>
      <w:r w:rsidR="0098193C">
        <w:t>.</w:t>
      </w:r>
      <w:r w:rsidR="00BA2594">
        <w:t>202</w:t>
      </w:r>
      <w:r w:rsidR="0098193C">
        <w:t>6</w:t>
      </w:r>
      <w:r w:rsidR="00BA2594">
        <w:t xml:space="preserve"> № </w:t>
      </w:r>
      <w:r w:rsidR="00892D3E">
        <w:t>49</w:t>
      </w:r>
      <w:r w:rsidR="00BA2594" w:rsidRPr="001D4512">
        <w:t>-п</w:t>
      </w:r>
    </w:p>
    <w:p w:rsidR="00892D3E" w:rsidRPr="00892D3E" w:rsidRDefault="00892D3E" w:rsidP="00892D3E">
      <w:pPr>
        <w:pStyle w:val="a8"/>
        <w:jc w:val="right"/>
        <w:rPr>
          <w:sz w:val="24"/>
          <w:szCs w:val="24"/>
        </w:rPr>
      </w:pPr>
    </w:p>
    <w:p w:rsidR="00892D3E" w:rsidRPr="00892D3E" w:rsidRDefault="00892D3E" w:rsidP="00892D3E">
      <w:pPr>
        <w:ind w:firstLine="708"/>
        <w:jc w:val="center"/>
      </w:pPr>
      <w:r w:rsidRPr="00892D3E">
        <w:t>Кадастровые номера и адреса земель и части земельных участков, на которые устанавливается публичный сервитут в целях размещения сооружения коммунального хозяйства «ЛЭП-0,4 кВ для электроснабжения МКД с электрическими плитами по ул. Строителей в пгт. Междуреченский Кондинского района (ЛЭП-0,4 кВ ориентировочной протяженностью 0,2 км, РЩ-0,4 кВ)» на территории пгт. Междуреченский</w:t>
      </w:r>
    </w:p>
    <w:p w:rsidR="00892D3E" w:rsidRPr="00892D3E" w:rsidRDefault="00892D3E" w:rsidP="00892D3E">
      <w:pPr>
        <w:jc w:val="center"/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5"/>
        <w:gridCol w:w="1705"/>
        <w:gridCol w:w="2268"/>
        <w:gridCol w:w="1559"/>
        <w:gridCol w:w="954"/>
      </w:tblGrid>
      <w:tr w:rsidR="00892D3E" w:rsidRPr="00892D3E" w:rsidTr="00EC28BE">
        <w:trPr>
          <w:trHeight w:val="68"/>
        </w:trPr>
        <w:tc>
          <w:tcPr>
            <w:tcW w:w="199" w:type="pct"/>
            <w:hideMark/>
          </w:tcPr>
          <w:p w:rsidR="00892D3E" w:rsidRPr="00892D3E" w:rsidRDefault="00892D3E" w:rsidP="00EC28BE">
            <w:pPr>
              <w:ind w:left="-113" w:firstLine="51"/>
              <w:jc w:val="center"/>
              <w:rPr>
                <w:iCs/>
                <w:sz w:val="18"/>
                <w:szCs w:val="18"/>
              </w:rPr>
            </w:pPr>
            <w:r w:rsidRPr="00892D3E">
              <w:rPr>
                <w:iCs/>
                <w:sz w:val="18"/>
                <w:szCs w:val="18"/>
              </w:rPr>
              <w:t>№</w:t>
            </w:r>
          </w:p>
        </w:tc>
        <w:tc>
          <w:tcPr>
            <w:tcW w:w="863" w:type="pct"/>
            <w:hideMark/>
          </w:tcPr>
          <w:p w:rsidR="00892D3E" w:rsidRPr="00892D3E" w:rsidRDefault="00892D3E" w:rsidP="004868BA">
            <w:pPr>
              <w:ind w:firstLine="33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647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Кадастровый квартал </w:t>
            </w:r>
          </w:p>
        </w:tc>
        <w:tc>
          <w:tcPr>
            <w:tcW w:w="865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1151" w:type="pct"/>
            <w:hideMark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Местоположение </w:t>
            </w:r>
          </w:p>
        </w:tc>
        <w:tc>
          <w:tcPr>
            <w:tcW w:w="791" w:type="pct"/>
            <w:hideMark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Категория земель/</w:t>
            </w:r>
            <w:r>
              <w:rPr>
                <w:sz w:val="18"/>
                <w:szCs w:val="18"/>
              </w:rPr>
              <w:t>в</w:t>
            </w:r>
            <w:r w:rsidRPr="00892D3E">
              <w:rPr>
                <w:sz w:val="18"/>
                <w:szCs w:val="18"/>
              </w:rPr>
              <w:t xml:space="preserve">ид разрешенного </w:t>
            </w:r>
          </w:p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использования</w:t>
            </w:r>
          </w:p>
        </w:tc>
        <w:tc>
          <w:tcPr>
            <w:tcW w:w="484" w:type="pct"/>
          </w:tcPr>
          <w:p w:rsidR="00892D3E" w:rsidRPr="00892D3E" w:rsidRDefault="00892D3E" w:rsidP="00892D3E">
            <w:pPr>
              <w:ind w:left="-74" w:right="-52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Площадь, кв.</w:t>
            </w:r>
            <w:r>
              <w:rPr>
                <w:sz w:val="18"/>
                <w:szCs w:val="18"/>
              </w:rPr>
              <w:t xml:space="preserve"> </w:t>
            </w:r>
            <w:r w:rsidRPr="00892D3E">
              <w:rPr>
                <w:sz w:val="18"/>
                <w:szCs w:val="18"/>
              </w:rPr>
              <w:t>м</w:t>
            </w:r>
          </w:p>
        </w:tc>
      </w:tr>
      <w:tr w:rsidR="00892D3E" w:rsidRPr="00892D3E" w:rsidTr="00EC28BE">
        <w:trPr>
          <w:trHeight w:val="68"/>
        </w:trPr>
        <w:tc>
          <w:tcPr>
            <w:tcW w:w="199" w:type="pct"/>
          </w:tcPr>
          <w:p w:rsidR="00892D3E" w:rsidRPr="00892D3E" w:rsidRDefault="00892D3E" w:rsidP="00EC28BE">
            <w:pPr>
              <w:ind w:left="-113" w:firstLine="51"/>
              <w:jc w:val="center"/>
              <w:rPr>
                <w:iCs/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63" w:type="pct"/>
            <w:vMerge w:val="restart"/>
          </w:tcPr>
          <w:p w:rsidR="00892D3E" w:rsidRPr="00892D3E" w:rsidRDefault="00892D3E" w:rsidP="00892D3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Гп. Междуреченский</w:t>
            </w:r>
          </w:p>
        </w:tc>
        <w:tc>
          <w:tcPr>
            <w:tcW w:w="647" w:type="pct"/>
            <w:vMerge w:val="restart"/>
          </w:tcPr>
          <w:p w:rsidR="00892D3E" w:rsidRPr="00892D3E" w:rsidRDefault="00892D3E" w:rsidP="00EC28BE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92D3E">
              <w:rPr>
                <w:sz w:val="18"/>
                <w:szCs w:val="18"/>
              </w:rPr>
              <w:t>86:01:0401009</w:t>
            </w:r>
          </w:p>
        </w:tc>
        <w:tc>
          <w:tcPr>
            <w:tcW w:w="865" w:type="pct"/>
          </w:tcPr>
          <w:p w:rsidR="00892D3E" w:rsidRPr="00892D3E" w:rsidRDefault="00892D3E" w:rsidP="00EC28BE">
            <w:pPr>
              <w:ind w:left="-107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-</w:t>
            </w:r>
          </w:p>
        </w:tc>
        <w:tc>
          <w:tcPr>
            <w:tcW w:w="1151" w:type="pct"/>
          </w:tcPr>
          <w:p w:rsidR="00EC28B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Ханты-Мансийский автономный округ </w:t>
            </w:r>
            <w:r w:rsidR="00EC28BE">
              <w:rPr>
                <w:sz w:val="18"/>
                <w:szCs w:val="18"/>
              </w:rPr>
              <w:t xml:space="preserve">– </w:t>
            </w:r>
            <w:r w:rsidRPr="00892D3E">
              <w:rPr>
                <w:sz w:val="18"/>
                <w:szCs w:val="18"/>
              </w:rPr>
              <w:t>Югра, Кондинский район,</w:t>
            </w:r>
          </w:p>
          <w:p w:rsidR="00892D3E" w:rsidRPr="00892D3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пгт.</w:t>
            </w:r>
            <w:r w:rsidR="00EC28BE">
              <w:rPr>
                <w:sz w:val="18"/>
                <w:szCs w:val="18"/>
              </w:rPr>
              <w:t xml:space="preserve"> </w:t>
            </w:r>
            <w:r w:rsidRPr="00892D3E">
              <w:rPr>
                <w:sz w:val="18"/>
                <w:szCs w:val="18"/>
              </w:rPr>
              <w:t>Междуреченский</w:t>
            </w:r>
          </w:p>
        </w:tc>
        <w:tc>
          <w:tcPr>
            <w:tcW w:w="791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484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16,56</w:t>
            </w:r>
          </w:p>
        </w:tc>
      </w:tr>
      <w:tr w:rsidR="00892D3E" w:rsidRPr="00892D3E" w:rsidTr="00EC28BE">
        <w:trPr>
          <w:trHeight w:val="68"/>
        </w:trPr>
        <w:tc>
          <w:tcPr>
            <w:tcW w:w="199" w:type="pct"/>
          </w:tcPr>
          <w:p w:rsidR="00892D3E" w:rsidRPr="00892D3E" w:rsidRDefault="00892D3E" w:rsidP="00EC28BE">
            <w:pPr>
              <w:ind w:left="-113" w:firstLine="51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63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:rsidR="00892D3E" w:rsidRPr="00892D3E" w:rsidRDefault="00892D3E" w:rsidP="00EC28BE">
            <w:pPr>
              <w:ind w:left="-107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86:01:0401009:212</w:t>
            </w:r>
          </w:p>
        </w:tc>
        <w:tc>
          <w:tcPr>
            <w:tcW w:w="1151" w:type="pct"/>
          </w:tcPr>
          <w:p w:rsidR="00EC28BE" w:rsidRDefault="00EC28B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Ханты-Мансийский автономный округ </w:t>
            </w:r>
            <w:r>
              <w:rPr>
                <w:sz w:val="18"/>
                <w:szCs w:val="18"/>
              </w:rPr>
              <w:t xml:space="preserve">– </w:t>
            </w:r>
            <w:r w:rsidRPr="00892D3E">
              <w:rPr>
                <w:sz w:val="18"/>
                <w:szCs w:val="18"/>
              </w:rPr>
              <w:t>Югра</w:t>
            </w:r>
            <w:r w:rsidR="00892D3E" w:rsidRPr="00892D3E">
              <w:rPr>
                <w:sz w:val="18"/>
                <w:szCs w:val="18"/>
              </w:rPr>
              <w:t xml:space="preserve">, Кондинский район, </w:t>
            </w:r>
          </w:p>
          <w:p w:rsidR="00EC28B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пгт. Междуреченский, </w:t>
            </w:r>
          </w:p>
          <w:p w:rsidR="00892D3E" w:rsidRPr="00892D3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ул. Строителей, д.</w:t>
            </w:r>
            <w:r w:rsidR="00EC28BE">
              <w:rPr>
                <w:sz w:val="18"/>
                <w:szCs w:val="18"/>
              </w:rPr>
              <w:t xml:space="preserve"> </w:t>
            </w:r>
            <w:r w:rsidRPr="00892D3E">
              <w:rPr>
                <w:sz w:val="18"/>
                <w:szCs w:val="18"/>
              </w:rPr>
              <w:t>6</w:t>
            </w:r>
          </w:p>
        </w:tc>
        <w:tc>
          <w:tcPr>
            <w:tcW w:w="791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Земли населенных пунктов/жилая застройка</w:t>
            </w:r>
          </w:p>
        </w:tc>
        <w:tc>
          <w:tcPr>
            <w:tcW w:w="484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6,98</w:t>
            </w:r>
          </w:p>
        </w:tc>
      </w:tr>
      <w:tr w:rsidR="00892D3E" w:rsidRPr="00892D3E" w:rsidTr="00EC28BE">
        <w:trPr>
          <w:trHeight w:val="68"/>
        </w:trPr>
        <w:tc>
          <w:tcPr>
            <w:tcW w:w="199" w:type="pct"/>
          </w:tcPr>
          <w:p w:rsidR="00892D3E" w:rsidRPr="00892D3E" w:rsidRDefault="00892D3E" w:rsidP="00EC28BE">
            <w:pPr>
              <w:ind w:left="-113" w:firstLine="51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63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:rsidR="00892D3E" w:rsidRPr="00892D3E" w:rsidRDefault="00892D3E" w:rsidP="00EC28BE">
            <w:pPr>
              <w:ind w:left="-107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86:01:0401009:1212</w:t>
            </w:r>
          </w:p>
        </w:tc>
        <w:tc>
          <w:tcPr>
            <w:tcW w:w="1151" w:type="pct"/>
          </w:tcPr>
          <w:p w:rsidR="00EC28BE" w:rsidRDefault="00EC28B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Ханты-Мансийский автономный округ </w:t>
            </w:r>
            <w:r>
              <w:rPr>
                <w:sz w:val="18"/>
                <w:szCs w:val="18"/>
              </w:rPr>
              <w:t xml:space="preserve">– </w:t>
            </w:r>
            <w:r w:rsidRPr="00892D3E">
              <w:rPr>
                <w:sz w:val="18"/>
                <w:szCs w:val="18"/>
              </w:rPr>
              <w:t>Югра</w:t>
            </w:r>
            <w:r w:rsidR="00892D3E" w:rsidRPr="00892D3E">
              <w:rPr>
                <w:sz w:val="18"/>
                <w:szCs w:val="18"/>
              </w:rPr>
              <w:t xml:space="preserve">, Кондинский р-н, </w:t>
            </w:r>
          </w:p>
          <w:p w:rsidR="00EC28B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пгт. Междуреченский, </w:t>
            </w:r>
          </w:p>
          <w:p w:rsidR="00892D3E" w:rsidRPr="00892D3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пер. Маневровый </w:t>
            </w:r>
          </w:p>
        </w:tc>
        <w:tc>
          <w:tcPr>
            <w:tcW w:w="791" w:type="pct"/>
            <w:noWrap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Земли населенных пунктов/ земельные участки (территории) общего пользования</w:t>
            </w:r>
          </w:p>
        </w:tc>
        <w:tc>
          <w:tcPr>
            <w:tcW w:w="484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14,06</w:t>
            </w:r>
          </w:p>
        </w:tc>
      </w:tr>
      <w:tr w:rsidR="00892D3E" w:rsidRPr="00892D3E" w:rsidTr="00EC28BE">
        <w:trPr>
          <w:trHeight w:val="68"/>
        </w:trPr>
        <w:tc>
          <w:tcPr>
            <w:tcW w:w="199" w:type="pct"/>
          </w:tcPr>
          <w:p w:rsidR="00892D3E" w:rsidRPr="00892D3E" w:rsidRDefault="00892D3E" w:rsidP="00EC28BE">
            <w:pPr>
              <w:ind w:left="-113" w:firstLine="51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63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:rsidR="00892D3E" w:rsidRPr="00892D3E" w:rsidRDefault="00892D3E" w:rsidP="00EC28BE">
            <w:pPr>
              <w:ind w:left="-107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86:01:0401009:218</w:t>
            </w:r>
          </w:p>
        </w:tc>
        <w:tc>
          <w:tcPr>
            <w:tcW w:w="1151" w:type="pct"/>
          </w:tcPr>
          <w:p w:rsidR="00EC28BE" w:rsidRDefault="00EC28B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Ханты-Мансийский автономный округ </w:t>
            </w:r>
            <w:r>
              <w:rPr>
                <w:sz w:val="18"/>
                <w:szCs w:val="18"/>
              </w:rPr>
              <w:t xml:space="preserve">– </w:t>
            </w:r>
            <w:r w:rsidRPr="00892D3E">
              <w:rPr>
                <w:sz w:val="18"/>
                <w:szCs w:val="18"/>
              </w:rPr>
              <w:t>Югра</w:t>
            </w:r>
            <w:r w:rsidR="00892D3E" w:rsidRPr="00892D3E">
              <w:rPr>
                <w:sz w:val="18"/>
                <w:szCs w:val="18"/>
              </w:rPr>
              <w:t>, Кондинский район,</w:t>
            </w:r>
          </w:p>
          <w:p w:rsidR="00EC28B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пгт. Междуреченский, </w:t>
            </w:r>
          </w:p>
          <w:p w:rsidR="00892D3E" w:rsidRPr="00892D3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ул. Строителей, д.</w:t>
            </w:r>
            <w:r w:rsidR="00EC28BE">
              <w:rPr>
                <w:sz w:val="18"/>
                <w:szCs w:val="18"/>
              </w:rPr>
              <w:t xml:space="preserve"> </w:t>
            </w:r>
            <w:r w:rsidRPr="00892D3E">
              <w:rPr>
                <w:sz w:val="18"/>
                <w:szCs w:val="18"/>
              </w:rPr>
              <w:t>8</w:t>
            </w:r>
          </w:p>
        </w:tc>
        <w:tc>
          <w:tcPr>
            <w:tcW w:w="791" w:type="pct"/>
            <w:noWrap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Земли населенных пунктов/жилая застройка</w:t>
            </w:r>
          </w:p>
        </w:tc>
        <w:tc>
          <w:tcPr>
            <w:tcW w:w="484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95</w:t>
            </w:r>
          </w:p>
        </w:tc>
      </w:tr>
      <w:tr w:rsidR="00892D3E" w:rsidRPr="00892D3E" w:rsidTr="00EC28BE">
        <w:trPr>
          <w:trHeight w:val="68"/>
        </w:trPr>
        <w:tc>
          <w:tcPr>
            <w:tcW w:w="199" w:type="pct"/>
          </w:tcPr>
          <w:p w:rsidR="00892D3E" w:rsidRPr="00892D3E" w:rsidRDefault="00892D3E" w:rsidP="00EC28BE">
            <w:pPr>
              <w:ind w:left="-113" w:firstLine="51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63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:rsidR="00892D3E" w:rsidRPr="00892D3E" w:rsidRDefault="00892D3E" w:rsidP="00EC28BE">
            <w:pPr>
              <w:ind w:left="-107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86:01:0401009:219</w:t>
            </w:r>
          </w:p>
        </w:tc>
        <w:tc>
          <w:tcPr>
            <w:tcW w:w="1151" w:type="pct"/>
          </w:tcPr>
          <w:p w:rsidR="00EC28BE" w:rsidRDefault="00EC28B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Ханты-Мансийский автономный округ </w:t>
            </w:r>
            <w:r>
              <w:rPr>
                <w:sz w:val="18"/>
                <w:szCs w:val="18"/>
              </w:rPr>
              <w:t xml:space="preserve">– </w:t>
            </w:r>
            <w:r w:rsidRPr="00892D3E">
              <w:rPr>
                <w:sz w:val="18"/>
                <w:szCs w:val="18"/>
              </w:rPr>
              <w:t>Югра</w:t>
            </w:r>
            <w:r w:rsidR="00892D3E" w:rsidRPr="00892D3E">
              <w:rPr>
                <w:sz w:val="18"/>
                <w:szCs w:val="18"/>
              </w:rPr>
              <w:t xml:space="preserve">, Кондинский район, </w:t>
            </w:r>
          </w:p>
          <w:p w:rsidR="00EC28B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пгт. Междуреченский, </w:t>
            </w:r>
          </w:p>
          <w:p w:rsidR="00892D3E" w:rsidRPr="00892D3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ул. Строителей, д.</w:t>
            </w:r>
            <w:r w:rsidR="00EC28BE">
              <w:rPr>
                <w:sz w:val="18"/>
                <w:szCs w:val="18"/>
              </w:rPr>
              <w:t xml:space="preserve"> </w:t>
            </w:r>
            <w:r w:rsidRPr="00892D3E">
              <w:rPr>
                <w:sz w:val="18"/>
                <w:szCs w:val="18"/>
              </w:rPr>
              <w:t>10</w:t>
            </w:r>
          </w:p>
        </w:tc>
        <w:tc>
          <w:tcPr>
            <w:tcW w:w="791" w:type="pct"/>
            <w:noWrap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Земли населенных пунктов/жилая застройка</w:t>
            </w:r>
          </w:p>
        </w:tc>
        <w:tc>
          <w:tcPr>
            <w:tcW w:w="484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69,53</w:t>
            </w:r>
          </w:p>
        </w:tc>
      </w:tr>
      <w:tr w:rsidR="00892D3E" w:rsidRPr="00892D3E" w:rsidTr="00EC28BE">
        <w:trPr>
          <w:trHeight w:val="68"/>
        </w:trPr>
        <w:tc>
          <w:tcPr>
            <w:tcW w:w="199" w:type="pct"/>
          </w:tcPr>
          <w:p w:rsidR="00892D3E" w:rsidRPr="00892D3E" w:rsidRDefault="00892D3E" w:rsidP="00EC28BE">
            <w:pPr>
              <w:ind w:left="-113" w:firstLine="51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63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:rsidR="00892D3E" w:rsidRPr="00892D3E" w:rsidRDefault="00892D3E" w:rsidP="00EC28BE">
            <w:pPr>
              <w:ind w:left="-107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86:01:0401009:221</w:t>
            </w:r>
          </w:p>
        </w:tc>
        <w:tc>
          <w:tcPr>
            <w:tcW w:w="1151" w:type="pct"/>
          </w:tcPr>
          <w:p w:rsidR="00EC28BE" w:rsidRDefault="00EC28B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Ханты-Мансийский автономный округ </w:t>
            </w:r>
            <w:r>
              <w:rPr>
                <w:sz w:val="18"/>
                <w:szCs w:val="18"/>
              </w:rPr>
              <w:t xml:space="preserve">– </w:t>
            </w:r>
            <w:r w:rsidRPr="00892D3E">
              <w:rPr>
                <w:sz w:val="18"/>
                <w:szCs w:val="18"/>
              </w:rPr>
              <w:t>Югра</w:t>
            </w:r>
            <w:r w:rsidR="00892D3E" w:rsidRPr="00892D3E">
              <w:rPr>
                <w:sz w:val="18"/>
                <w:szCs w:val="18"/>
              </w:rPr>
              <w:t xml:space="preserve">, Кондинский район, </w:t>
            </w:r>
          </w:p>
          <w:p w:rsidR="00EC28B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 xml:space="preserve">пгт. Междуреченский, </w:t>
            </w:r>
          </w:p>
          <w:p w:rsidR="00892D3E" w:rsidRPr="00892D3E" w:rsidRDefault="00892D3E" w:rsidP="00EC28BE">
            <w:pPr>
              <w:ind w:left="-111" w:right="-105"/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ул. Строителей, д.</w:t>
            </w:r>
            <w:r w:rsidR="00EC28BE">
              <w:rPr>
                <w:sz w:val="18"/>
                <w:szCs w:val="18"/>
              </w:rPr>
              <w:t xml:space="preserve"> </w:t>
            </w:r>
            <w:r w:rsidRPr="00892D3E">
              <w:rPr>
                <w:sz w:val="18"/>
                <w:szCs w:val="18"/>
              </w:rPr>
              <w:t>12</w:t>
            </w:r>
          </w:p>
        </w:tc>
        <w:tc>
          <w:tcPr>
            <w:tcW w:w="791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Земли населенных пунктов/жилая застройка</w:t>
            </w:r>
          </w:p>
        </w:tc>
        <w:tc>
          <w:tcPr>
            <w:tcW w:w="484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56,09</w:t>
            </w:r>
          </w:p>
        </w:tc>
      </w:tr>
      <w:tr w:rsidR="00892D3E" w:rsidRPr="00892D3E" w:rsidTr="00EC28BE">
        <w:trPr>
          <w:trHeight w:val="68"/>
        </w:trPr>
        <w:tc>
          <w:tcPr>
            <w:tcW w:w="4516" w:type="pct"/>
            <w:gridSpan w:val="6"/>
          </w:tcPr>
          <w:p w:rsidR="00892D3E" w:rsidRPr="00892D3E" w:rsidRDefault="00892D3E" w:rsidP="00EC2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84" w:type="pct"/>
          </w:tcPr>
          <w:p w:rsidR="00892D3E" w:rsidRPr="00892D3E" w:rsidRDefault="00892D3E" w:rsidP="004868BA">
            <w:pPr>
              <w:jc w:val="center"/>
              <w:rPr>
                <w:sz w:val="18"/>
                <w:szCs w:val="18"/>
              </w:rPr>
            </w:pPr>
            <w:r w:rsidRPr="00892D3E">
              <w:rPr>
                <w:sz w:val="18"/>
                <w:szCs w:val="18"/>
              </w:rPr>
              <w:t>258,22</w:t>
            </w:r>
          </w:p>
        </w:tc>
      </w:tr>
    </w:tbl>
    <w:p w:rsidR="00892D3E" w:rsidRDefault="00892D3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EC28BE" w:rsidRDefault="00EC28BE" w:rsidP="00892D3E">
      <w:pPr>
        <w:jc w:val="center"/>
        <w:rPr>
          <w:sz w:val="26"/>
          <w:szCs w:val="26"/>
        </w:rPr>
      </w:pPr>
    </w:p>
    <w:p w:rsidR="00EC28BE" w:rsidRDefault="00EC28B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892D3E" w:rsidRDefault="00892D3E" w:rsidP="00892D3E">
      <w:pPr>
        <w:jc w:val="center"/>
        <w:rPr>
          <w:sz w:val="26"/>
          <w:szCs w:val="26"/>
        </w:rPr>
      </w:pPr>
    </w:p>
    <w:p w:rsidR="00892D3E" w:rsidRPr="001D4512" w:rsidRDefault="00892D3E" w:rsidP="00892D3E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</w:t>
      </w:r>
      <w:r>
        <w:t>2</w:t>
      </w:r>
      <w:r>
        <w:t xml:space="preserve"> </w:t>
      </w:r>
      <w:r w:rsidRPr="001D4512">
        <w:t xml:space="preserve">к постановлению </w:t>
      </w:r>
    </w:p>
    <w:p w:rsidR="00892D3E" w:rsidRPr="001D4512" w:rsidRDefault="00892D3E" w:rsidP="00892D3E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892D3E" w:rsidRPr="001D4512" w:rsidRDefault="00892D3E" w:rsidP="00892D3E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892D3E" w:rsidRPr="001D4512" w:rsidRDefault="00892D3E" w:rsidP="00892D3E">
      <w:pPr>
        <w:ind w:left="4962"/>
      </w:pPr>
      <w:r>
        <w:t>от 10.03.2026 № 49</w:t>
      </w:r>
      <w:r w:rsidRPr="001D4512">
        <w:t>-п</w:t>
      </w:r>
    </w:p>
    <w:p w:rsidR="00892D3E" w:rsidRPr="00EC28BE" w:rsidRDefault="00892D3E" w:rsidP="00EC28BE">
      <w:pPr>
        <w:jc w:val="center"/>
      </w:pPr>
    </w:p>
    <w:p w:rsidR="00EC28BE" w:rsidRDefault="00892D3E" w:rsidP="00EC28BE">
      <w:pPr>
        <w:jc w:val="center"/>
      </w:pPr>
      <w:r w:rsidRPr="00EC28BE">
        <w:t xml:space="preserve">Сведения о границах публичного сервитута в целях размещения сооружения коммунального хозяйства «ЛЭП-0,4 кВ для электроснабжения МКД с электрическими плитами </w:t>
      </w:r>
    </w:p>
    <w:p w:rsidR="00892D3E" w:rsidRPr="00EC28BE" w:rsidRDefault="00892D3E" w:rsidP="00EC28BE">
      <w:pPr>
        <w:jc w:val="center"/>
      </w:pPr>
      <w:r w:rsidRPr="00EC28BE">
        <w:t>по ул. Строителей в пгт. Междуреченский Кондинского района (ЛЭП-0,4 кВ ориентировочной протяженностью 0,2 км, РЩ-0,4 кВ)» на территории пгт. Междуреченский</w:t>
      </w:r>
    </w:p>
    <w:p w:rsidR="00892D3E" w:rsidRPr="00EC28BE" w:rsidRDefault="00892D3E" w:rsidP="00EC28BE">
      <w:pPr>
        <w:jc w:val="center"/>
      </w:pPr>
    </w:p>
    <w:tbl>
      <w:tblPr>
        <w:tblW w:w="9836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75"/>
        <w:gridCol w:w="1599"/>
        <w:gridCol w:w="1987"/>
        <w:gridCol w:w="2412"/>
        <w:gridCol w:w="2463"/>
      </w:tblGrid>
      <w:tr w:rsidR="00892D3E" w:rsidRPr="00531D0B" w:rsidTr="004868BA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2D3E" w:rsidRPr="00531D0B" w:rsidRDefault="00892D3E" w:rsidP="004868BA">
            <w:pPr>
              <w:jc w:val="center"/>
              <w:rPr>
                <w:snapToGrid w:val="0"/>
                <w:sz w:val="22"/>
                <w:szCs w:val="22"/>
              </w:rPr>
            </w:pPr>
            <w:bookmarkStart w:id="0" w:name="Объект_6"/>
            <w:bookmarkEnd w:id="0"/>
            <w:r w:rsidRPr="00531D0B">
              <w:rPr>
                <w:snapToGrid w:val="0"/>
                <w:sz w:val="22"/>
                <w:szCs w:val="22"/>
              </w:rPr>
              <w:t>Описание границ публичного сервитута</w:t>
            </w:r>
          </w:p>
          <w:p w:rsidR="00892D3E" w:rsidRPr="00531D0B" w:rsidRDefault="00892D3E" w:rsidP="004868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Объект: «ЛЭП-0,4 кВ для электроснабжения МКД с электрическими плитами по ул. Строителей в пгт. Междуреченский Кондинского района (ЛЭП-0,4 кВ ориентировочной протяженностью 0,2 км, РЩ-0,4 кВ)»</w:t>
            </w:r>
          </w:p>
        </w:tc>
      </w:tr>
      <w:tr w:rsidR="00892D3E" w:rsidRPr="00531D0B" w:rsidTr="004868BA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2D3E" w:rsidRPr="00531D0B" w:rsidRDefault="00892D3E" w:rsidP="004868BA">
            <w:pPr>
              <w:jc w:val="both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Местоположение публичного сервитута Ханты-Мансийский автономный округ-Югра, Кондинский район, пгт.Междуреченский, ул.Строителей</w:t>
            </w:r>
          </w:p>
        </w:tc>
      </w:tr>
      <w:tr w:rsidR="00892D3E" w:rsidRPr="00531D0B" w:rsidTr="004868BA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2D3E" w:rsidRPr="00531D0B" w:rsidRDefault="00892D3E" w:rsidP="004868BA">
            <w:pPr>
              <w:rPr>
                <w:snapToGrid w:val="0"/>
                <w:sz w:val="22"/>
                <w:szCs w:val="22"/>
              </w:rPr>
            </w:pPr>
            <w:r w:rsidRPr="00531D0B">
              <w:rPr>
                <w:snapToGrid w:val="0"/>
                <w:sz w:val="22"/>
                <w:szCs w:val="22"/>
              </w:rPr>
              <w:t xml:space="preserve"> Система координат </w:t>
            </w:r>
            <w:bookmarkStart w:id="1" w:name="Система_координат_1"/>
            <w:bookmarkEnd w:id="1"/>
            <w:r w:rsidRPr="00531D0B">
              <w:rPr>
                <w:snapToGrid w:val="0"/>
                <w:sz w:val="22"/>
                <w:szCs w:val="22"/>
              </w:rPr>
              <w:t>МСК86_Зона_2</w:t>
            </w:r>
          </w:p>
        </w:tc>
      </w:tr>
      <w:tr w:rsidR="00892D3E" w:rsidRPr="00531D0B" w:rsidTr="004868BA">
        <w:tblPrEx>
          <w:shd w:val="clear" w:color="auto" w:fill="auto"/>
        </w:tblPrEx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2D3E" w:rsidRPr="00531D0B" w:rsidRDefault="00892D3E" w:rsidP="004868BA">
            <w:pPr>
              <w:rPr>
                <w:snapToGrid w:val="0"/>
                <w:sz w:val="22"/>
                <w:szCs w:val="22"/>
              </w:rPr>
            </w:pPr>
            <w:r w:rsidRPr="00531D0B">
              <w:rPr>
                <w:snapToGrid w:val="0"/>
                <w:sz w:val="22"/>
                <w:szCs w:val="22"/>
              </w:rPr>
              <w:t>Перечень характерных точек границ публичного сервитута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40"/>
          <w:jc w:val="center"/>
        </w:trPr>
        <w:tc>
          <w:tcPr>
            <w:tcW w:w="699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color w:val="FF0000"/>
                <w:sz w:val="22"/>
                <w:szCs w:val="22"/>
              </w:rPr>
              <w:br w:type="page"/>
            </w:r>
            <w:r w:rsidRPr="00531D0B">
              <w:rPr>
                <w:sz w:val="22"/>
                <w:szCs w:val="22"/>
              </w:rPr>
              <w:t>Обозначение характерных точек границы</w:t>
            </w:r>
          </w:p>
        </w:tc>
        <w:tc>
          <w:tcPr>
            <w:tcW w:w="18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Координаты, м</w:t>
            </w:r>
          </w:p>
        </w:tc>
        <w:tc>
          <w:tcPr>
            <w:tcW w:w="1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252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Описание закрепления точки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40"/>
          <w:jc w:val="center"/>
        </w:trPr>
        <w:tc>
          <w:tcPr>
            <w:tcW w:w="699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X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Y</w:t>
            </w:r>
          </w:p>
        </w:tc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794868,23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2492639,69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794869,09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2492639,19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794869,09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2492638,18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794868,45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2492637,70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794864,97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2492636,93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794861,99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2492636,27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794855,14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2492634,74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794852,84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2492634,24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794848,56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2492633,29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794846,50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2492618,17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794845,80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2492615,29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794841,96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2492616,22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794842,66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2492619,09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794844,64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2492618,61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794846,66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2492634,26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794846,78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2492634,62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794847,44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2492635,10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794848,92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2492635,42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794855,66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2492636,91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794862,51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2492638,44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794866,03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2492639,23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794868,01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2492639,67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794868,23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2492639,69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794711,85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2492649,28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794717,25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2492648,15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794716,49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2492644,49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794712,71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2492645,30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794703,00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2492630,90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794702,18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2492630,46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794701,30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2492630,96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794701,30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2492631,95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794701,34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2492632,01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794711,33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2492646,83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794711,85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2492649,28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794757,60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2492638,68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794761,44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2492637,76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794760,74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2492634,86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794760,40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2492634,94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794757,94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2492618,81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794757,82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2492618,45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794756,96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2492617,97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794756,08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2492618,45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794755,96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2492619,11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794758,44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2492635,42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794756,90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2492635,79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33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794757,60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2492638,68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794823,36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2492623,56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794827,20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2492622,61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794826,50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2492619,74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794825,54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2492619,98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794821,48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2492604,13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794821,38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2492603,89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794820,50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2492603,39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794819,63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2492603,89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794819,53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2492604,64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794823,60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2492620,42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794822,66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2492620,66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44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794823,36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2492623,56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794782,38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2492632,95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794786,23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2492632,03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794785,53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2492629,13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794781,68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2492630,06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794782,38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2492632,95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794740,55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2492642,54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60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794744,39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2492641,62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61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794743,69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2492638,74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62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794739,85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2492639,67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  <w:tr w:rsidR="00892D3E" w:rsidRPr="00531D0B" w:rsidTr="00EC28BE">
        <w:tblPrEx>
          <w:shd w:val="clear" w:color="auto" w:fill="auto"/>
        </w:tblPrEx>
        <w:trPr>
          <w:cantSplit/>
          <w:trHeight w:val="363"/>
          <w:jc w:val="center"/>
        </w:trPr>
        <w:tc>
          <w:tcPr>
            <w:tcW w:w="6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59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794740,55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2492642,54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0.10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2D3E" w:rsidRPr="00531D0B" w:rsidRDefault="00892D3E" w:rsidP="004868BA">
            <w:pPr>
              <w:jc w:val="center"/>
              <w:rPr>
                <w:sz w:val="22"/>
                <w:szCs w:val="22"/>
              </w:rPr>
            </w:pPr>
            <w:r w:rsidRPr="00531D0B">
              <w:rPr>
                <w:sz w:val="22"/>
                <w:szCs w:val="22"/>
              </w:rPr>
              <w:t>Закрепление отсутствует</w:t>
            </w:r>
          </w:p>
        </w:tc>
      </w:tr>
    </w:tbl>
    <w:p w:rsidR="00892D3E" w:rsidRDefault="00892D3E" w:rsidP="00892D3E">
      <w:pPr>
        <w:jc w:val="center"/>
        <w:rPr>
          <w:noProof/>
        </w:rPr>
      </w:pPr>
      <w:r w:rsidRPr="00531D0B">
        <w:rPr>
          <w:noProof/>
        </w:rPr>
        <w:drawing>
          <wp:inline distT="0" distB="0" distL="0" distR="0">
            <wp:extent cx="5528945" cy="4923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49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3E" w:rsidRPr="00987A37" w:rsidRDefault="00892D3E" w:rsidP="00892D3E">
      <w:pPr>
        <w:jc w:val="right"/>
        <w:rPr>
          <w:sz w:val="22"/>
          <w:szCs w:val="22"/>
        </w:rPr>
      </w:pPr>
    </w:p>
    <w:p w:rsidR="00892D3E" w:rsidRPr="00987A37" w:rsidRDefault="00892D3E" w:rsidP="00892D3E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00075" cy="247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A37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</w:t>
      </w:r>
      <w:r w:rsidRPr="00987A37">
        <w:rPr>
          <w:sz w:val="22"/>
          <w:szCs w:val="22"/>
        </w:rPr>
        <w:t xml:space="preserve">  - граница проектируемого публичного сервитута</w:t>
      </w:r>
    </w:p>
    <w:p w:rsidR="00892D3E" w:rsidRDefault="00892D3E" w:rsidP="00892D3E">
      <w:pPr>
        <w:pStyle w:val="a8"/>
        <w:jc w:val="right"/>
        <w:rPr>
          <w:sz w:val="18"/>
          <w:szCs w:val="18"/>
        </w:rPr>
      </w:pPr>
    </w:p>
    <w:p w:rsidR="00892D3E" w:rsidRPr="00987A37" w:rsidRDefault="00892D3E" w:rsidP="00892D3E"/>
    <w:p w:rsidR="00892D3E" w:rsidRPr="00987A37" w:rsidRDefault="00892D3E" w:rsidP="00892D3E"/>
    <w:p w:rsidR="00892D3E" w:rsidRDefault="00892D3E" w:rsidP="00892D3E"/>
    <w:p w:rsidR="00892D3E" w:rsidRDefault="00892D3E" w:rsidP="00892D3E"/>
    <w:p w:rsidR="00892D3E" w:rsidRDefault="00892D3E" w:rsidP="00892D3E"/>
    <w:p w:rsidR="00892D3E" w:rsidRDefault="00892D3E" w:rsidP="00892D3E">
      <w:bookmarkStart w:id="2" w:name="_GoBack"/>
      <w:bookmarkEnd w:id="2"/>
    </w:p>
    <w:p w:rsidR="00892D3E" w:rsidRDefault="00892D3E" w:rsidP="00892D3E"/>
    <w:p w:rsidR="00892D3E" w:rsidRPr="00987A37" w:rsidRDefault="00892D3E" w:rsidP="00892D3E"/>
    <w:p w:rsidR="00CB774B" w:rsidRPr="00CB774B" w:rsidRDefault="00CB774B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774B" w:rsidRPr="00CB774B" w:rsidSect="00AC40A8"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7A" w:rsidRDefault="0014467A" w:rsidP="00E32007">
      <w:r>
        <w:separator/>
      </w:r>
    </w:p>
  </w:endnote>
  <w:endnote w:type="continuationSeparator" w:id="0">
    <w:p w:rsidR="0014467A" w:rsidRDefault="0014467A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7A" w:rsidRDefault="0014467A" w:rsidP="00E32007">
      <w:r>
        <w:separator/>
      </w:r>
    </w:p>
  </w:footnote>
  <w:footnote w:type="continuationSeparator" w:id="0">
    <w:p w:rsidR="0014467A" w:rsidRDefault="0014467A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BE">
          <w:rPr>
            <w:noProof/>
          </w:rPr>
          <w:t>4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418A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467A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3F15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1341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15A7"/>
    <w:rsid w:val="00372B65"/>
    <w:rsid w:val="00373A6E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32C4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6300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276C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3609"/>
    <w:rsid w:val="004A4044"/>
    <w:rsid w:val="004A4918"/>
    <w:rsid w:val="004A5942"/>
    <w:rsid w:val="004A694F"/>
    <w:rsid w:val="004B01EB"/>
    <w:rsid w:val="004B0E75"/>
    <w:rsid w:val="004B1E3A"/>
    <w:rsid w:val="004B44B2"/>
    <w:rsid w:val="004B49D5"/>
    <w:rsid w:val="004B6BA2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ABA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1E86"/>
    <w:rsid w:val="00596864"/>
    <w:rsid w:val="00597B30"/>
    <w:rsid w:val="005A3A9C"/>
    <w:rsid w:val="005B3231"/>
    <w:rsid w:val="005B7642"/>
    <w:rsid w:val="005C17F4"/>
    <w:rsid w:val="005C4BD5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49C5"/>
    <w:rsid w:val="0060563D"/>
    <w:rsid w:val="006057DE"/>
    <w:rsid w:val="00612A71"/>
    <w:rsid w:val="006149B9"/>
    <w:rsid w:val="00617E04"/>
    <w:rsid w:val="00622BBE"/>
    <w:rsid w:val="006272DE"/>
    <w:rsid w:val="00627B1C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317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4788E"/>
    <w:rsid w:val="0085420E"/>
    <w:rsid w:val="00856A70"/>
    <w:rsid w:val="0085779D"/>
    <w:rsid w:val="00864D52"/>
    <w:rsid w:val="00864DAD"/>
    <w:rsid w:val="00872D66"/>
    <w:rsid w:val="00877D4E"/>
    <w:rsid w:val="008801B3"/>
    <w:rsid w:val="00881C28"/>
    <w:rsid w:val="008830CB"/>
    <w:rsid w:val="00883F60"/>
    <w:rsid w:val="00885333"/>
    <w:rsid w:val="00890355"/>
    <w:rsid w:val="00892D3E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623B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193C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E3D2A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1093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97AEA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D680E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2C8D"/>
    <w:rsid w:val="00C937B2"/>
    <w:rsid w:val="00C9552E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0E11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0D10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C09"/>
    <w:rsid w:val="00E56E6C"/>
    <w:rsid w:val="00E60179"/>
    <w:rsid w:val="00E60E51"/>
    <w:rsid w:val="00E6562A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28BE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3107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437A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892D3E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892D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892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747C-EC45-40CA-9335-FADB19C2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2</cp:revision>
  <dcterms:created xsi:type="dcterms:W3CDTF">2026-03-10T07:22:00Z</dcterms:created>
  <dcterms:modified xsi:type="dcterms:W3CDTF">2026-03-10T07:22:00Z</dcterms:modified>
</cp:coreProperties>
</file>