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widowControl w:val="off"/>
        <w:jc w:val="center"/>
        <w:rPr>
          <w:rFonts w:ascii="Times New Roman" w:hAnsi="Times New Roman" w:eastAsia="font332"/>
          <w:b/>
          <w:sz w:val="28"/>
          <w:szCs w:val="28"/>
        </w:rPr>
      </w:pPr>
      <w:r>
        <w:rPr>
          <w:rFonts w:ascii="Times New Roman" w:hAnsi="Times New Roman" w:eastAsia="font332"/>
          <w:b/>
          <w:sz w:val="28"/>
          <w:szCs w:val="28"/>
        </w:rPr>
        <w:t xml:space="preserve">Перечень</w:t>
      </w:r>
    </w:p>
    <w:p>
      <w:pPr>
        <w:pStyle w:val="Normal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font332"/>
          <w:b/>
          <w:sz w:val="28"/>
          <w:szCs w:val="28"/>
        </w:rPr>
        <w:t xml:space="preserve">налоговых расходов городского п</w:t>
      </w:r>
      <w:r>
        <w:rPr>
          <w:rFonts w:ascii="Times New Roman" w:hAnsi="Times New Roman" w:eastAsia="font332"/>
          <w:b/>
          <w:sz w:val="28"/>
          <w:szCs w:val="28"/>
        </w:rPr>
        <w:t xml:space="preserve">оселения Мортка на 1 января 202</w:t>
      </w:r>
      <w:r>
        <w:rPr>
          <w:rFonts w:ascii="Times New Roman" w:hAnsi="Times New Roman" w:eastAsia="font332"/>
          <w:b/>
          <w:sz w:val="28"/>
          <w:szCs w:val="28"/>
        </w:rPr>
        <w:t xml:space="preserve">4</w:t>
      </w:r>
      <w:r>
        <w:rPr>
          <w:rFonts w:ascii="Times New Roman" w:hAnsi="Times New Roman" w:eastAsia="font332"/>
          <w:b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5461" w:type="pct"/>
        <w:tblInd w:w="-647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1955"/>
        <w:gridCol w:w="2353"/>
        <w:gridCol w:w="2834"/>
        <w:gridCol w:w="1740"/>
        <w:gridCol w:w="2455"/>
        <w:gridCol w:w="2170"/>
        <w:gridCol w:w="2163"/>
      </w:tblGrid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п/п 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Наименование налога,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по которому предусматриваются налоговые расходы (</w:t>
            </w: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налоговые льготы, освобождения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и иные преференции)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270"/>
                <w:sz w:val="18"/>
                <w:szCs w:val="20"/>
              </w:rPr>
            </w:pPr>
            <w:r>
              <w:rPr>
                <w:rFonts w:ascii="Times New Roman" w:hAnsi="Times New Roman" w:eastAsia="font270"/>
                <w:sz w:val="18"/>
                <w:szCs w:val="20"/>
              </w:rPr>
              <w:t xml:space="preserve">Реквизиты решения Совета депутатов </w:t>
            </w:r>
            <w:r>
              <w:rPr>
                <w:rFonts w:ascii="Times New Roman" w:hAnsi="Times New Roman" w:eastAsia="font270"/>
                <w:sz w:val="18"/>
                <w:szCs w:val="20"/>
              </w:rPr>
              <w:t xml:space="preserve">городского поселения</w:t>
            </w:r>
            <w:r>
              <w:rPr>
                <w:rFonts w:ascii="Times New Roman" w:hAnsi="Times New Roman" w:eastAsia="font27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eastAsia="font270"/>
                <w:sz w:val="18"/>
                <w:szCs w:val="20"/>
              </w:rPr>
              <w:t xml:space="preserve">Мортка</w:t>
            </w:r>
            <w:r>
              <w:rPr>
                <w:rFonts w:ascii="Times New Roman" w:hAnsi="Times New Roman" w:eastAsia="font270"/>
                <w:sz w:val="18"/>
                <w:szCs w:val="20"/>
              </w:rPr>
              <w:t xml:space="preserve">, устанавливающего налоговые расходы (налоговые льготы, освобождения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270"/>
                <w:sz w:val="18"/>
                <w:szCs w:val="20"/>
              </w:rPr>
            </w:pPr>
            <w:r>
              <w:rPr>
                <w:rFonts w:ascii="Times New Roman" w:hAnsi="Times New Roman" w:eastAsia="font270"/>
                <w:sz w:val="18"/>
                <w:szCs w:val="20"/>
              </w:rPr>
              <w:t xml:space="preserve">и иные преференции)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270"/>
                <w:sz w:val="18"/>
                <w:szCs w:val="20"/>
              </w:rPr>
              <w:t xml:space="preserve">(с указанием статьи, части, пункта, подпункта, абзаца)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Категории плательщиков налогов,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для которых предусмотрены налоговые расходы (налоговые льготы, освобождения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и иные преференции)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Наименование муниципальной программы, наименования муниципальных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правовых актов, определяющих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цели социально-экономической политики,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не относящихся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к муниципальным программам, в целях реализации которых предоставляются налоговые расходы (налоговые льготы, освобождения </w:t>
            </w:r>
          </w:p>
          <w:p>
            <w:pPr>
              <w:pStyle w:val="Normal"/>
              <w:widowControl w:val="off"/>
              <w:spacing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и иные преференции)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18"/>
                <w:szCs w:val="20"/>
                <w:lang w:eastAsia="en-US"/>
              </w:rPr>
              <w:t xml:space="preserve">Цели и задачи муниципальной программы, </w:t>
            </w: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в целях реализации которых предоставляются налоговые расходы (налоговые льготы, освобождения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и иные преференции)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Показатели (индикаторы) достижения целей муниципальных программ и (или) целей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социально-экономической политики,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не относящихся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к муниципальным программам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в связи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для плательщиков налогов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Куратор налогового расхода </w:t>
            </w:r>
          </w:p>
        </w:tc>
      </w:tr>
      <w:tr>
        <w:trPr>
          <w:trHeight w:val="2389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Налог на имущество физических лиц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18.11.2014 №38 "Об установлении на территории муниципального образования городское поселение Мортка налога на имущество физических лиц" (изм. от 27.09.2019 № 76, от 29.11.2019г. №88</w:t>
            </w:r>
            <w:r>
              <w:rPr>
                <w:rFonts w:ascii="Times New Roman" w:hAnsi="Times New Roman" w:eastAsia="font332"/>
                <w:lang w:eastAsia="en-US"/>
              </w:rPr>
              <w:t xml:space="preserve">. от 18.09.2023 №8 </w:t>
            </w:r>
            <w:r>
              <w:rPr>
                <w:rFonts w:ascii="Times New Roman" w:hAnsi="Times New Roman" w:eastAsia="font332"/>
                <w:lang w:eastAsia="en-US"/>
              </w:rPr>
              <w:t xml:space="preserve">) п. 3.1.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Физические лица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установлена налоговая ставка в размере 0,5%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Решение Думы Кондинского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 от 05.09.2017 года № 297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«О стратегии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Ханты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Мансийского автономного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округа – Югры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на период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до 2030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 года»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Создание условий для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малого и среднего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 субъектов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малого и среднего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предпринимательства,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абз.1/пп.3.1.1/п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Организации - в отношении земельных участков, занятых муниципальными автомобильными дорогами общего пользования, а также земельные участки, предоставленные для строительства таких дорог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-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 Решение Думы Кондинского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 от 05.09.2017 года № 297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«О стратегии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Ханты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Мансийского автономного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округа – Югры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на период до 2030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 года»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Качественное улучшение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транспортной доступности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территорий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протяженности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автомобильных дорог, км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5508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4"/>
                <w:szCs w:val="24"/>
                <w:lang w:eastAsia="en-US"/>
              </w:rPr>
              <w:t xml:space="preserve">абз. 3/пп.3.1.1/п.3.1/разд.3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Муниципальные учреждения, финансируемые за счет средств местных бюджетов городского поселения Мортка и Кондинского района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Решение Думы Кондинского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 от 05.09.2017 года № 297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«О стратегии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Ханты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Мансийского автономного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округа –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Югры на период до 2030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 года»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эффективности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управления средствами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Сосредоточение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бюджетных расходов на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приоритетных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направлениях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района, тыс. рублей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1885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абз. 4/пп.3.1.1/п.3.1/разд.3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Органы местного самоуправления - в отношении земельных участков, занятых имуществом, составляющим казну муниципальных образований городское поселение Мортка и Кондинский район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Решение Думы Кондинского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 от 05.09.2017 года № 297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«О стратегии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Ханты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Мансийского автономного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округа –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Югры на период до 2030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 года»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эффективности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управления средствами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Сосредоточение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бюджетных расходов на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приоритетных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направлениях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района, тыс. рублей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1891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5/пп.3.1.1/п.3.1/разд.3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Герои Советского Союза, Герои Российской Федерации, полные кавалеры ордена Славы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05.09.2017 года № 297 «О стратегии социально-экономического развития Кондинского района Ханты-Мансийского автономного округа –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Югры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на период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 2030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 года»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89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6/пп.3.1.1/п.3.1/разд.3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Инвалиды I, II и III групп инвалидности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05.09.2017 года № 297 «О стратегии социально-экономического развития Кондинского района Ханты-Мансийского автономного округа – Югры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на период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 2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030 года»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7/пп.3.1.1/п.3.1/разд.3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Дети-инвалиды, инвалиды с детства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05.09.2017 года № 297 «О стратегии социально-экономического развития Кондинского района Ханты-Мансийского автономного округа –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Югры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 на период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 до 203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0 года»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8/пп.3.1.1/п.3.1/разд.3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Ветераны и инвалиды Великой Отечественной войны, а также ветераны и инвалиды боевых действий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05.09.2017 года № 297 «О стратегии социально-экономического развития Кондинского района Ханты-Мансийского автономного округа –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Югры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 на период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 до 2030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 года»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</w:t>
            </w:r>
            <w:r>
              <w:rPr>
                <w:rFonts w:ascii="Times New Roman" w:hAnsi="Times New Roman" w:eastAsia="font332"/>
                <w:lang w:eastAsia="en-US"/>
              </w:rPr>
              <w:t xml:space="preserve">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9/пп.3.1.1/п.3.1/разд.3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05.09.2017 года № 297 «О стратегии социально-экономического развития Кондинского района Ханты-Мансийского автономного округа –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Югры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на период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 2030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 года»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258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10/пп.3.1.1/п.3.1/разд.3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- Решение Думы Кондинского района от 05.09.2017 года № 297 «О стратегии социально-экономического развития Кондинского района Ханты-Мансийского автономного округа – Югры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на период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 2030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 года»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11/пп.3.1.1/п.3.1/разд.3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05.09.2017 года № 297 «О стратегии социально-экономического развития Кондинского района Ханты-Мансийского автономного округа –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Югры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на период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 2030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 года»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партиями), созданные в формах, предусмотренных Федеральным законом от 12 января 1996 года №7-ФЗ «О некоммерческих организациях» (далее – Федеральный закон «О некоммерческих организациях»)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«О некоммерческих организациях»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Распоряжение администрации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от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10.03.2021 года № 137-р «О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плане мероприятий («дорожной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карте»)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 поддержке доступа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немуниципальных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организаций (коммерческих,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некоммерческих)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 предоставлению услуг 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социальной сфере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в Кондинском районе на 2021-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2025 годы»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участия немуниципальных организаций и индивидуальных предпринимателей в оказании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социальных услуг в приоритетных секторах социальной сферы (молодежная политика, образование, культура, спорт)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Увеличение количества немуниципальных организаций (коммерческих, некоммерческих), предоставляемых услуги в социальной сфере (спорт, культура, молодежная политика, образование) в Кондинском районе, единиц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Социальные предприниматели, в отношении земельного участка, на котором расположено нежилое помещение, используемое с целью предоставления услуг в социальной сфере населению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Распоряжение администрации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от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10.03.2021 года № 137-р «О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плане мероприятий («дорожной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карте»)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 поддержке доступа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немуниципальных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организаций (коммерческих,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некоммерческих)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 предоставлению услуг 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социальной сфере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в Кондинском районе на 2021-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2025 годы»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участия немуниципальных организаций и индивидуальных предпринимателей в оказании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социальных услуг в приоритетных секторах социальной сферы (молодежная политика, образование, культура, спорт)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Увеличение количества индивидуальных предпринимателей, предоставляемых услуги в социальной сфере (спорт, культура, молодежная политика, образование) в Кондинском районе, единиц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Организации в отношении земельных участков, в границах которых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реализуется инвестиционный проект в соответствии с соглашением о защите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и поощрении капиталовложений, с момента начала строительства до ввода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объекта в эксплуатацию, предусмотренного в инвестиционном проекте, но не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более трех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Решение Думы Кондинского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 от 05.09.2017 года № 297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«О стратегии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Ханты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Мансийского автономного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округа –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Югры на период до 2030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 года»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инвестиционной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привлекательности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 объема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инвестиций в основной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капитал, млн. руб.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от 03.06.2019 №56, от 27.09.2019 №74, от 25.10.2019 №81, 18.12.2020 № 145, 18.11.2021 № 197</w:t>
            </w:r>
            <w:r>
              <w:rPr>
                <w:rFonts w:ascii="Times New Roman" w:hAnsi="Times New Roman" w:eastAsia="font332"/>
                <w:lang w:eastAsia="en-US"/>
              </w:rPr>
              <w:t xml:space="preserve">, </w:t>
            </w:r>
            <w:r>
              <w:rPr>
                <w:rFonts w:ascii="Times New Roman" w:hAnsi="Times New Roman" w:eastAsia="font332"/>
                <w:lang w:eastAsia="en-US"/>
              </w:rPr>
              <w:t xml:space="preserve">31.10.2022 № 244</w:t>
            </w:r>
            <w:r>
              <w:rPr>
                <w:rFonts w:ascii="Times New Roman" w:hAnsi="Times New Roman" w:eastAsia="font332"/>
                <w:lang w:eastAsia="en-US"/>
              </w:rPr>
              <w:t xml:space="preserve">, от 18.09.2023 №7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п.2.1/разд.2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 в отношении земельных участков,  на которых расположены объекты связи и центры обработки данных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Решение Думы Кондинского района от 05.09.2017 года № 297 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«О стратегии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Ханты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Мансийского автономного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округа – </w:t>
            </w:r>
            <w:r>
              <w:rPr>
                <w:rStyle w:val="UserStyle_6"/>
                <w:rFonts w:ascii="Times New Roman" w:hAnsi="Times New Roman"/>
                <w:color w:val="000000"/>
                <w:sz w:val="20"/>
                <w:szCs w:val="20"/>
              </w:rPr>
              <w:t xml:space="preserve">Югры на период до 2030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 года»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общества знаний, повышение благосостояния и качества жизни 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Доля налогоплательщиков воспользовавшихся налоговой льготой от общего числа налогоплательщиков имеющих право на получение льготы, %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sectPr>
      <w:type w:val="nextPage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font270">
    <w:panose1 w:val="02000000000000000000"/>
  </w:font>
  <w:font w:name="font332">
    <w:panose1 w:val="02000000000000000000"/>
  </w:font>
  <w:font w:name="Tahoma">
    <w:panose1 w:val="020B0604030504040204"/>
  </w:font>
  <w:font w:name="TimesNewRomanPSMT">
    <w:panose1 w:val="020206030504050203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paragraph" w:styleId="Heading3">
    <w:name w:val="Заголовок 3"/>
    <w:basedOn w:val="Normal"/>
    <w:next w:val="Normal"/>
    <w:link w:val="UserStyle_0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3 Знак"/>
    <w:next w:val="UserStyle_0"/>
    <w:link w:val="Heading3"/>
    <w:semiHidden/>
    <w:locked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"/>
    <w:semiHidden/>
    <w:pPr>
      <w:spacing w:after="0" w:line="240" w:lineRule="auto"/>
      <w:ind w:firstLine="567"/>
      <w:jc w:val="both"/>
    </w:pPr>
    <w:rPr>
      <w:sz w:val="28"/>
      <w:szCs w:val="28"/>
    </w:rPr>
  </w:style>
  <w:style w:type="character" w:styleId="UserStyle_1">
    <w:name w:val="Основной текст с отступом Знак"/>
    <w:next w:val="UserStyle_1"/>
    <w:link w:val="BodyTextIndent"/>
    <w:semiHidden/>
    <w:locked/>
    <w:rPr>
      <w:rFonts w:ascii="Calibri" w:hAnsi="Calibri"/>
      <w:sz w:val="28"/>
      <w:szCs w:val="28"/>
      <w:lang w:val="ru-RU" w:eastAsia="ru-RU" w:bidi="ar-SA"/>
    </w:rPr>
  </w:style>
  <w:style w:type="paragraph" w:styleId="UserStyle_2">
    <w:name w:val="Абзац"/>
    <w:next w:val="UserStyle_2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paragraph" w:styleId="UserStyle_3">
    <w:name w:val="ConsPlusTitle"/>
    <w:next w:val="UserStyle_3"/>
    <w:link w:val="Normal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Title">
    <w:name w:val="Название"/>
    <w:basedOn w:val="Normal"/>
    <w:next w:val="Normal"/>
    <w:link w:val="UserStyle_4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UserStyle_4">
    <w:name w:val="Название Знак"/>
    <w:next w:val="UserStyle_4"/>
    <w:link w:val="Title"/>
    <w:rPr>
      <w:rFonts w:ascii="Cambria" w:hAnsi="Cambria" w:eastAsia="Times New Roman" w:cs="Times New Roman"/>
      <w:b/>
      <w:bCs/>
      <w:sz w:val="32"/>
      <w:szCs w:val="32"/>
    </w:rPr>
  </w:style>
  <w:style w:type="paragraph" w:styleId="Subtitle">
    <w:name w:val="Подзаголовок"/>
    <w:basedOn w:val="Normal"/>
    <w:next w:val="Normal"/>
    <w:link w:val="UserStyle_5"/>
    <w:qFormat/>
    <w:pPr>
      <w:spacing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character" w:styleId="UserStyle_5">
    <w:name w:val="Подзаголовок Знак"/>
    <w:next w:val="UserStyle_5"/>
    <w:link w:val="Subtitle"/>
    <w:rPr>
      <w:rFonts w:ascii="Cambria" w:hAnsi="Cambria" w:eastAsia="Times New Roman" w:cs="Times New Roman"/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6">
    <w:name w:val="fontstyle01"/>
    <w:next w:val="UserStyle_6"/>
    <w:link w:val="Normal"/>
    <w:rPr>
      <w:rFonts w:hint="eastAsia" w:ascii="TimesNewRomanPSMT" w:hAnsi="TimesNewRomanPSMT" w:eastAsia="TimesNewRomanPSMT"/>
      <w:color w:val="000000"/>
      <w:sz w:val="14"/>
      <w:szCs w:val="14"/>
    </w:rPr>
  </w:style>
  <w:style w:type="paragraph" w:styleId="Acetate">
    <w:name w:val="Текст выноски"/>
    <w:basedOn w:val="Normal"/>
    <w:next w:val="Acetate"/>
    <w:link w:val="UserStyle_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7">
    <w:name w:val="Текст выноски Знак"/>
    <w:next w:val="UserStyle_7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15342</Characters>
  <CharactersWithSpaces>17998</CharactersWithSpaces>
  <Company>MoBIL GROUP</Company>
  <DocSecurity>0</DocSecurity>
  <HyperlinksChanged>false</HyperlinksChanged>
  <Lines>127</Lines>
  <Pages>10</Pages>
  <Paragraphs>35</Paragraphs>
  <ScaleCrop>false</ScaleCrop>
  <SharedDoc>false</SharedDoc>
  <Template>Normal</Template>
  <Words>2691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Adm2</cp:lastModifiedBy>
  <cp:revision>2</cp:revision>
  <dcterms:created xsi:type="dcterms:W3CDTF">2024-11-26T05:22:00Z</dcterms:created>
  <dcterms:modified xsi:type="dcterms:W3CDTF">2024-11-26T05:22:00Z</dcterms:modified>
  <cp:version>1048576</cp:version>
</cp:coreProperties>
</file>