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"/>
        <w:keepNext/>
        <w:spacing w:before="0" w:after="0" w:line="240" w:lineRule="auto"/>
        <w:ind w:left="-100" w:right="0" w:firstLine="0"/>
        <w:jc w:val="right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                                                                                                                           ПРОЕКТ                                                                            </w:t>
      </w:r>
    </w:p>
    <w:p>
      <w:pPr>
        <w:pStyle w:val="Style_2"/>
        <w:keepNext/>
        <w:spacing w:before="0" w:after="0" w:line="240" w:lineRule="auto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АДМИНИСТРАЦИЯ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ГОРОДСКОГО ПОСЕЛЕНИЯ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Кондинского района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Ханты-Мансийского автономного округа - Югры</w:t>
      </w:r>
    </w:p>
    <w:p>
      <w:pPr>
        <w:pStyle w:val="Style_3"/>
        <w:keepNext/>
        <w:spacing w:before="240" w:after="6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ПОСТАНОВЛЕНИЕ</w:t>
      </w:r>
    </w:p>
    <w:p>
      <w:pPr>
        <w:pStyle w:val="Style_1"/>
        <w:keepNext/>
        <w:spacing w:before="240" w:after="60" w:line="240" w:lineRule="auto"/>
        <w:ind w:left="0" w:right="0" w:firstLine="0"/>
        <w:jc w:val="left"/>
        <w:outlineLvl w:val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от __ ___  2023 года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                                   №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пгт.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О внесении изменений в постановление </w:t>
      </w: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администрации городского поселения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Кондинское от 27 ноября 2017 года № 209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«Об утверждении Порядка установления,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изменения, отмены муниципальных маршрутов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регулярных перевозок на территории городского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поселения Кондинское»</w:t>
      </w:r>
    </w:p>
    <w:p>
      <w:pPr>
        <w:spacing w:before="0" w:after="0" w:line="240" w:lineRule="auto"/>
        <w:ind w:left="0" w:right="0" w:firstLine="567"/>
        <w:jc w:val="both"/>
        <w:outlineLvl w:val="0"/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от 29 мая 2023 года № 185-ФЗ «О внесении изменений в отдельные законодательные акты Российской Федерации» администрация городского поселения Кондинское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постановляет: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1.  Внести в приложение к  постановлению администрации городского поселения Кондинское от 27 ноября 2017 года № 209 «Об утверждении Порядка установления, изменения, отмены муниципальных маршрутов регулярных перевозок на территории городского поселения Кондинское»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следующие изменения:</w:t>
      </w:r>
    </w:p>
    <w:p>
      <w:pPr>
        <w:spacing w:before="0" w:after="0" w:line="240" w:lineRule="auto"/>
        <w:ind w:left="0" w:right="0" w:firstLine="709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1.1. Пункт 2.13 читать в следующей редакции: «2.13. Муниципальный маршрут регулярных перевозок, межмуниципальный маршрут регулярных перевозок считаются установленными или измененными соответственно со дня включения предусмотренных пунктами 1 - 10 части 1 статьи 26 настоящего Федерального закона сведений о данных маршрутах в реестры соответствующих маршрутов регулярных перевозок, со дня изменения предусмотренных пунктами 3 – 10,12 части 1 статьи 26 настоящего Федерального закона сведений о данных маршрутах в этих реестрах.».</w:t>
      </w:r>
    </w:p>
    <w:p>
      <w:pPr>
        <w:tabs>
          <w:tab w:val="left" w:pos="0"/>
        </w:tabs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tabs>
          <w:tab w:val="left" w:pos="0"/>
        </w:tabs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3.  </w:t>
      </w:r>
      <w:bookmarkStart w:id="1" w:name="_Hlk138403736"/>
      <w:r>
        <w:rPr>
          <w:rFonts w:ascii="Arial" w:hAnsi="Arial" w:eastAsia="Arial" w:cs="Arial"/>
          <w:sz w:val="24"/>
          <w:szCs w:val="24"/>
          <w:lang w:val="ru-RU" w:bidi="ru-RU"/>
        </w:rPr>
        <w:t xml:space="preserve">Настоящее постановление вступает в силу после его опубликования и распространяется на правоотношения, возникшие с 01 сентября 2024 года </w:t>
      </w: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bookmarkEnd w:id="1"/>
      <w:r>
        <w:rPr>
          <w:rFonts w:ascii="Arial" w:hAnsi="Arial" w:eastAsia="Arial" w:cs="Arial"/>
          <w:sz w:val="24"/>
          <w:szCs w:val="24"/>
          <w:lang w:val="ru-RU" w:bidi="ru-RU"/>
        </w:rPr>
        <w:t xml:space="preserve">4. Контроль за  выполнением  постановления</w:t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возложить на заместителя главы администрации городского поселения Кондинское.</w:t>
      </w: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Глава городского </w:t>
      </w: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поселения Кондинское</w:t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                                         С.А.Дерябин    </w:t>
      </w: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sectPr>
      <w:footnotePr>
        <w:pos w:val="pageBottom"/>
      </w:footnotePr>
      <w:type w:val="nextPage"/>
      <w:pgSz w:w="11906" w:h="16838"/>
      <w:pgMar w:top="1134" w:right="850" w:bottom="1134" w:left="1701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-129">
    <w:multiLevelType w:val="hybridMultilevel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ascii="Times New Roman" w:hAnsi="Times New Roman" w:eastAsia="Times New Roman" w:cs="Times New Roman"/>
      </w:rPr>
    </w:lvl>
  </w:abstractNum>
  <w:abstractNum w:abstractNumId="487940784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91482018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509" w:hanging="1800"/>
      </w:pPr>
      <w:rPr>
        <w:rFonts w:ascii="Times New Roman" w:hAnsi="Times New Roman" w:eastAsia="Times New Roman" w:cs="Times New Roman"/>
      </w:rPr>
    </w:lvl>
  </w:abstractNum>
  <w:abstractNum w:abstractNumId="1828129729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576" w:hanging="576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864" w:hanging="864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008" w:hanging="1008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152" w:hanging="1152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296" w:hanging="1296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1584" w:hanging="1584"/>
      </w:pPr>
      <w:rPr>
        <w:rFonts w:ascii="Times New Roman" w:hAnsi="Times New Roman" w:eastAsia="Times New Roman" w:cs="Times New Roman"/>
      </w:rPr>
    </w:lvl>
  </w:abstractNum>
  <w:abstractNum w:abstractNumId="1884127078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</w:rPr>
    </w:lvl>
  </w:abstractNum>
  <w:abstractNum w:abstractNumId="2023165133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3888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4608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5328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6048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6768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7488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8208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8928" w:hanging="180"/>
      </w:pPr>
      <w:rPr>
        <w:rFonts w:ascii="Times New Roman" w:hAnsi="Times New Roman" w:eastAsia="Times New Roman" w:cs="Times New Roman"/>
      </w:rPr>
    </w:lvl>
  </w:abstractNum>
  <w:num w:numId="1">
    <w:abstractNumId w:val="-129"/>
  </w:num>
  <w:num w:numId="2">
    <w:abstractNumId w:val="-129"/>
  </w:num>
  <w:num w:numId="3">
    <w:abstractNumId w:val="-129"/>
  </w:num>
  <w:num w:numId="4">
    <w:abstractNumId w:val="-129"/>
  </w:num>
  <w:num w:numId="5">
    <w:abstractNumId w:val="-129"/>
  </w:num>
  <w:num w:numId="6">
    <w:abstractNumId w:val="-129"/>
  </w:num>
  <w:num w:numId="7">
    <w:abstractNumId w:val="-129"/>
  </w:num>
  <w:num w:numId="8">
    <w:abstractNumId w:val="-129"/>
  </w:num>
  <w:num w:numId="9">
    <w:abstractNumId w:val="-129"/>
  </w:num>
  <w:num w:numId="10">
    <w:abstractNumId w:val="-129"/>
  </w:num>
  <w:num w:numId="11">
    <w:abstractNumId w:val="-129"/>
  </w:num>
  <w:num w:numId="12">
    <w:abstractNumId w:val="-129"/>
  </w:num>
  <w:num w:numId="13">
    <w:abstractNumId w:val="-129"/>
  </w:num>
  <w:num w:numId="14">
    <w:abstractNumId w:val="-129"/>
  </w:num>
  <w:num w:numId="15">
    <w:abstractNumId w:val="-129"/>
  </w:num>
  <w:num w:numId="16">
    <w:abstractNumId w:val="-129"/>
  </w:num>
  <w:num w:numId="17">
    <w:abstractNumId w:val="-129"/>
  </w:num>
  <w:num w:numId="18">
    <w:abstractNumId w:val="-129"/>
  </w:num>
  <w:num w:numId="19">
    <w:abstractNumId w:val="-129"/>
  </w:num>
  <w:num w:numId="20">
    <w:abstractNumId w:val="-129"/>
  </w:num>
  <w:num w:numId="21">
    <w:abstractNumId w:val="-129"/>
  </w:num>
  <w:num w:numId="22">
    <w:abstractNumId w:val="-129"/>
  </w:num>
  <w:num w:numId="23">
    <w:abstractNumId w:val="-129"/>
  </w:num>
  <w:num w:numId="24">
    <w:abstractNumId w:val="-129"/>
  </w:num>
  <w:num w:numId="25">
    <w:abstractNumId w:val="-129"/>
  </w:num>
  <w:num w:numId="26">
    <w:abstractNumId w:val="-129"/>
  </w:num>
  <w:num w:numId="27">
    <w:abstractNumId w:val="-129"/>
  </w:num>
  <w:num w:numId="28">
    <w:abstractNumId w:val="-129"/>
  </w:num>
  <w:num w:numId="29">
    <w:abstractNumId w:val="-129"/>
  </w:num>
  <w:num w:numId="30">
    <w:abstractNumId w:val="-129"/>
  </w:num>
  <w:num w:numId="31">
    <w:abstractNumId w:val="-129"/>
  </w:num>
  <w:num w:numId="32">
    <w:abstractNumId w:val="-129"/>
  </w:num>
  <w:num w:numId="33">
    <w:abstractNumId w:val="-129"/>
  </w:num>
  <w:num w:numId="34">
    <w:abstractNumId w:val="-129"/>
  </w:num>
  <w:num w:numId="35">
    <w:abstractNumId w:val="2023165133"/>
  </w:num>
  <w:num w:numId="36">
    <w:abstractNumId w:val="1884127078"/>
  </w:num>
  <w:num w:numId="37">
    <w:abstractNumId w:val="487940784"/>
  </w:num>
  <w:num w:numId="38">
    <w:abstractNumId w:val="1828129729"/>
  </w:num>
  <w:num w:numId="39">
    <w:abstractNumId w:val="914820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center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">
    <w:name w:val="heading 3"/>
    <w:basedOn w:val="Style_0"/>
    <w:qFormat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Style_8">
    <w:name w:val="heading 8"/>
    <w:basedOn w:val="Style_0"/>
    <w:qFormat/>
    <w:locked/>
    <w:pPr>
      <w:spacing w:before="240" w:after="60" w:line="240" w:lineRule="auto"/>
      <w:ind w:left="0" w:right="0"/>
      <w:jc w:val="left"/>
      <w:outlineLvl w:val="7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sz w:val="32"/>
    </w:rPr>
  </w:style>
  <w:style w:type="character" w:styleId="Style_16">
    <w:name w:val="Заголовок 2 Знак"/>
    <w:basedOn w:val="Style_10"/>
    <w:semiHidden/>
    <w:locked/>
    <w:rPr>
      <w:rFonts w:ascii="Cambria" w:hAnsi="Cambria" w:eastAsia="Cambria" w:cs="Cambria"/>
      <w:b/>
      <w:i/>
      <w:sz w:val="28"/>
    </w:rPr>
  </w:style>
  <w:style w:type="character" w:styleId="Style_17">
    <w:name w:val="Заголовок 3 Знак"/>
    <w:basedOn w:val="Style_10"/>
    <w:semiHidden/>
    <w:locked/>
    <w:rPr>
      <w:rFonts w:ascii="Cambria" w:hAnsi="Cambria" w:eastAsia="Cambria" w:cs="Cambria"/>
      <w:b/>
      <w:sz w:val="26"/>
    </w:rPr>
  </w:style>
  <w:style w:type="character" w:styleId="Style_18">
    <w:name w:val="Заголовок 8 Знак"/>
    <w:basedOn w:val="Style_10"/>
    <w:semiHidden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Style_19">
    <w:name w:val="Body Text Indent"/>
    <w:basedOn w:val="Style_0"/>
    <w:pPr>
      <w:spacing w:before="0" w:after="0" w:line="240" w:lineRule="auto"/>
      <w:ind w:left="-78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Основной текст с отступом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1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0"/>
      <w:szCs w:val="20"/>
      <w:lang w:val="ru-RU" w:bidi="ru-RU"/>
    </w:rPr>
  </w:style>
  <w:style w:type="paragraph" w:styleId="Style_22">
    <w:name w:val="Body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4">
    <w:name w:val="Body Text Indent 2"/>
    <w:basedOn w:val="Style_0"/>
    <w:pPr>
      <w:spacing w:before="0" w:after="0" w:line="240" w:lineRule="auto"/>
      <w:ind w:left="-78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текст с отступом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6">
    <w:name w:val="Body Text Indent 3"/>
    <w:basedOn w:val="Style_0"/>
    <w:pPr>
      <w:spacing w:before="0" w:after="0" w:line="240" w:lineRule="auto"/>
      <w:ind w:left="0" w:right="0" w:firstLine="78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27">
    <w:name w:val="Основной текст с отступом 3 Знак"/>
    <w:basedOn w:val="Style_10"/>
    <w:semiHidden/>
    <w:locked/>
    <w:rPr>
      <w:rFonts w:ascii="Times New Roman" w:hAnsi="Times New Roman" w:eastAsia="Times New Roman" w:cs="Times New Roman"/>
      <w:sz w:val="16"/>
    </w:rPr>
  </w:style>
  <w:style w:type="paragraph" w:styleId="Style_28">
    <w:name w:val="Body Text 2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9">
    <w:name w:val="Основной текст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30">
    <w:name w:val="Con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1">
    <w:name w:val="ConsNonformat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18"/>
      <w:szCs w:val="18"/>
      <w:lang w:val="ru-RU" w:bidi="ru-RU"/>
    </w:rPr>
  </w:style>
  <w:style w:type="paragraph" w:styleId="Style_32">
    <w:name w:val="Normal (Web)"/>
    <w:basedOn w:val="Style_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33">
    <w:name w:val="Table Gri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34">
    <w:name w:val="Без интервала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5">
    <w:name w:val="ConsPlu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6">
    <w:name w:val="Абзац списка1"/>
    <w:basedOn w:val="Style_0"/>
    <w:pPr>
      <w:spacing w:before="0" w:after="200" w:line="276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7">
    <w:name w:val="Стиль1"/>
    <w:basedOn w:val="Style_0"/>
    <w:pPr>
      <w:keepNext/>
      <w:keepLines/>
      <w:numPr>
        <w:numId w:val="38"/>
        <w:ilvl w:val="0"/>
      </w:numPr>
      <w:tabs>
        <w:tab w:val="left" w:pos="432"/>
      </w:tabs>
      <w:spacing w:before="0" w:after="60" w:line="240" w:lineRule="auto"/>
      <w:ind w:left="432" w:right="0" w:hanging="432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38">
    <w:name w:val="Стиль2"/>
    <w:basedOn w:val="Style_40"/>
    <w:pPr>
      <w:keepNext/>
      <w:keepLines/>
      <w:tabs>
        <w:tab w:val="left" w:pos="576"/>
      </w:tabs>
      <w:spacing w:before="0" w:after="60" w:line="240" w:lineRule="auto"/>
      <w:ind w:left="576" w:right="0" w:hanging="576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">
    <w:name w:val="Стиль3 Знак"/>
    <w:basedOn w:val="Style_24"/>
    <w:pPr>
      <w:numPr>
        <w:numId w:val="38"/>
        <w:ilvl w:val="2"/>
      </w:numPr>
      <w:tabs>
        <w:tab w:val="left" w:pos="227"/>
      </w:tabs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">
    <w:name w:val="List Number 2"/>
    <w:basedOn w:val="Style_0"/>
    <w:pPr>
      <w:tabs>
        <w:tab w:val="left" w:pos="432"/>
      </w:tabs>
      <w:spacing w:before="0" w:after="0" w:line="240" w:lineRule="auto"/>
      <w:ind w:left="432" w:right="0" w:hanging="432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1">
    <w:name w:val="Гипертекстовая ссылка"/>
    <w:basedOn w:val="Style_10"/>
    <w:rPr>
      <w:rFonts w:ascii="Times New Roman" w:hAnsi="Times New Roman" w:eastAsia="Times New Roman" w:cs="Times New Roman"/>
      <w:color w:val="106bbe"/>
      <w:sz w:val="24"/>
    </w:rPr>
  </w:style>
  <w:style w:type="character" w:styleId="Style_42">
    <w:name w:val="Сравнение редакций. Добавленный фрагмент"/>
    <w:rPr>
      <w:rFonts w:ascii="Times New Roman" w:hAnsi="Times New Roman" w:eastAsia="Times New Roman" w:cs="Times New Roman"/>
      <w:color w:val="000000"/>
      <w:sz w:val="24"/>
      <w:shd w:val="clear" w:color="auto" w:fill="c1d7ff"/>
    </w:rPr>
  </w:style>
  <w:style w:type="paragraph" w:styleId="Style_43">
    <w:name w:val="List Paragraph"/>
    <w:basedOn w:val="Style_0"/>
    <w:qFormat/>
    <w:pPr>
      <w:spacing w:before="0" w:after="0" w:line="240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4">
    <w:name w:val="Hyperlink"/>
    <w:basedOn w:val="Style_10"/>
    <w:rPr>
      <w:rFonts w:ascii="Times New Roman" w:hAnsi="Times New Roman" w:eastAsia="Times New Roman" w:cs="Times New Roman"/>
      <w:color w:val="0000ff"/>
      <w:sz w:val="24"/>
      <w:u w:val="single"/>
    </w:rPr>
  </w:style>
  <w:style w:type="paragraph" w:styleId="Style_45">
    <w:name w:val="Balloon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46">
    <w:name w:val="Текст выноски Знак"/>
    <w:basedOn w:val="Style_10"/>
    <w:semiHidden/>
    <w:locked/>
    <w:rPr>
      <w:rFonts w:ascii="Times New Roman" w:hAnsi="Times New Roman" w:eastAsia="Times New Roman" w:cs="Times New Roman"/>
      <w:sz w:val="2"/>
    </w:rPr>
  </w:style>
  <w:style w:type="character" w:styleId="Style_47">
    <w:name w:val="Emphasis"/>
    <w:basedOn w:val="Style_10"/>
    <w:qFormat/>
    <w:locked/>
    <w:rPr>
      <w:rFonts w:ascii="Times New Roman" w:hAnsi="Times New Roman" w:eastAsia="Times New Roman" w:cs="Times New Roman"/>
      <w:i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1938</CharactersWithSpaces>
  <DocSecurity>0</DocSecurity>
  <HyperlinksChanged>false</HyperlinksChanged>
  <LinksUpToDate>false</LinksUpToDate>
  <Pages>1</Pages>
  <ScaleCrop>false</ScaleCrop>
  <SharedDoc>false</SharedDoc>
  <TotalTime>6</TotalTime>
  <Words>339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/>
</cp:coreProperties>
</file>