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Style_21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ru-RU" w:bidi="ru-RU"/>
        </w:rPr>
        <w:t xml:space="preserve">АДМИНИСТРАЦИЯ </w:t>
      </w:r>
    </w:p>
    <w:p>
      <w:pPr>
        <w:pStyle w:val="Style_21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ru-RU" w:bidi="ru-RU"/>
        </w:rPr>
        <w:t xml:space="preserve">СЕЛЬСКОГО ПОСЕЛЕНИЯ ЛЕУШИ</w:t>
      </w:r>
    </w:p>
    <w:p>
      <w:pPr>
        <w:pStyle w:val="Style_21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  <w:t xml:space="preserve">Кондинского района</w:t>
      </w:r>
    </w:p>
    <w:p>
      <w:pPr>
        <w:pStyle w:val="Style_21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  <w:t xml:space="preserve">Ханты-Мансийского автономного округа – Югры </w:t>
      </w:r>
    </w:p>
    <w:p>
      <w:pPr>
        <w:pStyle w:val="Style_21"/>
        <w:spacing w:before="0" w:after="0" w:line="240" w:lineRule="auto"/>
        <w:ind w:left="0" w:right="0" w:firstLine="0"/>
        <w:jc w:val="center"/>
        <w:outlineLvl w:val="2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ru-RU" w:bidi="ru-RU"/>
        </w:rPr>
      </w:pPr>
    </w:p>
    <w:p>
      <w:pPr>
        <w:pStyle w:val="Style_21"/>
        <w:spacing w:before="0" w:after="0" w:line="240" w:lineRule="auto"/>
        <w:ind w:left="0" w:right="0" w:firstLine="0"/>
        <w:jc w:val="center"/>
        <w:outlineLvl w:val="2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ru-RU" w:bidi="ru-RU"/>
        </w:rPr>
        <w:t xml:space="preserve">ПОСТАНОВЛЕНИЕ</w:t>
      </w:r>
    </w:p>
    <w:p>
      <w:pPr>
        <w:pStyle w:val="Style_21"/>
        <w:spacing w:before="0" w:after="0" w:line="240" w:lineRule="auto"/>
        <w:ind w:left="0" w:right="0" w:firstLine="0"/>
        <w:jc w:val="center"/>
        <w:outlineLvl w:val="2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ru-RU" w:bidi="ru-RU"/>
        </w:rPr>
      </w:pPr>
    </w:p>
    <w:p>
      <w:pPr>
        <w:pStyle w:val="Style_21"/>
        <w:spacing w:before="0" w:after="0" w:line="240" w:lineRule="auto"/>
        <w:ind w:left="0" w:right="0" w:firstLine="0"/>
        <w:jc w:val="left"/>
        <w:outlineLvl w:val="2"/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  <w:t xml:space="preserve">от 29 марта 2023 года                                                                    № 45</w:t>
      </w:r>
    </w:p>
    <w:p>
      <w:pPr>
        <w:pStyle w:val="Style_21"/>
        <w:spacing w:before="0" w:after="0" w:line="240" w:lineRule="auto"/>
        <w:ind w:left="0" w:right="0" w:firstLine="0"/>
        <w:jc w:val="center"/>
        <w:outlineLvl w:val="2"/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  <w:t xml:space="preserve">с. Леуши</w:t>
      </w:r>
    </w:p>
    <w:p>
      <w:pPr>
        <w:pStyle w:val="Style_21"/>
        <w:spacing w:before="0" w:after="0" w:line="240" w:lineRule="auto"/>
        <w:ind w:left="0" w:right="0" w:firstLine="0"/>
        <w:jc w:val="center"/>
        <w:outlineLvl w:val="2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ru-RU" w:bidi="ru-RU"/>
        </w:rPr>
      </w:pPr>
    </w:p>
    <w:p>
      <w:pPr>
        <w:pStyle w:val="Style_21"/>
        <w:spacing w:before="0" w:after="0" w:line="240" w:lineRule="auto"/>
        <w:ind w:left="0" w:right="0" w:firstLine="0"/>
        <w:jc w:val="left"/>
        <w:outlineLvl w:val="2"/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  <w:t xml:space="preserve">Об утверждении Положения о гарантиях </w:t>
      </w:r>
    </w:p>
    <w:p>
      <w:pPr>
        <w:pStyle w:val="Style_21"/>
        <w:spacing w:before="0" w:after="0" w:line="240" w:lineRule="auto"/>
        <w:ind w:left="0" w:right="0" w:firstLine="0"/>
        <w:jc w:val="left"/>
        <w:outlineLvl w:val="2"/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  <w:t xml:space="preserve">и компенсациях для лиц, проживающих в </w:t>
      </w:r>
    </w:p>
    <w:p>
      <w:pPr>
        <w:pStyle w:val="Style_21"/>
        <w:spacing w:before="0" w:after="0" w:line="240" w:lineRule="auto"/>
        <w:ind w:left="0" w:right="0" w:firstLine="0"/>
        <w:jc w:val="left"/>
        <w:outlineLvl w:val="2"/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  <w:t xml:space="preserve">муниципальном образовании сельское поселение </w:t>
      </w:r>
    </w:p>
    <w:p>
      <w:pPr>
        <w:pStyle w:val="Style_21"/>
        <w:spacing w:before="0" w:after="0" w:line="240" w:lineRule="auto"/>
        <w:ind w:left="0" w:right="0" w:firstLine="0"/>
        <w:jc w:val="left"/>
        <w:outlineLvl w:val="2"/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  <w:t xml:space="preserve">Леуши и работающих в организациях, финансируемых </w:t>
      </w:r>
    </w:p>
    <w:p>
      <w:pPr>
        <w:pStyle w:val="Style_21"/>
        <w:spacing w:before="0" w:after="0" w:line="240" w:lineRule="auto"/>
        <w:ind w:left="0" w:right="0" w:firstLine="0"/>
        <w:jc w:val="left"/>
        <w:outlineLvl w:val="2"/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  <w:t xml:space="preserve">из бюджета сельского поселения Леуши </w:t>
      </w:r>
    </w:p>
    <w:p>
      <w:pPr>
        <w:pStyle w:val="Style_20"/>
        <w:spacing w:before="0" w:after="0" w:line="240" w:lineRule="auto"/>
        <w:ind w:left="0" w:right="0" w:firstLine="568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568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Руководствуясь </w:t>
      </w:r>
      <w:hyperlink r:id="rId9">
        <w:r>
          <w:rPr>
            <w:rFonts w:ascii="Times New Roman" w:hAnsi="Times New Roman" w:eastAsia="Times New Roman" w:cs="Times New Roman"/>
            <w:sz w:val="24"/>
            <w:szCs w:val="24"/>
            <w:lang w:val="ru-RU" w:bidi="ru-RU"/>
          </w:rPr>
          <w:t xml:space="preserve">статьями 313</w:t>
        </w:r>
      </w:hyperlink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, </w:t>
      </w:r>
      <w:hyperlink r:id="rId10">
        <w:r>
          <w:rPr>
            <w:rFonts w:ascii="Times New Roman" w:hAnsi="Times New Roman" w:eastAsia="Times New Roman" w:cs="Times New Roman"/>
            <w:sz w:val="24"/>
            <w:szCs w:val="24"/>
            <w:lang w:val="ru-RU" w:bidi="ru-RU"/>
          </w:rPr>
          <w:t xml:space="preserve">316</w:t>
        </w:r>
      </w:hyperlink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, </w:t>
      </w:r>
      <w:hyperlink r:id="rId11">
        <w:r>
          <w:rPr>
            <w:rFonts w:ascii="Times New Roman" w:hAnsi="Times New Roman" w:eastAsia="Times New Roman" w:cs="Times New Roman"/>
            <w:sz w:val="24"/>
            <w:szCs w:val="24"/>
            <w:lang w:val="ru-RU" w:bidi="ru-RU"/>
          </w:rPr>
          <w:t xml:space="preserve">317</w:t>
        </w:r>
      </w:hyperlink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, </w:t>
      </w:r>
      <w:hyperlink r:id="rId12">
        <w:r>
          <w:rPr>
            <w:rFonts w:ascii="Times New Roman" w:hAnsi="Times New Roman" w:eastAsia="Times New Roman" w:cs="Times New Roman"/>
            <w:sz w:val="24"/>
            <w:szCs w:val="24"/>
            <w:lang w:val="ru-RU" w:bidi="ru-RU"/>
          </w:rPr>
          <w:t xml:space="preserve">323</w:t>
        </w:r>
      </w:hyperlink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, </w:t>
      </w:r>
      <w:hyperlink r:id="rId13">
        <w:r>
          <w:rPr>
            <w:rFonts w:ascii="Times New Roman" w:hAnsi="Times New Roman" w:eastAsia="Times New Roman" w:cs="Times New Roman"/>
            <w:sz w:val="24"/>
            <w:szCs w:val="24"/>
            <w:lang w:val="ru-RU" w:bidi="ru-RU"/>
          </w:rPr>
          <w:t xml:space="preserve">326 Трудового кодекса Российской Федерации</w:t>
        </w:r>
      </w:hyperlink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, </w:t>
      </w:r>
      <w:hyperlink r:id="rId14">
        <w:r>
          <w:rPr>
            <w:rFonts w:ascii="Times New Roman" w:hAnsi="Times New Roman" w:eastAsia="Times New Roman" w:cs="Times New Roman"/>
            <w:sz w:val="24"/>
            <w:szCs w:val="24"/>
            <w:lang w:val="ru-RU" w:bidi="ru-RU"/>
          </w:rPr>
          <w:t xml:space="preserve">Законом Российской Федерации от 19 февраля 1993 года № 4520-1                               «О государственных гарантиях и компенсациях для лиц, работающих и проживающих в районах Крайнего Севера и приравненных к ним местностях</w:t>
        </w:r>
      </w:hyperlink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», принимая во внимание Закон Ханты-Мансийского автономного округа – Югры от 09 декабря 2004 года № 76-оз «О гарантиях и компенсациях для лиц, проживающих в Ханты-Мансийском автономном округе – Югре, работающих в государственных органах и государственных учреждениях Ханты-Мансийского автономного округа – Югры, территориальном фонде обязательного медицинского страхования Ханты-Мансийского автономного округа – Югры», администрация сельского поселения Леуши постановляет: </w:t>
      </w:r>
    </w:p>
    <w:p>
      <w:pPr>
        <w:shd w:val="clear" w:fill="ffffff"/>
        <w:tabs>
          <w:tab w:val="left" w:pos="709"/>
          <w:tab w:val="left" w:pos="851"/>
          <w:tab w:val="left" w:pos="1276"/>
        </w:tabs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1. Утвердить </w:t>
      </w:r>
      <w:hyperlink r:id="rId15">
        <w:r>
          <w:rPr>
            <w:rFonts w:ascii="Times New Roman" w:hAnsi="Times New Roman" w:eastAsia="Times New Roman" w:cs="Times New Roman"/>
            <w:sz w:val="24"/>
            <w:szCs w:val="24"/>
            <w:lang w:val="ru-RU" w:bidi="ru-RU"/>
          </w:rPr>
          <w:t xml:space="preserve">Положение о гарантиях и компенсациях для лиц, проживающих в муниципальном образовании сельское поселение Леуши и работающих в организациях, финансируемых из бюджета сельского поселения Леуши</w:t>
        </w:r>
      </w:hyperlink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 (</w:t>
      </w:r>
      <w:hyperlink r:id="rId16">
        <w:r>
          <w:rPr>
            <w:rFonts w:ascii="Times New Roman" w:hAnsi="Times New Roman" w:eastAsia="Times New Roman" w:cs="Times New Roman"/>
            <w:sz w:val="24"/>
            <w:szCs w:val="24"/>
            <w:lang w:val="ru-RU" w:bidi="ru-RU"/>
          </w:rPr>
          <w:t xml:space="preserve">приложение</w:t>
        </w:r>
      </w:hyperlink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).</w:t>
      </w:r>
    </w:p>
    <w:p>
      <w:pPr>
        <w:shd w:val="clear" w:fill="ffffff"/>
        <w:tabs>
          <w:tab w:val="left" w:pos="709"/>
          <w:tab w:val="left" w:pos="851"/>
          <w:tab w:val="left" w:pos="1276"/>
        </w:tabs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2. 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bidi="ru-RU"/>
        </w:rPr>
        <w:t xml:space="preserve">на официальном сайте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 органов местного самоуправления Кондинского района Ханты-Мансийского автономного округа – Югры. </w:t>
      </w:r>
    </w:p>
    <w:p>
      <w:pPr>
        <w:spacing w:before="0" w:after="0" w:line="240" w:lineRule="auto"/>
        <w:ind w:left="0" w:right="-1" w:firstLine="709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3.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bidi="ru-RU"/>
        </w:rPr>
        <w:t xml:space="preserve">Постановление вступает в силу после его обнародования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.</w:t>
      </w:r>
    </w:p>
    <w:p>
      <w:pPr>
        <w:pStyle w:val="Style_20"/>
        <w:spacing w:before="0" w:after="0" w:line="240" w:lineRule="auto"/>
        <w:ind w:left="0" w:righ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4. Контроль за выполнением постановления оставляю за собой. </w:t>
      </w: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Глава сельского поселения Леуши                                            П.Н.Злыгостев</w:t>
      </w: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5103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Приложение</w:t>
      </w:r>
    </w:p>
    <w:p>
      <w:pPr>
        <w:pStyle w:val="Style_20"/>
        <w:spacing w:before="0" w:after="0" w:line="240" w:lineRule="auto"/>
        <w:ind w:left="0" w:right="0" w:firstLine="5103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к постановлению администрации </w:t>
      </w:r>
    </w:p>
    <w:p>
      <w:pPr>
        <w:pStyle w:val="Style_20"/>
        <w:spacing w:before="0" w:after="0" w:line="240" w:lineRule="auto"/>
        <w:ind w:left="0" w:right="0" w:firstLine="5103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сельского поселения Леуши</w:t>
      </w:r>
    </w:p>
    <w:p>
      <w:pPr>
        <w:pStyle w:val="Style_20"/>
        <w:spacing w:before="0" w:after="0" w:line="240" w:lineRule="auto"/>
        <w:ind w:left="0" w:right="0" w:firstLine="5103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от 29 марта 2023 № 45</w:t>
      </w:r>
    </w:p>
    <w:p>
      <w:pPr>
        <w:pStyle w:val="Style_21"/>
        <w:spacing w:before="0" w:after="0" w:line="240" w:lineRule="auto"/>
        <w:ind w:left="0" w:right="0" w:firstLine="0"/>
        <w:jc w:val="center"/>
        <w:outlineLvl w:val="2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ru-RU" w:bidi="ru-RU"/>
        </w:rPr>
        <w:t xml:space="preserve"> </w:t>
      </w:r>
    </w:p>
    <w:p>
      <w:pPr>
        <w:pStyle w:val="Style_21"/>
        <w:spacing w:before="0" w:after="0" w:line="240" w:lineRule="auto"/>
        <w:ind w:left="0" w:right="0" w:firstLine="0"/>
        <w:jc w:val="center"/>
        <w:outlineLvl w:val="2"/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  <w:t xml:space="preserve">Положение о гарантиях и компенсациях для лиц, проживающих в муниципальном образовании сельское поселение Леуши и работающих в организациях, финансируемых из бюджета сельского поселения Леуши</w:t>
      </w:r>
    </w:p>
    <w:p>
      <w:pPr>
        <w:pStyle w:val="Style_21"/>
        <w:spacing w:before="0" w:after="0" w:line="240" w:lineRule="auto"/>
        <w:ind w:left="0" w:right="0" w:firstLine="0"/>
        <w:jc w:val="center"/>
        <w:outlineLvl w:val="2"/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  <w:t xml:space="preserve">(далее – Положение)</w:t>
      </w:r>
    </w:p>
    <w:p>
      <w:pPr>
        <w:pStyle w:val="Style_21"/>
        <w:spacing w:before="0" w:after="0" w:line="240" w:lineRule="auto"/>
        <w:ind w:left="0" w:right="0" w:firstLine="0"/>
        <w:jc w:val="center"/>
        <w:outlineLvl w:val="3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ru-RU" w:bidi="ru-RU"/>
        </w:rPr>
      </w:pPr>
    </w:p>
    <w:p>
      <w:pPr>
        <w:pStyle w:val="Style_21"/>
        <w:spacing w:before="0" w:after="0" w:line="240" w:lineRule="auto"/>
        <w:ind w:left="0" w:right="0" w:firstLine="0"/>
        <w:jc w:val="center"/>
        <w:outlineLvl w:val="3"/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  <w:t xml:space="preserve">Статья 1. Общие положения </w:t>
      </w:r>
    </w:p>
    <w:p>
      <w:pPr>
        <w:pStyle w:val="Style_21"/>
        <w:spacing w:before="0" w:after="0" w:line="240" w:lineRule="auto"/>
        <w:ind w:left="0" w:right="0" w:firstLine="0"/>
        <w:jc w:val="center"/>
        <w:outlineLvl w:val="3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568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Настоящее Положение разработано в соответствии с </w:t>
      </w:r>
      <w:hyperlink r:id="rId17">
        <w:r>
          <w:rPr>
            <w:rFonts w:ascii="Times New Roman" w:hAnsi="Times New Roman" w:eastAsia="Times New Roman" w:cs="Times New Roman"/>
            <w:sz w:val="24"/>
            <w:szCs w:val="24"/>
            <w:lang w:val="ru-RU" w:bidi="ru-RU"/>
          </w:rPr>
          <w:t xml:space="preserve">Конституцией Российской Федерации</w:t>
        </w:r>
      </w:hyperlink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, </w:t>
      </w:r>
      <w:hyperlink r:id="rId18">
        <w:r>
          <w:rPr>
            <w:rFonts w:ascii="Times New Roman" w:hAnsi="Times New Roman" w:eastAsia="Times New Roman" w:cs="Times New Roman"/>
            <w:sz w:val="24"/>
            <w:szCs w:val="24"/>
            <w:lang w:val="ru-RU" w:bidi="ru-RU"/>
          </w:rPr>
          <w:t xml:space="preserve">Трудовым кодексом Российской Федерации</w:t>
        </w:r>
      </w:hyperlink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, </w:t>
      </w:r>
      <w:hyperlink r:id="rId19">
        <w:r>
          <w:rPr>
            <w:rFonts w:ascii="Times New Roman" w:hAnsi="Times New Roman" w:eastAsia="Times New Roman" w:cs="Times New Roman"/>
            <w:sz w:val="24"/>
            <w:szCs w:val="24"/>
            <w:lang w:val="ru-RU" w:bidi="ru-RU"/>
          </w:rPr>
          <w:t xml:space="preserve">Законом Российской Федерации от 19 февраля 1993 года № 4520-1 «О государственных гарантиях и компенсациях для лиц, работающих и проживающих в районах Крайнего Севера и приравненных к ним местностях</w:t>
        </w:r>
      </w:hyperlink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», принимая во внимание Закон Ханты-Мансийского автономного округа – Югры от 09 декабря 2004 года № 76-оз «О гарантиях и компенсациях для лиц, проживающих в Ханты-Мансийском автономном округе – Югре, работающих в государственных органах и государственных учреждениях Ханты-Мансийского автономного округа – Югры, территориальном фонде обязательного медицинского страхования Ханты-Мансийского автономного округа – Югры».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Настоящее Положение определяет размер, условия и порядок предоставления отдельных гарантий и компенсаций, установленных федеральным законодательством, и устанавливает дополнительные гарантии и компенсации для лиц, проживающих в сельском поселении Леуши и работающих в организациях, финансируемых из бюджета сельского поселения Леуши.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  <w:t xml:space="preserve"> </w:t>
      </w:r>
    </w:p>
    <w:p>
      <w:pPr>
        <w:pStyle w:val="Style_21"/>
        <w:spacing w:before="0" w:after="0" w:line="240" w:lineRule="auto"/>
        <w:ind w:left="0" w:right="0" w:firstLine="0"/>
        <w:jc w:val="center"/>
        <w:outlineLvl w:val="3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ru-RU" w:bidi="ru-RU"/>
        </w:rPr>
      </w:pPr>
    </w:p>
    <w:p>
      <w:pPr>
        <w:pStyle w:val="Style_21"/>
        <w:spacing w:before="0" w:after="0" w:line="240" w:lineRule="auto"/>
        <w:ind w:left="0" w:right="0" w:firstLine="0"/>
        <w:jc w:val="center"/>
        <w:outlineLvl w:val="3"/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  <w:t xml:space="preserve">Статья 2. Основные понятия </w:t>
      </w:r>
    </w:p>
    <w:p>
      <w:pPr>
        <w:pStyle w:val="Style_21"/>
        <w:spacing w:before="0" w:after="0" w:line="240" w:lineRule="auto"/>
        <w:ind w:left="0" w:right="0" w:firstLine="0"/>
        <w:jc w:val="center"/>
        <w:outlineLvl w:val="3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1. В целях применения настоящего Положения используются следующие понятия и определения: </w:t>
      </w:r>
    </w:p>
    <w:p>
      <w:pPr>
        <w:pStyle w:val="Style_20"/>
        <w:spacing w:before="0" w:after="0" w:line="240" w:lineRule="auto"/>
        <w:ind w:left="0" w:right="0" w:firstLine="568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организации, финансируемые из бюджета сельского поселения Леуши (далее – организации), - орган местного самоуправления муниципального образования сельское поселение Леуши и муниципальные учреждения, подведомственные органу местного самоуправления муниципального образования сельское поселение Леуши; </w:t>
      </w:r>
    </w:p>
    <w:p>
      <w:pPr>
        <w:pStyle w:val="Style_20"/>
        <w:spacing w:before="0" w:after="0" w:line="240" w:lineRule="auto"/>
        <w:ind w:left="0" w:right="0" w:firstLine="568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работники - лица, проживающие в муниципальном образовании сельское поселение Леуши, замещающие выборные должности в органе местного самоуправления муниципального образования сельское поселение Леуши и осуществляющие свои полномочия на постоянной основе; муниципальные служащие органа местного самоуправления муниципального образования сельское поселение Леуши; лица, заключившие трудовые договоры с организациями (работодателями), указанными в абзаце втором настоящей статьи, финансируемыми из бюджета сельского поселения Леуши; </w:t>
      </w:r>
    </w:p>
    <w:p>
      <w:pPr>
        <w:pStyle w:val="Style_20"/>
        <w:spacing w:before="0" w:after="0" w:line="240" w:lineRule="auto"/>
        <w:ind w:left="0" w:right="0" w:firstLine="568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личный транспорт работника - принадлежащее на праве собственности работнику или членам его семьи (супругу (супруге), детям) или родителям транспортное средство, отнесенное к категориям «А» и «В» в соответствии с федеральным законодательством; </w:t>
      </w:r>
    </w:p>
    <w:p>
      <w:pPr>
        <w:pStyle w:val="Style_20"/>
        <w:spacing w:before="0" w:after="0" w:line="240" w:lineRule="auto"/>
        <w:ind w:left="0" w:right="0" w:firstLine="568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приглашенный специалист - лицо, приглашенное на работу из другого субъекта Российской Федерации, муниципального образования Ханты-Мансийского автономного округа – Югры по письменному приглашению в соответствии с перечнем должностей приглашенных специалистов, состоящее в трудовых отношениях с организацией; </w:t>
      </w:r>
    </w:p>
    <w:p>
      <w:pPr>
        <w:pStyle w:val="Style_20"/>
        <w:spacing w:before="0" w:after="0" w:line="240" w:lineRule="auto"/>
        <w:ind w:left="0" w:right="0" w:firstLine="568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члены семьи работника - супруг (супруга), дети, лица, находящиеся под опекой работника или его попечительством (независимо от того, проживают указанные лица совместно с работником или отдельно от него).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2. Расходы, связанные с предоставлением гарантий и компенсаций, предусмотренных настоящим Положением, производятся за счет средств бюджета сельского поселения Леуши.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3. В целях настоящего Положения словосочетания «бюджет муниципального образования», «бюджет поселения» и «местный бюджет» являются равнозначными. </w:t>
      </w:r>
    </w:p>
    <w:p>
      <w:pPr>
        <w:pStyle w:val="Style_21"/>
        <w:spacing w:before="0" w:after="0" w:line="240" w:lineRule="auto"/>
        <w:ind w:left="0" w:right="0" w:firstLine="0"/>
        <w:jc w:val="center"/>
        <w:outlineLvl w:val="3"/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</w:pPr>
    </w:p>
    <w:p>
      <w:pPr>
        <w:pStyle w:val="Style_21"/>
        <w:spacing w:before="0" w:after="0" w:line="240" w:lineRule="auto"/>
        <w:ind w:left="0" w:right="0" w:firstLine="0"/>
        <w:jc w:val="center"/>
        <w:outlineLvl w:val="3"/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  <w:t xml:space="preserve">Статья 3. Районный коэффициент к денежному содержанию, заработной плате </w:t>
      </w:r>
    </w:p>
    <w:p>
      <w:pPr>
        <w:pStyle w:val="Style_21"/>
        <w:spacing w:before="0" w:after="0" w:line="240" w:lineRule="auto"/>
        <w:ind w:left="0" w:right="0" w:firstLine="0"/>
        <w:jc w:val="center"/>
        <w:outlineLvl w:val="3"/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При исчислении денежного содержания, заработной платы работников (далее – заработная плата) применяется районный коэффициент за работу в районах Крайнего Севера и приравненных к ним местностях, в размере 1,7. </w:t>
      </w:r>
    </w:p>
    <w:p>
      <w:pPr>
        <w:pStyle w:val="Style_21"/>
        <w:spacing w:before="0" w:after="0" w:line="240" w:lineRule="auto"/>
        <w:ind w:left="0" w:right="0" w:firstLine="0"/>
        <w:jc w:val="center"/>
        <w:outlineLvl w:val="3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ru-RU" w:bidi="ru-RU"/>
        </w:rPr>
      </w:pPr>
    </w:p>
    <w:p>
      <w:pPr>
        <w:pStyle w:val="Style_21"/>
        <w:spacing w:before="0" w:after="0" w:line="240" w:lineRule="auto"/>
        <w:ind w:left="0" w:right="0" w:firstLine="0"/>
        <w:jc w:val="center"/>
        <w:outlineLvl w:val="3"/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  <w:t xml:space="preserve">Статья 4. Процентная надбавка к заработной плате </w:t>
      </w:r>
    </w:p>
    <w:p>
      <w:pPr>
        <w:pStyle w:val="Style_21"/>
        <w:spacing w:before="0" w:after="0" w:line="240" w:lineRule="auto"/>
        <w:ind w:left="0" w:right="0" w:firstLine="0"/>
        <w:jc w:val="center"/>
        <w:outlineLvl w:val="3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1. Работникам организаций выплачивается процентная надбавка к заработной плате за стаж работы в районах Крайнего Севера и приравненных к ним местностях (далее – процентная надбавка) в соответствии с законодательством Российской Федерации и Ханты-Мансийского автономного округа – Югры.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Максимальный размер процентной надбавки не должен превышать 50% заработной платы.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2. Процентная надбавка начисляется на заработную плату (без учета районного коэффициента) в следующих размерах: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10% по истечении первого года работы с увеличением на 10% заработной платы за каждый последующий год работы, но не выше 50%;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лицам в возрасте до 35 лет включительно, прожившим в районах Крайнего Севера и приравненных к ним местностях не менее одного года, - 10% за каждые шесть месяцев работы;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лицам в возрасте до 35 лет включительно, прожившим в районах Крайнего Севера и приравненных к ним местностях в совокупности не менее пяти лет, процентная надбавка к заработной плате выплачивается в полном размере с первого дня работы в организациях, финансируемых из местного бюджета. </w:t>
      </w:r>
    </w:p>
    <w:p>
      <w:pPr>
        <w:pStyle w:val="Style_34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3. Лицам, работающим в организациях, финансируемых из бюджета сельского поселения Леуши по наиболее востребованным должностям, профессиям (специальностям), процентная надбавка к заработной плате выплачивается в полном размере с первого дня работы независимо от трудового стажа.</w:t>
      </w:r>
    </w:p>
    <w:p>
      <w:pPr>
        <w:pStyle w:val="Style_34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Перечень должностей, профессий (специальностей), наиболее востребованных в сельском поселении Леуши, утверждается распоряжением администрации сельского поселения Леуши.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4. Документом, подтверждающим факт проживания в районах Крайнего Севера и приравненных к ним местностях не менее пяти лет, являются: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паспорт работника или свидетельство о регистрации по месту пребывания;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справка образовательного учреждения об обучении лица в районах Крайнего Севера и приравненных к ним местностях не менее пяти лет;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справка с предыдущего места (мест) работы о количестве лет работы в данных местностях либо трудовая книжка. </w:t>
      </w:r>
    </w:p>
    <w:p>
      <w:pPr>
        <w:pStyle w:val="Style_21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ru-RU" w:bidi="ru-RU"/>
        </w:rPr>
      </w:pPr>
    </w:p>
    <w:p>
      <w:pPr>
        <w:pStyle w:val="Style_21"/>
        <w:spacing w:before="0" w:after="0" w:line="240" w:lineRule="auto"/>
        <w:ind w:left="0" w:right="0" w:firstLine="0"/>
        <w:jc w:val="center"/>
        <w:outlineLvl w:val="3"/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  <w:t xml:space="preserve">Статья 5. Гарантии и компенсации расходов, связанных с переездом </w:t>
      </w:r>
    </w:p>
    <w:p>
      <w:pPr>
        <w:pStyle w:val="Style_21"/>
        <w:spacing w:before="0" w:after="0" w:line="240" w:lineRule="auto"/>
        <w:ind w:left="0" w:right="0" w:firstLine="0"/>
        <w:jc w:val="center"/>
        <w:outlineLvl w:val="3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1. Лицам, заключившим трудовые договоры (служебные контракты) о работе в организациях, финансируемых из бюджета муниципального образования, расположенных на территории муниципального образования сельское поселение Леуши, и прибывшим в соответствии с этими договорами (контрактами) из других регионов Российской Федерации, муниципальных образований Ханты-Мансийского автономного округа – Югры, за счет средств работодателя предоставляются следующие гарантии и компенсации: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1.1. Единовременное пособие в размере двух должностных окладов (месячных тарифных ставок) и единовременное пособие на каждого прибывающего с ним члена его семьи в размере половины должностного оклада (половины месячной тарифной ставки) работника.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1.2. Компенсация стоимости проезда работника и членов его семьи в пределах территории Российской Федерации по фактическим расходам, а также стоимости провоза багажа не свыше пяти тонн на семью по фактическим расходам, но не свыше тарифов, предусмотренных для перевозки железнодорожным транспортом. В случае отсутствия железнодорожного транспорта - не свыше тарифов, предусмотренных для перевозок речным, автомобильным транспортом, по наименьшей стоимости провоза, а в случае отсутствия речного, автомобильного транспорта - не свыше тарифов, предусмотренных для перевозок воздушным транспортом, по наименьшей стоимости провоза.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1.3. Дополнительный оплачиваемый отпуск продолжительностью семь календарных дней для обустройства на новом месте.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2. Право на компенсацию стоимости проезда и стоимости провоза багажа членов семьи сохраняется в течение одного года со дня заключения работником трудового договора (служебного контракта) в данной организации, расположенной на территории муниципального образования сельское поселение Леуши (далее – муниципальное   образование).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3. Работник организации, финансируемой из бюджета муниципального образования, возвращает денежные средства, выделенные ему в связи с переездом на работу в сельское поселение Леуши, в случае: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3.1. Если он без уважительной причины не приступил к работе в установленный срок.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3.2. Если он уволился до окончания срока, определенного трудовым договором (служебным контрактом), а при отсутствии такого срока - до истечения одного года работы, или был уволен за виновные действия.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4. Работнику и членам его семьи в случае переезда к новому месту жительства в другую местность в связи с расторжением трудового договора, контракта (в соответствии с которым работник прибыл из другого региона Российской Федерации) по любым основаниям (в том числе в случае смерти работника), за исключением увольнения за виновные действия, оплачивается стоимость проезда по фактическим расходам и стоимость провоза багажа из расчета не свыше пяти тонн на семью по фактическим расходам, но не свыше тарифов, предусмотренных для перевозок железнодорожным транспортом. В случае отсутствия железнодорожного транспорта - не свыше тарифов, предусмотренных для перевозок речным, автомобильным транспортом, по наименьшей стоимости провоза, а в случае отсутствия речного, автомобильного транспорта - не свыше тарифов, предусмотренных для перевозок воздушным транспортом, по наименьшей стоимости провоза.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Данная гарантия предоставляется работнику и членам его семьи только в случае, если увольняющийся работник имеет стаж работы в организациях, финансируемых из бюджета муниципального образования, не менее 5 лет.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При переезде к новому месту жительства, находящемуся за пределами территории Российской Федерации, вышеуказанным лицам по фактическим расходам оплачивается стоимость проезда и стоимость провоза багажа из расчета не свыше 5 тонн на семью до конечного географического пункта пересечения государственной границы Российской Федерации, но не свыше тарифов, предусмотренных для перевозок железнодорожным транспортом. В случае отсутствия железнодорожного транспорта - не свыше тарифов, предусмотренных для перевозок речным, автомобильным транспортом, по наименьшей стоимости провоза, а в случае отсутствия речного, автомобильного транспорта - не свыше тарифов, предусмотренных для перевозок воздушным транспортом, по наименьшей стоимости провоза.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5. Работник обязан представить работодателю письменное заявление об оплате стоимости проезда и провоза багажа, а также: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5.1. Копию документа, подтверждающего изменение места жительства и указывающего адрес его нового места жительства.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5.2. Справку с места работы супруга (супруги) о том, что данной семье не производилась компенсация расходов, связанных с переездом к новому месту жительства.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5.3. Копию договора перевозки груза (багажа) и (или) иные документы, подтверждающие перевозку груза (багажа).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5.4. Платежные документы, подтверждающие факт оплаты перевозки.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6. При провозе груза (багажа) оплате подлежат расходы, связанные с оплатой использования контейнера, его провоза, погрузки и разгрузки (работа крана), опломбирования контейнера.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При провозе груза (багажа) оплате не подлежат расходы, связанные с оплатой дополнительных услуг (сборы, комиссии), в том числе добровольного страхования при оформлении провоза груза (багажа), хранения груза (багажа), сбора за оценку стоимости груза (багажа), визирования документов, заполнения накладной и заявки, выдачи справки и других дополнительных услуг.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7. Право на оплату стоимости проезда и стоимости провоза багажа работника и членов его семьи в случае переезда к новому месту жительства в другую местность по основанию, указанному в пункте 4 настоящей статьи, сохраняется в течение шести месяцев со дня расторжения работником трудового договора (служебного контракта).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8. Гарантии и компенсации, предусмотренные настоящей статьей, предоставляются работнику организации только по основному месту работы.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9. Действие подпункта 1.2 пункта 1 настоящей статьи распространяется на лиц, прибывших из районов Крайнего Севера и приравненных к ним местностей, при условии представления документов, подтверждающих, что им и членам их семей при переезде в муниципальное образование в связи с расторжением трудового договора (служебного контракта) по прежнему месту работы не оплачивалась стоимость проезда и провоза багажа в объеме, установленном настоящим Положением. В случае если оплата проезда и провоза багажа по прежнему месту работы осуществлялась, но в меньшем объеме, работнику выплачивается разница между оплатой, предусмотренной настоящей статьей, и фактической оплатой стоимости проезда и провоза багажа. </w:t>
      </w:r>
    </w:p>
    <w:p>
      <w:pPr>
        <w:pStyle w:val="Style_21"/>
        <w:spacing w:before="0" w:after="0" w:line="240" w:lineRule="auto"/>
        <w:ind w:left="0" w:right="0" w:firstLine="0"/>
        <w:jc w:val="center"/>
        <w:outlineLvl w:val="3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ru-RU" w:bidi="ru-RU"/>
        </w:rPr>
      </w:pPr>
    </w:p>
    <w:p>
      <w:pPr>
        <w:pStyle w:val="Style_21"/>
        <w:spacing w:before="0" w:after="0" w:line="240" w:lineRule="auto"/>
        <w:ind w:left="0" w:right="0" w:firstLine="0"/>
        <w:jc w:val="center"/>
        <w:outlineLvl w:val="3"/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  <w:t xml:space="preserve">Статья 6. Возмещение расходов по найму (аренде) жилого помещения </w:t>
      </w:r>
    </w:p>
    <w:p>
      <w:pPr>
        <w:pStyle w:val="Style_21"/>
        <w:spacing w:before="0" w:after="0" w:line="240" w:lineRule="auto"/>
        <w:ind w:left="0" w:right="0" w:firstLine="0"/>
        <w:jc w:val="center"/>
        <w:outlineLvl w:val="3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1. Возмещение расходов по найму (аренде) жилого помещения приглашенным специалистам осуществляется на основании договоров найма (аренды) жилого помещения, заключаемых в соответствии с гражданским законодательством, и письменного приглашения руководителя организации на работу в организацию, финансируемую из бюджета муниципального образования сельское поселение Леуши. </w:t>
      </w:r>
    </w:p>
    <w:p>
      <w:pPr>
        <w:pStyle w:val="Style_20"/>
        <w:spacing w:before="0" w:after="0" w:line="240" w:lineRule="auto"/>
        <w:ind w:left="0" w:righ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2. Организация, финансируемая из бюджета муниципального образования, возмещает приглашенному специалисту расходы по найму (аренде) жилого помещения в случае, если приглашенный специалист: </w:t>
      </w:r>
    </w:p>
    <w:p>
      <w:pPr>
        <w:pStyle w:val="Style_20"/>
        <w:spacing w:before="0" w:after="0" w:line="240" w:lineRule="auto"/>
        <w:ind w:left="0" w:righ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не является собственником жилого помещения или членом семьи собственника жилого помещения, расположенного на территории сельского поселения Леуши; </w:t>
      </w:r>
    </w:p>
    <w:p>
      <w:pPr>
        <w:pStyle w:val="Style_20"/>
        <w:spacing w:before="0" w:after="0" w:line="240" w:lineRule="auto"/>
        <w:ind w:left="0" w:righ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не является нанимателем жилого помещения по договору социального найма или членом семьи нанимателя жилого помещения по договору социального найма на территории сельского поселения Леуши; </w:t>
      </w:r>
    </w:p>
    <w:p>
      <w:pPr>
        <w:pStyle w:val="Style_20"/>
        <w:spacing w:before="0" w:after="0" w:line="240" w:lineRule="auto"/>
        <w:ind w:left="0" w:righ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и обеспечен общей площадью жилого помещения на одного члена семьи менее учетной нормы, установленной органом местного самоуправления сельского поселения Леуши; </w:t>
      </w:r>
    </w:p>
    <w:p>
      <w:pPr>
        <w:pStyle w:val="Style_20"/>
        <w:spacing w:before="0" w:after="0" w:line="240" w:lineRule="auto"/>
        <w:ind w:left="0" w:righ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является нанимателем жилого помещения по договору социального найма, членом семьи нанимателя жилого помещения по договору социального найма или собственником жилого помещения, членом семьи собственника жилого помещения, проживающим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имеющий иного жилого помещения, занимаемого по договору социального найма или принадлежащего на праве собственности на территории сельского поселения Леуши; </w:t>
      </w:r>
    </w:p>
    <w:p>
      <w:pPr>
        <w:pStyle w:val="Style_20"/>
        <w:spacing w:before="0" w:after="0" w:line="240" w:lineRule="auto"/>
        <w:ind w:left="0" w:righ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не является нанимателем или членом семьи нанимателя жилого помещения по договору найма специализированного жилого помещения (общежитие, служебное либо коммерческое жилье). </w:t>
      </w:r>
    </w:p>
    <w:p>
      <w:pPr>
        <w:pStyle w:val="Style_20"/>
        <w:spacing w:before="0" w:after="0" w:line="240" w:lineRule="auto"/>
        <w:ind w:left="0" w:righ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3. Возмещение расходов по найму (аренде) жилого помещения приглашенным специалистам производится при представлении следующих документов: </w:t>
      </w:r>
    </w:p>
    <w:p>
      <w:pPr>
        <w:pStyle w:val="Style_20"/>
        <w:spacing w:before="0" w:after="0" w:line="240" w:lineRule="auto"/>
        <w:ind w:left="0" w:right="0" w:firstLine="568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письменное заявление приглашенного специалиста на имя работодателя (нанимателя) о возмещении расходов по найму (аренде) жилого помещения по форме согласно </w:t>
      </w:r>
      <w:hyperlink r:id="rId20">
        <w:r>
          <w:rPr>
            <w:rFonts w:ascii="Times New Roman" w:hAnsi="Times New Roman" w:eastAsia="Times New Roman" w:cs="Times New Roman"/>
            <w:sz w:val="24"/>
            <w:szCs w:val="24"/>
            <w:lang w:val="ru-RU" w:bidi="ru-RU"/>
          </w:rPr>
          <w:t xml:space="preserve">приложению 1</w:t>
        </w:r>
      </w:hyperlink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 к настоящему Положению; </w:t>
      </w:r>
    </w:p>
    <w:p>
      <w:pPr>
        <w:pStyle w:val="Style_20"/>
        <w:spacing w:before="0" w:after="0" w:line="240" w:lineRule="auto"/>
        <w:ind w:left="0" w:right="0" w:firstLine="568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письменное приглашение руководителя организации по форме согласно </w:t>
      </w:r>
      <w:hyperlink r:id="rId21">
        <w:r>
          <w:rPr>
            <w:rFonts w:ascii="Times New Roman" w:hAnsi="Times New Roman" w:eastAsia="Times New Roman" w:cs="Times New Roman"/>
            <w:sz w:val="24"/>
            <w:szCs w:val="24"/>
            <w:lang w:val="ru-RU" w:bidi="ru-RU"/>
          </w:rPr>
          <w:t xml:space="preserve">приложению 2</w:t>
        </w:r>
      </w:hyperlink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 к настоящему Положению;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справка организации, уполномоченной на ведение государственного технического учета и технической документации, органа, осуществляющего государственную регистрацию прав на недвижимое имущество и сделок с ним, о существующих и прекращенных правах на жилые помещения на приглашенного специалиста и (или) членов его семьи либо отсутствии сведений о регистрации прав на недвижимое имущество;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справка о неполучении приглашенным специалистом и членами его семьи жилых помещений специализированного жилищного фонда;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копия заключенного договора найма (аренды) жилого помещения, расходы по которому предъявляются приглашенным специалистом к возмещению;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документ, подтверждающий факт оплаты найма (аренды) жилого помещения (квитанция, чек, расписка и т.п.).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4. Решение работодателя о возмещении или об отказе в возмещении приглашенному специалисту расходов по найму (аренде) жилого помещения должно быть принято не позднее чем через десять рабочих дней со дня поступления заявления о возмещении расходов по найму (аренде) жилого помещения и иных документов, указанных в пункте 3 настоящей статьи, и оформляется в виде приказа (распоряжения).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5. Отказ в возмещении расходов по найму (аренде) жилого помещения производится в случаях, если: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приглашенным специалистом не представлены предусмотренные пунктом 3 настоящей статьи документы;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приглашение специалиста на работу производилось организацией, финансируемой из бюджета поселения с нарушением пункта 10 настоящей статьи, за исключением случаев, когда приглашение специалиста на работу производилось до вступления в силу настоящего Положения.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6. Возмещение расходов по найму (аренде) жилого помещения приглашенным специалистам производится в пределах бюджетных ассигнований главного распорядителя бюджетных средств поселения на очередной финансовый год.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7. Расходы по найму (аренде) жилого помещения возмещаются приглашенным специалистам ежемесячно в срок до 30 числа месяца, следующего за отчетным.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8. Возмещение расходов производится в размере ежемесячной платы, уплачиваемой приглашенным специалистом по договору найма (аренде) жилого помещения, но не более 10 000 рублей ежемесячно.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Размер ежемесячной платы за жилое помещение, превышающий соответствующую сумму компенсации, уплачивается приглашенным специалистом самостоятельно.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Организации, финансируемые из бюджета сельского поселения Леуши, за счет средств от приносящей доход деятельности вправе осуществлять возмещение расходов по договору найма (аренды) жилого помещения приглашенным специалистам до 100 процентов.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9. Возмещение расходов по найму (аренде) жилых помещений приглашенным специалистам производится не более двух лет со дня оформления трудовых отношений с организацией, выступившей инициатором приглашения указанного специалиста.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10. Организации утверждают перечни должностей, на которые возможно приглашение специалистов, по согласованию с органом администрации, являющимся главным распорядителем бюджетных средств для этой организации.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Руководители организаций осуществляют приглашение специалистов по согласованию с органом администрации, являющимся главным распорядителем бюджетных средств для этой организации.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11. Основаниями для прекращения выплаты приглашенному специалисту возмещения расходов по найму (аренде) жилого помещения являются: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истечение двух лет работы приглашенного специалиста в организации, финансируемой из бюджета муниципального образования сельское поселение Леуши;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досрочное до истечения двух лет работы расторжение с приглашенным специалистом трудового договора;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получение приглашенным специалистом или членом его семьи на территории сельского поселения Леуши жилого помещения по договору социального найма, коммерческого найма, найма служебного жилого помещения; </w:t>
      </w:r>
    </w:p>
    <w:p>
      <w:pPr>
        <w:pStyle w:val="Style_20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приобретение приглашенным специалистом и (или) членами семьи приглашенного специалиста на территории сельского поселения Леуши жилого помещения в собственность. </w:t>
      </w: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35"/>
        <w:spacing w:before="0" w:after="0" w:line="240" w:lineRule="auto"/>
        <w:ind w:left="4963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Приложение 1 к Положению</w:t>
      </w:r>
    </w:p>
    <w:p>
      <w:pPr>
        <w:pStyle w:val="Style_35"/>
        <w:spacing w:before="0" w:after="0" w:line="240" w:lineRule="auto"/>
        <w:ind w:left="4963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tbl>
      <w:tblPr>
        <w:tblStyle w:val="Style_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left w:w="108" w:type="dxa"/>
          <w:right w:w="108" w:type="dxa"/>
        </w:tblCellMar>
      </w:tblPr>
      <w:tblGrid>
        <w:gridCol w:w="5257"/>
        <w:gridCol w:w="4315"/>
      </w:tblGrid>
      <w:tr>
        <w:tc>
          <w:tcPr>
            <w:tcW w:w="5257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top"/>
          </w:tcPr>
          <w:p>
            <w:pPr>
              <w:spacing w:before="0" w:after="0" w:line="259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315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top"/>
          </w:tcPr>
          <w:p>
            <w:pPr>
              <w:spacing w:before="0" w:after="0" w:line="259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_____________________________</w:t>
            </w:r>
          </w:p>
          <w:p>
            <w:pPr>
              <w:spacing w:before="0" w:after="0" w:line="259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_____________________________</w:t>
            </w:r>
          </w:p>
          <w:p>
            <w:pPr>
              <w:spacing w:before="0" w:after="0" w:line="259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(указывается организация, финансируемая из бюджета сельского поселения Леуши,  в которой осуществляется трудовая деятельность работника)</w:t>
            </w:r>
          </w:p>
        </w:tc>
      </w:tr>
    </w:tbl>
    <w:p>
      <w:pPr>
        <w:spacing w:before="0" w:after="0" w:line="259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108" w:after="0" w:line="259" w:lineRule="auto"/>
        <w:ind w:left="-567" w:right="0" w:firstLine="0"/>
        <w:jc w:val="center"/>
        <w:outlineLvl w:val="0"/>
        <w:rPr>
          <w:rFonts w:ascii="Times New Roman" w:hAnsi="Times New Roman" w:eastAsia="Times New Roman" w:cs="Times New Roman"/>
          <w:color w:val="26282f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color w:val="26282f"/>
          <w:sz w:val="24"/>
          <w:szCs w:val="24"/>
          <w:lang w:val="ru-RU" w:bidi="ru-RU"/>
        </w:rPr>
        <w:t xml:space="preserve">Заявление</w:t>
      </w:r>
    </w:p>
    <w:p>
      <w:pPr>
        <w:spacing w:before="0" w:after="0" w:line="259" w:lineRule="auto"/>
        <w:ind w:left="-567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59" w:lineRule="auto"/>
        <w:ind w:left="-567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Фамилия, имя, отчество (без сокращений) ____________________________________________________________________,</w:t>
      </w:r>
    </w:p>
    <w:p>
      <w:pPr>
        <w:spacing w:before="0" w:after="0" w:line="259" w:lineRule="auto"/>
        <w:ind w:left="-567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паспорт гражданина _________________ (указывается наименование государства), серия ________ № _______________, кем выдан ________________________________________________________________________________________________, дата выдачи ___________________,</w:t>
      </w:r>
    </w:p>
    <w:p>
      <w:pPr>
        <w:spacing w:before="0" w:after="0" w:line="259" w:lineRule="auto"/>
        <w:ind w:left="-567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адрес регистрации по месту жительства _________________________________________________________________________________________________________________________________________,</w:t>
      </w:r>
    </w:p>
    <w:p>
      <w:pPr>
        <w:spacing w:before="0" w:after="0" w:line="259" w:lineRule="auto"/>
        <w:ind w:left="-567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адрес регистрации по месту пребывания _________________________________________________________________________________________________________________________________________,</w:t>
      </w:r>
    </w:p>
    <w:p>
      <w:pPr>
        <w:spacing w:before="0" w:after="0" w:line="259" w:lineRule="auto"/>
        <w:ind w:left="-567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адрес фактического места жительства _________________________________________________________________________________________________________________________________________,</w:t>
      </w:r>
    </w:p>
    <w:p>
      <w:pPr>
        <w:spacing w:before="0" w:after="0" w:line="259" w:lineRule="auto"/>
        <w:ind w:left="-567" w:right="0" w:firstLine="72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телефон ________________, электронный адрес ______________________.</w:t>
      </w:r>
    </w:p>
    <w:p>
      <w:pPr>
        <w:spacing w:before="0" w:after="0" w:line="259" w:lineRule="auto"/>
        <w:ind w:left="-567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Прошу возместить расходы по найму (аренде) жилого помещения в соответствии с договором найма (аренды) жилого помещения от _____________________, заключенного с</w:t>
      </w:r>
    </w:p>
    <w:p>
      <w:pPr>
        <w:spacing w:before="0" w:after="0" w:line="259" w:lineRule="auto"/>
        <w:ind w:left="-567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____________________________________________________________________.</w:t>
      </w:r>
    </w:p>
    <w:tbl>
      <w:tblPr>
        <w:tblStyle w:val="Style_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0220"/>
      </w:tblGrid>
      <w:tr>
        <w:tc>
          <w:tcPr>
            <w:tcW w:w="10220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top"/>
          </w:tcPr>
          <w:p>
            <w:pPr>
              <w:spacing w:before="0" w:after="0" w:line="259" w:lineRule="auto"/>
              <w:ind w:left="-567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(указывается фамилия, имя, отчество (без сокращений) наймодателя)</w:t>
            </w:r>
          </w:p>
        </w:tc>
      </w:tr>
    </w:tbl>
    <w:p>
      <w:pPr>
        <w:spacing w:before="0" w:after="0" w:line="259" w:lineRule="auto"/>
        <w:ind w:left="-567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59" w:lineRule="auto"/>
        <w:ind w:left="-567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В состав моей семьи входят:</w:t>
      </w:r>
    </w:p>
    <w:tbl>
      <w:tblPr>
        <w:tblStyle w:val="Style_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left w:w="108" w:type="dxa"/>
          <w:right w:w="108" w:type="dxa"/>
        </w:tblCellMar>
      </w:tblPr>
      <w:tblGrid>
        <w:gridCol w:w="2459"/>
        <w:gridCol w:w="2069"/>
        <w:gridCol w:w="2586"/>
        <w:gridCol w:w="2458"/>
      </w:tblGrid>
      <w:tr>
        <w:tc>
          <w:tcPr>
            <w:tcW w:w="24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Фамилия, имя, отчество члена семьи (без сокращений)</w:t>
            </w:r>
          </w:p>
        </w:tc>
        <w:tc>
          <w:tcPr>
            <w:tcW w:w="206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59" w:lineRule="auto"/>
              <w:ind w:left="2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Дата рождения</w:t>
            </w:r>
          </w:p>
        </w:tc>
        <w:tc>
          <w:tcPr>
            <w:tcW w:w="258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59" w:lineRule="auto"/>
              <w:ind w:left="15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Реквизиты документа, удостоверяющего личность</w:t>
            </w:r>
          </w:p>
        </w:tc>
        <w:tc>
          <w:tcPr>
            <w:tcW w:w="245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59" w:lineRule="auto"/>
              <w:ind w:left="45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Степень родства по отношению к заявителю</w:t>
            </w:r>
          </w:p>
        </w:tc>
      </w:tr>
      <w:tr>
        <w:tc>
          <w:tcPr>
            <w:tcW w:w="24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59" w:lineRule="auto"/>
              <w:ind w:left="-567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06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59" w:lineRule="auto"/>
              <w:ind w:left="-567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59" w:lineRule="auto"/>
              <w:ind w:left="-567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45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59" w:lineRule="auto"/>
              <w:ind w:left="-567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</w:tr>
      <w:tr>
        <w:tc>
          <w:tcPr>
            <w:tcW w:w="24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59" w:lineRule="auto"/>
              <w:ind w:left="-567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06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59" w:lineRule="auto"/>
              <w:ind w:left="-567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8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59" w:lineRule="auto"/>
              <w:ind w:left="-567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45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59" w:lineRule="auto"/>
              <w:ind w:left="-567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</w:tr>
    </w:tbl>
    <w:p>
      <w:pPr>
        <w:spacing w:before="0" w:after="0" w:line="259" w:lineRule="auto"/>
        <w:ind w:left="-567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59" w:lineRule="auto"/>
        <w:ind w:left="-567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Об изменении фактов, являющихся основанием для возмещения расходов по найму жилого помещения, обязуюсь сообщать в установленные сроки.</w:t>
      </w:r>
    </w:p>
    <w:p>
      <w:pPr>
        <w:spacing w:before="0" w:after="0" w:line="259" w:lineRule="auto"/>
        <w:ind w:left="-567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tbl>
      <w:tblPr>
        <w:tblStyle w:val="Style_11"/>
        <w:tblW w:w="100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5040"/>
        <w:gridCol w:w="5040"/>
      </w:tblGrid>
      <w:tr>
        <w:tc>
          <w:tcPr>
            <w:tcW w:w="5040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top"/>
          </w:tcPr>
          <w:p>
            <w:pPr>
              <w:spacing w:before="0" w:after="0" w:line="259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Дата _______________</w:t>
            </w:r>
          </w:p>
        </w:tc>
        <w:tc>
          <w:tcPr>
            <w:tcW w:w="5040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top"/>
          </w:tcPr>
          <w:p>
            <w:pPr>
              <w:spacing w:before="0" w:after="0" w:line="259" w:lineRule="auto"/>
              <w:ind w:left="-45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Подпись _______________</w:t>
            </w:r>
          </w:p>
        </w:tc>
      </w:tr>
    </w:tbl>
    <w:p>
      <w:pPr>
        <w:pStyle w:val="Style_35"/>
        <w:spacing w:before="0" w:after="0" w:line="240" w:lineRule="auto"/>
        <w:ind w:left="4963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35"/>
        <w:spacing w:before="0" w:after="0" w:line="240" w:lineRule="auto"/>
        <w:ind w:left="4963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35"/>
        <w:spacing w:before="0" w:after="0" w:line="240" w:lineRule="auto"/>
        <w:ind w:left="4963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35"/>
        <w:spacing w:before="0" w:after="0" w:line="240" w:lineRule="auto"/>
        <w:ind w:left="4963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35"/>
        <w:spacing w:before="0" w:after="0" w:line="240" w:lineRule="auto"/>
        <w:ind w:left="4963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Приложение 2 к Положению</w:t>
      </w:r>
    </w:p>
    <w:p>
      <w:pPr>
        <w:pStyle w:val="Style_35"/>
        <w:spacing w:before="0" w:after="0" w:line="240" w:lineRule="auto"/>
        <w:ind w:left="-567" w:right="0" w:firstLine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bidi="ru-RU"/>
        </w:rPr>
      </w:pPr>
    </w:p>
    <w:p>
      <w:pPr>
        <w:pStyle w:val="Style_35"/>
        <w:spacing w:before="0" w:after="0" w:line="240" w:lineRule="auto"/>
        <w:ind w:left="-567" w:right="0" w:firstLine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bidi="ru-RU"/>
        </w:rPr>
      </w:pPr>
    </w:p>
    <w:p>
      <w:pPr>
        <w:spacing w:before="0" w:after="0" w:line="240" w:lineRule="auto"/>
        <w:ind w:left="0" w:right="0" w:firstLine="698"/>
        <w:jc w:val="right"/>
        <w:rPr>
          <w:rFonts w:ascii="Times New Roman" w:hAnsi="Times New Roman" w:eastAsia="Times New Roman" w:cs="Times New Roman"/>
          <w:i/>
          <w:iCs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val="ru-RU" w:bidi="ru-RU"/>
        </w:rPr>
        <w:t xml:space="preserve">заполняется на бланке организации</w:t>
      </w:r>
    </w:p>
    <w:p>
      <w:pPr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40" w:lineRule="auto"/>
        <w:ind w:left="0" w:right="0" w:firstLine="698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Кому__________________</w:t>
      </w:r>
    </w:p>
    <w:p>
      <w:pPr>
        <w:spacing w:before="0" w:after="0" w:line="240" w:lineRule="auto"/>
        <w:ind w:left="0" w:right="0" w:firstLine="698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_______________________</w:t>
      </w:r>
    </w:p>
    <w:p>
      <w:pPr>
        <w:spacing w:before="0" w:after="0" w:line="240" w:lineRule="auto"/>
        <w:ind w:left="0" w:right="0" w:firstLine="698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_______________________</w:t>
      </w:r>
    </w:p>
    <w:p>
      <w:pPr>
        <w:spacing w:before="0" w:after="0" w:line="240" w:lineRule="auto"/>
        <w:ind w:left="0" w:right="0" w:firstLine="698"/>
        <w:jc w:val="center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40" w:lineRule="auto"/>
        <w:ind w:left="0" w:right="0" w:firstLine="698"/>
        <w:jc w:val="center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40" w:lineRule="auto"/>
        <w:ind w:left="0" w:right="0" w:firstLine="698"/>
        <w:jc w:val="center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Приглашение на работу</w:t>
      </w:r>
    </w:p>
    <w:p>
      <w:pPr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Уважаемый (ая)_______!</w:t>
      </w:r>
    </w:p>
    <w:p>
      <w:pPr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Приглашаем Вас заключить трудовой договор (контракт) на исполнение обязанностей (замещение должности)_____________________________________________</w:t>
      </w:r>
    </w:p>
    <w:p>
      <w:pPr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___________________________________________________________________ на условиях, предусмотренных проектом трудового договора (контракта).</w:t>
      </w:r>
    </w:p>
    <w:p>
      <w:pPr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Настоящее приглашение действует на срок до ___________________.</w:t>
      </w:r>
    </w:p>
    <w:p>
      <w:pPr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В случае, если Вы не приступите к исполнению трудовой функции по вышеуказанной должности в срок, указанный в настоящем приглашении, такое обстоятельство будет расценено как отказ от заключения Вами трудового договора (контракта).</w:t>
      </w:r>
    </w:p>
    <w:p>
      <w:pPr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Приложение:</w:t>
      </w:r>
    </w:p>
    <w:p>
      <w:pPr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Проект трудового договора (контракта) на _____л.</w:t>
      </w:r>
    </w:p>
    <w:p>
      <w:pPr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tbl>
      <w:tblPr>
        <w:tblStyle w:val="Style_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6048"/>
        <w:gridCol w:w="3308"/>
      </w:tblGrid>
      <w:tr>
        <w:tc>
          <w:tcPr>
            <w:tcW w:w="6048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Руководитель организации</w:t>
            </w:r>
          </w:p>
        </w:tc>
        <w:tc>
          <w:tcPr>
            <w:tcW w:w="3308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Фамилия имя отчество</w:t>
            </w: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sectPr>
      <w:headerReference w:type="default" r:id="rId8"/>
      <w:footnotePr>
        <w:pos w:val="pageBottom"/>
      </w:footnotePr>
      <w:type w:val="continuous"/>
      <w:pgSz w:w="11907" w:h="16840"/>
      <w:pgMar w:top="1134" w:right="850" w:bottom="1134" w:left="1701" w:header="280" w:footer="280" w:gutter="0"/>
      <w:cols w:num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2"/>
          <w:szCs w:val="22"/>
          <w:lang w:val="ru-RU" w:bidi="ru-RU"/>
        </w:rPr>
      </w:pPr>
      <w:r>
        <w:rPr>
          <w:rFonts w:ascii="Courier New" w:hAnsi="Courier New" w:eastAsia="Courier New" w:cs="Courier New"/>
          <w:sz w:val="22"/>
          <w:szCs w:val="22"/>
          <w:lang w:val="ru-RU" w:bidi="ru-RU"/>
        </w:rPr>
        <w:separator/>
      </w:r>
    </w:p>
  </w:endnote>
  <w:endnote w:type="continuationSeparator" w:id="1">
    <w:p>
      <w:pPr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2"/>
          <w:szCs w:val="22"/>
          <w:lang w:val="ru-RU" w:bidi="ru-RU"/>
        </w:rPr>
      </w:pPr>
      <w:r>
        <w:rPr>
          <w:rFonts w:ascii="Courier New" w:hAnsi="Courier New" w:eastAsia="Courier New" w:cs="Courier New"/>
          <w:sz w:val="22"/>
          <w:szCs w:val="22"/>
          <w:lang w:val="ru-RU" w:bidi="ru-RU"/>
        </w:rP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ourier New">
    <w:panose1 w:val="02070309020205020404"/>
  </w:font>
  <w:font w:name="Arial, sans-serif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2"/>
          <w:szCs w:val="22"/>
          <w:lang w:val="ru-RU" w:bidi="ru-RU"/>
        </w:rPr>
      </w:pPr>
      <w:r>
        <w:rPr>
          <w:rFonts w:ascii="Courier New" w:hAnsi="Courier New" w:eastAsia="Courier New" w:cs="Courier New"/>
          <w:sz w:val="22"/>
          <w:szCs w:val="22"/>
          <w:lang w:val="ru-RU" w:bidi="ru-RU"/>
        </w:rPr>
        <w:separator/>
      </w:r>
    </w:p>
  </w:footnote>
  <w:footnote w:type="continuationSeparator" w:id="1">
    <w:p>
      <w:pPr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2"/>
          <w:szCs w:val="22"/>
          <w:lang w:val="ru-RU" w:bidi="ru-RU"/>
        </w:rPr>
      </w:pPr>
      <w:r>
        <w:rPr>
          <w:rFonts w:ascii="Courier New" w:hAnsi="Courier New" w:eastAsia="Courier New" w:cs="Courier New"/>
          <w:sz w:val="22"/>
          <w:szCs w:val="22"/>
          <w:lang w:val="ru-RU" w:bidi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before="0" w:after="0" w:line="240" w:lineRule="auto"/>
      <w:ind w:left="0" w:right="0" w:firstLine="0"/>
      <w:jc w:val="left"/>
      <w:rPr>
        <w:rFonts w:ascii="Arial, sans-serif" w:hAnsi="Arial, sans-serif" w:eastAsia="Arial, sans-serif" w:cs="Arial, sans-serif"/>
        <w:sz w:val="16"/>
        <w:szCs w:val="16"/>
        <w:lang w:val="ru-RU" w:bidi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pos w:val="pageBottom"/>
    <w:footnote w:id="0"/>
    <w:footnote w:id="1"/>
  </w:footnotePr>
  <w:endnotePr>
    <w:pos w:val="docEnd"/>
    <w:endnote w:id="0"/>
    <w:endnote w:id="1"/>
  </w:endnotePr>
  <w:compat>
    <w:forgetLastTabAlignment w:val="true"/>
    <w:doNotUseHTMLParagraphAutoSpacing w:val="true"/>
    <w:compatSetting w:name="compatibilityMode" w:uri="http://schemas.microsoft.com/office/word" w:val="11"/>
  </w:compat>
  <m:mathPr>
    <m:mathFont m:val="Cambria Math"/>
    <m:brkBin m:val="before"/>
    <m:brkBinSub m:val="--"/>
    <m:dispDef m:val="false"/>
    <m:lMargin m:val="0"/>
    <m:rMargin m:val="0"/>
    <m:defJc m:val="center"/>
    <m:wrapIndent m:val="1440"/>
    <m:intLim m:val="subSup"/>
    <m:naryLim m:val="undOvr"/>
  </m:mathPr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sz w:val="22"/>
      </w:rPr>
    </w:rPrDefault>
    <w:pPrDefault>
      <w:pPr>
        <w:spacing w:before="0" w:after="160" w:line="259" w:lineRule="auto"/>
        <w:ind w:left="0" w:right="0"/>
        <w:jc w:val="left"/>
        <w:rPr>
          <w:rFonts w:ascii="Times New Roman" w:hAnsi="Times New Roman" w:eastAsia="Times New Roman" w:cs="Times New Roman"/>
        </w:rP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Normal"/>
    <w:uiPriority w:val="0"/>
    <w:qFormat/>
    <w:pPr>
      <w:spacing w:before="0" w:after="160" w:line="259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22"/>
      <w:szCs w:val="22"/>
      <w:lang w:val="ru-RU" w:bidi="ru-RU"/>
    </w:rPr>
  </w:style>
  <w:style w:type="character" w:styleId="Style_10">
    <w:name w:val="Default Paragraph Font"/>
    <w:uiPriority w:val="1"/>
    <w:semiHidden/>
    <w:unhideWhenUsed/>
    <w:rPr>
      <w:rFonts w:ascii="Times New Roman" w:hAnsi="Times New Roman" w:eastAsia="Times New Roman" w:cs="Times New Roman"/>
      <w:sz w:val="24"/>
    </w:rPr>
  </w:style>
  <w:style w:type="table" w:styleId="Style_11">
    <w:name w:val="Normal Table"/>
    <w:semiHidden/>
    <w:unhideWhenUsed/>
    <w:qFormat/>
    <w:pPr>
      <w:spacing w:before="0" w:after="160" w:line="259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22"/>
      <w:szCs w:val="22"/>
      <w:lang w:val="ru-RU" w:bidi="ru-RU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108" w:type="dxa"/>
        <w:right w:w="108" w:type="dxa"/>
      </w:tblCellMar>
    </w:tblPr>
  </w:style>
  <w:style w:type="paragraph" w:styleId="Style_15">
    <w:name w:val="#COL_BOTTOM"/>
    <w:uiPriority w:val="0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, sans-serif" w:hAnsi="Arial, sans-serif" w:eastAsia="Arial, sans-serif" w:cs="Arial, sans-serif"/>
      <w:sz w:val="16"/>
      <w:szCs w:val="16"/>
      <w:lang w:val="ru-RU" w:bidi="ru-RU"/>
    </w:rPr>
  </w:style>
  <w:style w:type="paragraph" w:styleId="Style_16">
    <w:name w:val="#COL_TOP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, sans-serif" w:hAnsi="Arial, sans-serif" w:eastAsia="Arial, sans-serif" w:cs="Arial, sans-serif"/>
      <w:sz w:val="16"/>
      <w:szCs w:val="16"/>
      <w:lang w:val="ru-RU" w:bidi="ru-RU"/>
    </w:rPr>
  </w:style>
  <w:style w:type="paragraph" w:styleId="Style_17">
    <w:name w:val="#PRINT_SECTION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, sans-serif" w:hAnsi="Arial, sans-serif" w:eastAsia="Arial, sans-serif" w:cs="Arial, sans-serif"/>
      <w:sz w:val="16"/>
      <w:szCs w:val="16"/>
      <w:lang w:val="ru-RU" w:bidi="ru-RU"/>
    </w:rPr>
  </w:style>
  <w:style w:type="paragraph" w:styleId="Style_18">
    <w:name w:val=".CENTERTEXT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, sans-serif" w:hAnsi="Arial, sans-serif" w:eastAsia="Arial, sans-serif" w:cs="Arial, sans-serif"/>
      <w:sz w:val="24"/>
      <w:szCs w:val="24"/>
      <w:lang w:val="ru-RU" w:bidi="ru-RU"/>
    </w:rPr>
  </w:style>
  <w:style w:type="paragraph" w:styleId="Style_19">
    <w:name w:val=".DJVU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, sans-serif" w:hAnsi="Arial, sans-serif" w:eastAsia="Arial, sans-serif" w:cs="Arial, sans-serif"/>
      <w:sz w:val="24"/>
      <w:szCs w:val="24"/>
      <w:lang w:val="ru-RU" w:bidi="ru-RU"/>
    </w:rPr>
  </w:style>
  <w:style w:type="paragraph" w:styleId="Style_20">
    <w:name w:val=".FORMATTEXT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20"/>
      <w:szCs w:val="20"/>
      <w:lang w:val="ru-RU" w:bidi="ru-RU"/>
    </w:rPr>
  </w:style>
  <w:style w:type="paragraph" w:styleId="Style_21">
    <w:name w:val=".HEADERTEXT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color w:val="2b4279"/>
      <w:sz w:val="20"/>
      <w:szCs w:val="20"/>
      <w:lang w:val="ru-RU" w:bidi="ru-RU"/>
    </w:rPr>
  </w:style>
  <w:style w:type="paragraph" w:styleId="Style_22">
    <w:name w:val=".HORIZLINE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, sans-serif" w:hAnsi="Arial, sans-serif" w:eastAsia="Arial, sans-serif" w:cs="Arial, sans-serif"/>
      <w:sz w:val="24"/>
      <w:szCs w:val="24"/>
      <w:lang w:val="ru-RU" w:bidi="ru-RU"/>
    </w:rPr>
  </w:style>
  <w:style w:type="paragraph" w:styleId="Style_23">
    <w:name w:val=".MIDDLEPICT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, sans-serif" w:hAnsi="Arial, sans-serif" w:eastAsia="Arial, sans-serif" w:cs="Arial, sans-serif"/>
      <w:sz w:val="24"/>
      <w:szCs w:val="24"/>
      <w:lang w:val="ru-RU" w:bidi="ru-RU"/>
    </w:rPr>
  </w:style>
  <w:style w:type="paragraph" w:styleId="Style_24">
    <w:name w:val=".TOPLEVELTEXT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, sans-serif" w:hAnsi="Arial, sans-serif" w:eastAsia="Arial, sans-serif" w:cs="Arial, sans-serif"/>
      <w:sz w:val="24"/>
      <w:szCs w:val="24"/>
      <w:lang w:val="ru-RU" w:bidi="ru-RU"/>
    </w:rPr>
  </w:style>
  <w:style w:type="paragraph" w:styleId="Style_25">
    <w:name w:val=".TradeMark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, sans-serif" w:hAnsi="Arial, sans-serif" w:eastAsia="Arial, sans-serif" w:cs="Arial, sans-serif"/>
      <w:sz w:val="16"/>
      <w:szCs w:val="16"/>
      <w:lang w:val="ru-RU" w:bidi="ru-RU"/>
    </w:rPr>
  </w:style>
  <w:style w:type="paragraph" w:styleId="Style_26">
    <w:name w:val=".UNFORMATTEXT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ourier New" w:hAnsi="Courier New" w:eastAsia="Courier New" w:cs="Courier New"/>
      <w:sz w:val="20"/>
      <w:szCs w:val="20"/>
      <w:lang w:val="ru-RU" w:bidi="ru-RU"/>
    </w:rPr>
  </w:style>
  <w:style w:type="paragraph" w:styleId="Style_27">
    <w:name w:val="BODY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20"/>
      <w:szCs w:val="20"/>
      <w:lang w:val="ru-RU" w:bidi="ru-RU"/>
    </w:rPr>
  </w:style>
  <w:style w:type="paragraph" w:styleId="Style_28">
    <w:name w:val="HTML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, sans-serif" w:hAnsi="Arial, sans-serif" w:eastAsia="Arial, sans-serif" w:cs="Arial, sans-serif"/>
      <w:sz w:val="24"/>
      <w:szCs w:val="24"/>
      <w:lang w:val="ru-RU" w:bidi="ru-RU"/>
    </w:rPr>
  </w:style>
  <w:style w:type="paragraph" w:styleId="Style_29">
    <w:name w:val="TABLE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, sans-serif" w:hAnsi="Arial, sans-serif" w:eastAsia="Arial, sans-serif" w:cs="Arial, sans-serif"/>
      <w:sz w:val="24"/>
      <w:szCs w:val="24"/>
      <w:lang w:val="ru-RU" w:bidi="ru-RU"/>
    </w:rPr>
  </w:style>
  <w:style w:type="paragraph" w:styleId="Style_30">
    <w:name w:val="header"/>
    <w:basedOn w:val="Style_0"/>
    <w:unhideWhenUsed/>
    <w:pPr>
      <w:tabs>
        <w:tab w:val="center" w:pos="4677"/>
        <w:tab w:val="right" w:pos="9355"/>
      </w:tabs>
      <w:spacing w:before="0" w:after="160" w:line="259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22"/>
      <w:szCs w:val="22"/>
      <w:lang w:val="ru-RU" w:bidi="ru-RU"/>
    </w:rPr>
  </w:style>
  <w:style w:type="character" w:styleId="Style_31">
    <w:name w:val="Верхний колонтитул Знак"/>
    <w:basedOn w:val="Style_10"/>
    <w:locked/>
    <w:rPr>
      <w:rFonts w:ascii="Times New Roman" w:hAnsi="Times New Roman" w:eastAsia="Times New Roman" w:cs="Times New Roman"/>
      <w:sz w:val="24"/>
    </w:rPr>
  </w:style>
  <w:style w:type="paragraph" w:styleId="Style_32">
    <w:name w:val="footer"/>
    <w:basedOn w:val="Style_0"/>
    <w:unhideWhenUsed/>
    <w:pPr>
      <w:tabs>
        <w:tab w:val="center" w:pos="4677"/>
        <w:tab w:val="right" w:pos="9355"/>
      </w:tabs>
      <w:spacing w:before="0" w:after="160" w:line="259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22"/>
      <w:szCs w:val="22"/>
      <w:lang w:val="ru-RU" w:bidi="ru-RU"/>
    </w:rPr>
  </w:style>
  <w:style w:type="character" w:styleId="Style_33">
    <w:name w:val="Нижний колонтитул Знак"/>
    <w:basedOn w:val="Style_10"/>
    <w:locked/>
    <w:rPr>
      <w:rFonts w:ascii="Times New Roman" w:hAnsi="Times New Roman" w:eastAsia="Times New Roman" w:cs="Times New Roman"/>
      <w:sz w:val="24"/>
    </w:rPr>
  </w:style>
  <w:style w:type="paragraph" w:styleId="Style_34">
    <w:name w:val="formattext"/>
    <w:basedOn w:val="Style_0"/>
    <w:uiPriority w:val="0"/>
    <w:pPr>
      <w:spacing w:before="100" w:beforeAutospacing="1" w:after="100" w:afterAutospacing="1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5">
    <w:name w:val="Plain Text"/>
    <w:basedOn w:val="Style_0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ourier New" w:hAnsi="Courier New" w:eastAsia="Courier New" w:cs="Courier New"/>
      <w:sz w:val="20"/>
      <w:szCs w:val="20"/>
      <w:lang w:val="ru-RU" w:bidi="ru-RU"/>
    </w:rPr>
  </w:style>
  <w:style w:type="character" w:styleId="Style_36">
    <w:name w:val="Текст Знак"/>
    <w:basedOn w:val="Style_10"/>
    <w:locked/>
    <w:rPr>
      <w:rFonts w:ascii="Courier New" w:hAnsi="Courier New" w:eastAsia="Courier New" w:cs="Courier New"/>
      <w:sz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yperlink" Target="kodeks://link/d?nd=901807664&amp;point=mark=00000000000000000000000000000000000000000000000000A7C0NB" TargetMode="External"/><Relationship Id="rId10" Type="http://schemas.openxmlformats.org/officeDocument/2006/relationships/hyperlink" Target="kodeks://link/d?nd=901807664&amp;point=mark=00000000000000000000000000000000000000000000000000A7I0NE" TargetMode="External"/><Relationship Id="rId11" Type="http://schemas.openxmlformats.org/officeDocument/2006/relationships/hyperlink" Target="kodeks://link/d?nd=901807664&amp;point=mark=00000000000000000000000000000000000000000000000000A800NC" TargetMode="External"/><Relationship Id="rId12" Type="http://schemas.openxmlformats.org/officeDocument/2006/relationships/hyperlink" Target="kodeks://link/d?nd=901807664&amp;point=mark=00000000000000000000000000000000000000000000000000A7E0NB" TargetMode="External"/><Relationship Id="rId13" Type="http://schemas.openxmlformats.org/officeDocument/2006/relationships/hyperlink" Target="kodeks://link/d?nd=901807664&amp;point=mark=00000000000000000000000000000000000000000000000000A7K0NE" TargetMode="External"/><Relationship Id="rId14" Type="http://schemas.openxmlformats.org/officeDocument/2006/relationships/hyperlink" Target="kodeks://link/d?nd=9005409&amp;point=mark=0000000000000000000000000000000000000000000000000064U0IK" TargetMode="External"/><Relationship Id="rId15" Type="http://schemas.openxmlformats.org/officeDocument/2006/relationships/hyperlink" Target="kodeks://link/d?nd=432269294&amp;point=mark=000000000000000000000000000000000000000000000000032R999Q" TargetMode="External"/><Relationship Id="rId16" Type="http://schemas.openxmlformats.org/officeDocument/2006/relationships/hyperlink" Target="kodeks://link/d?nd=432269294&amp;point=mark=000000000000000000000000000000000000000000000000032R999Q" TargetMode="External"/><Relationship Id="rId17" Type="http://schemas.openxmlformats.org/officeDocument/2006/relationships/hyperlink" Target="kodeks://link/d?nd=9004937" TargetMode="External"/><Relationship Id="rId18" Type="http://schemas.openxmlformats.org/officeDocument/2006/relationships/hyperlink" Target="kodeks://link/d?nd=901807664&amp;point=mark=0000000000000000000000000000000000000000000000000064U0IK" TargetMode="External"/><Relationship Id="rId19" Type="http://schemas.openxmlformats.org/officeDocument/2006/relationships/hyperlink" Target="kodeks://link/d?nd=9005409&amp;point=mark=0000000000000000000000000000000000000000000000000064U0IK" TargetMode="External"/><Relationship Id="rId20" Type="http://schemas.openxmlformats.org/officeDocument/2006/relationships/hyperlink" Target="kodeks://link/d?nd=432269294&amp;point=mark=00000000000000000000000000000000000000000000000003AQE4DM" TargetMode="External"/><Relationship Id="rId21" Type="http://schemas.openxmlformats.org/officeDocument/2006/relationships/hyperlink" Target="kodeks://link/d?nd=432269294&amp;point=mark=00000000000000000000000000000000000000000000000003I7U6P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WithSpaces>25060</CharactersWithSpaces>
  <DocSecurity>0</DocSecurity>
  <HyperlinksChanged>false</HyperlinksChanged>
  <LinksUpToDate>false</LinksUpToDate>
  <Pages>9</Pages>
  <ScaleCrop>false</ScaleCrop>
  <SharedDoc>false</SharedDoc>
  <TotalTime>1351</TotalTime>
  <Words>2795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гарантиях и компенсациях для лиц, проживающих в муниципальном образовании Кондинский район и работающих в организациях, финансируемых из бюджета Кондинского района (с изменениями на 1 февраля 2022 года)</dc:title>
  <dc:creator>Люба</dc:creator>
  <cp:lastModifiedBy/>
</cp:coreProperties>
</file>