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0"/>
        <w:spacing w:before="0" w:after="0" w:line="240" w:lineRule="auto"/>
        <w:ind w:left="0" w:firstLine="0"/>
        <w:jc w:val="left"/>
        <w:outlineLvl w:val="0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ПРАВИТЕЛЬСТВО 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ПОСТАНОВЛЕНИЕ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28 сентября 2023 г. N 479-п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 ВНЕСЕНИИ ИЗМЕНЕНИЯ В ПРИЛОЖЕНИЕ 1 К ПОСТАНОВЛЕНИЮ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ПРАВИТЕЛЬСТВА ХАНТЫ-МАНСИЙСКОГО АВТОНОМНОГО ОКРУГА - ЮГРЫ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ОТ 17 СЕНТЯБРЯ 2021 ГОДА N 373-П "О ПОЛОЖЕНИИ О РЕГИОНАЛЬНОМ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ГОСУДАРСТВЕННОМ КОНТРОЛЕ (НАДЗОРЕ) В ОБЛАСТИ РОЗНИЧНОЙ</w:t>
      </w:r>
    </w:p>
    <w:p>
      <w:pPr>
        <w:pStyle w:val="Style_2"/>
        <w:spacing w:before="0" w:after="0" w:line="240" w:lineRule="auto"/>
        <w:ind w:left="0" w:firstLine="0"/>
        <w:jc w:val="center"/>
        <w:rPr>
          <w:rFonts w:ascii="Arial" w:hAnsi="Arial" w:eastAsia="Arial" w:cs="Arial"/>
          <w:b/>
          <w:i w:val="0"/>
          <w:strike w:val="0"/>
          <w:sz w:val="24"/>
        </w:rPr>
      </w:pPr>
      <w:r>
        <w:rPr>
          <w:rFonts w:ascii="Arial" w:hAnsi="Arial" w:eastAsia="Arial" w:cs="Arial"/>
          <w:b/>
          <w:i w:val="0"/>
          <w:strike w:val="0"/>
          <w:sz w:val="24"/>
        </w:rPr>
        <w:t xml:space="preserve">ПРОДАЖИ АЛКОГОЛЬНОЙ И СПИРТОСОДЕРЖАЩЕЙ ПРОДУКЦИИ"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 соответствии с Федеральным </w:t>
      </w:r>
      <w:hyperlink r:id="rId12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от 31 июля 2020 года N 248-ФЗ "О государственном контроле (надзоре) и муниципальном контроле в Российской Федерации", </w:t>
      </w:r>
      <w:hyperlink r:id="rId13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Законом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учитывая решение Общественного совета при Департаменте экономического развития Ханты-Мансийского автономного округа - Югры (протокол заседания от 1 сентября 2023 года N 30), Правительство Ханты-Мансийского автономного округа - Югры постановляет:</w:t>
      </w:r>
    </w:p>
    <w:p>
      <w:pPr>
        <w:pStyle w:val="Style_0"/>
        <w:spacing w:before="24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Внести в </w:t>
      </w:r>
      <w:hyperlink r:id="rId14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приложение 1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к постановлению Правительства Ханты-Мансийского автономного округа - Югры от 17 сентября 2021 года N 373-п "О Положении о региональном государственном контроле (надзоре) в области розничной продажи алкогольной и спиртосодержащей продукции" изменение, изложив </w:t>
      </w:r>
      <w:hyperlink r:id="rId15">
        <w:r>
          <w:rPr>
            <w:rFonts w:ascii="Times New Roman" w:hAnsi="Times New Roman" w:eastAsia="Times New Roman" w:cs="Times New Roman"/>
            <w:b w:val="0"/>
            <w:i w:val="0"/>
            <w:strike w:val="0"/>
            <w:color w:val="0000ff"/>
            <w:sz w:val="24"/>
          </w:rPr>
          <w:t xml:space="preserve">таблицу</w:t>
        </w:r>
      </w:hyperlink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 "Перечень индикаторов риска" в следующей редакции:</w:t>
      </w:r>
    </w:p>
    <w:p>
      <w:pPr>
        <w:pStyle w:val="Style_0"/>
        <w:spacing w:before="24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"Таблица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Перечень индикаторов риска</w:t>
      </w:r>
    </w:p>
    <w:p>
      <w:pPr>
        <w:pStyle w:val="Style_0"/>
        <w:spacing w:before="0" w:after="0" w:line="240" w:lineRule="auto"/>
        <w:ind w:left="0" w:firstLine="0"/>
        <w:jc w:val="center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912"/>
        <w:gridCol w:w="8164"/>
      </w:tblGrid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N п/п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center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Индикаторы риска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Отсутствие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(далее - ЕГАИС) в течение квартала, либо на протяжении 90 дней в совокупности в течение календарного года, либо непрерывно в течение 60 календарных дней информации о закупке и (или) розничной продаже (реализации), или списании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2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в отношении организаций, осуществляющих розничную продажу алкогольной продукции, сведений из ЕГАИС и (или) от налогового органа о зафиксированных в течение 1 месяца 3 и более фактах продажи 5 и более единиц маркированной алкогольной продукции в период местного времени с 08:00 до 08:30 часов и (или) 5 и более единиц маркированной алкогольной продукции в 1 кассовом чеке в период местного времени с 19:00 до 20:00 часов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3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в отношении лицензиата сведений из ЕГАИС об увеличении в 2 и более раза объема розничных продаж маркируемой алкогольной продукции в течение календарного года по сравнению с объемом розничных продаж маркируемой алкогольной продукции за предыдущий год при неизменной площади стационарного торгового объекта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4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сведений из ЕГАИС и (или) от налогового органа об осуществлении в течение 5 и более дней в 1 торговом объекте деятельности по розничной продаже алкогольной продукции индивидуальным предпринимателем и лицензиатом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5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Выявление в ЕГАИС в течение 1 месяца 10 и более фактов реализации алкогольной продукции организациями, имеющими лицензию только на осуществление деятельности по розничной продаже алкогольной продукции при оказании услуг общественного питания, с использованием средств, обеспечивающих считывание с федеральных специальных марок и (или) акцизных марок двухмерного штрихового кода, содержащего идентификатор ЕГАИС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6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Превышение (на основании сведений ЕГАИС) на 20% и более объема алкогольной продукции, маркированной федеральной специальной маркой, приобретенной контролируемым лицом в прошедшем квартале, при отсутствии увеличения объема реализации таким лицом алкогольной продукции на 5% и более за аналогичный период времени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7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Списание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20% от общего объема реализованной контролируемым лицом алкогольной продукции за указанный период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8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информации из ЕГАИС о наличии остатков алкогольной продукции в объекте розничной торговли указанной продукцией (в том числе при оказании услуг общественного питания) в объеме, превышающем объем ее розничной продажи в данном объекте за 90 дней, предшествующих дате получения информации об остатках продукции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9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Получение информации из ЕГАИС о превышении в объекте розничной торговли алкогольной продукцией (в том числе при оказании услуг общественного питания, за исключением объектов, находящихся в труднодоступных и отдаленных местностях автономного округа) объема закупки алкогольной продукции в сравнении с объемом ее розничной продажи более чем на 50% на протяжении свыше 90 календарных дней в совокупности в течение календарного года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10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Фиксация в ЕГАИС возвратов контролируемым лицом либо отказов в принятии пива и пивных напитков, сидра, пуаре, медовухи при условии, что объем возврата либо отказа в принятии превышает 10% от общего объема такой продукции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11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Принятие (на основании сведений ЕГАИС) контролируемым лицом пива и пивных напитков, сидра, пуаре, медовухи с расхождением при условии, что общий объем расхождений превышает 10% от общего объема закупки такой алкогольной продукции за тот же квартал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12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Расхождение на 10% и более объема розничной продажи пива и пивных напитков, сидра, пуаре, медовухи согласно сведениям ЕГАИС, в течение календарного месяца с объемом розничной продажи такой продукции, согласно сведениям государственной информационной системы мониторинга за оборотом товаров (далее - ГИС МТ) за аналогичный период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13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Фиксация 10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</w:t>
            </w:r>
          </w:p>
        </w:tc>
      </w:tr>
      <w:tr>
        <w:trPr>
          <w:jc w:val="left"/>
        </w:trPr>
        <w:tc>
          <w:tcPr>
            <w:tcW w:w="912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14</w:t>
            </w:r>
          </w:p>
        </w:tc>
        <w:tc>
          <w:tcPr>
            <w:tcW w:w="8164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Style_0"/>
              <w:spacing w:before="0" w:after="0" w:line="240" w:lineRule="auto"/>
              <w:ind w:left="0" w:firstLine="0"/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  <w:t xml:space="preserve">Фиксация в ЕГАИС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10% от общего объема закупленной за тот же квартал алкогольной продукции</w:t>
            </w:r>
          </w:p>
        </w:tc>
      </w:tr>
    </w:tbl>
    <w:p>
      <w:pPr>
        <w:pStyle w:val="Style_0"/>
        <w:spacing w:before="24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".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Губернатор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Ханты-Мансийского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автономного округа - Югры</w:t>
      </w:r>
    </w:p>
    <w:p>
      <w:pPr>
        <w:pStyle w:val="Style_0"/>
        <w:spacing w:before="0" w:after="0" w:line="240" w:lineRule="auto"/>
        <w:ind w:left="0" w:firstLine="0"/>
        <w:jc w:val="right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  <w:t xml:space="preserve">Н.В.КОМАРОВА</w:t>
      </w: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spacing w:before="0" w:after="0" w:line="240" w:lineRule="auto"/>
        <w:ind w:left="0" w:firstLine="54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24"/>
        </w:rPr>
      </w:pPr>
    </w:p>
    <w:p>
      <w:pPr>
        <w:pStyle w:val="Style_0"/>
        <w:pBdr>
          <w:top w:val="single"/>
        </w:pBdr>
        <w:spacing w:before="100" w:after="100" w:line="240" w:lineRule="auto"/>
        <w:ind w:left="0" w:firstLine="0"/>
        <w:jc w:val="both"/>
        <w:rPr>
          <w:rFonts w:ascii="Times New Roman" w:hAnsi="Times New Roman" w:eastAsia="Times New Roman" w:cs="Times New Roman"/>
          <w:b w:val="0"/>
          <w:i w:val="0"/>
          <w:strike w:val="0"/>
          <w:sz w:val="0"/>
        </w:rPr>
      </w:pPr>
    </w:p>
    <w:sectPr>
      <w:headerReference w:type="first" r:id="rId8"/>
      <w:headerReference w:type="default" r:id="rId9"/>
      <w:footerReference w:type="first" r:id="rId10"/>
      <w:footerReference w:type="default" r:id="rId11"/>
      <w:type w:val="nextPage"/>
      <w:pgSz w:w="11906" w:h="16838"/>
      <w:pgMar w:top="1440" w:right="566" w:bottom="1440" w:left="1133" w:header="0" w:footer="0" w:gutter="0"/>
      <w:cols w:num="1" w:space="720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</w:pPr>
      <w:r>
        <w:separator/>
      </w:r>
    </w:p>
  </w:endnote>
  <w:endnote w:type="continuationSeparator" w:id="1">
    <w:p>
      <w:pPr>
        <w:jc w:val="left"/>
      </w:pPr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368"/>
      <w:gridCol w:w="3470"/>
      <w:gridCol w:w="3369"/>
    </w:tblGrid>
    <w:tr>
      <w:trPr>
        <w:trHeight w:val="1663" w:hRule="exact"/>
      </w:trPr>
      <w:tc>
        <w:tcPr>
          <w:tcW w:w="3368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/>
              <w:i w:val="0"/>
              <w:color w:val="f58220"/>
              <w:sz w:val="28"/>
            </w:rPr>
          </w:pPr>
          <w:r>
            <w:rPr>
              <w:rFonts w:ascii="Tahoma" w:hAnsi="Tahoma" w:eastAsia="Tahoma" w:cs="Tahoma"/>
              <w:b/>
              <w:i w:val="0"/>
              <w:color w:val="f58220"/>
              <w:sz w:val="28"/>
            </w:rPr>
            <w:t xml:space="preserve">КонсультантПлюс</w:t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br/>
          </w:r>
          <w:r>
            <w:rPr>
              <w:rFonts w:ascii="Tahoma" w:hAnsi="Tahoma" w:eastAsia="Tahoma" w:cs="Tahoma"/>
              <w:b/>
              <w:i w:val="0"/>
              <w:color w:val="auto"/>
              <w:sz w:val="16"/>
            </w:rPr>
            <w:t xml:space="preserve">надежная правовая поддержка</w:t>
          </w:r>
        </w:p>
      </w:tc>
      <w:tc>
        <w:tcPr>
          <w:tcW w:w="3470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center"/>
            <w:rPr>
              <w:rFonts w:ascii="Tahoma" w:hAnsi="Tahoma" w:eastAsia="Tahoma" w:cs="Tahoma"/>
              <w:b/>
              <w:i w:val="0"/>
              <w:sz w:val="20"/>
            </w:rPr>
          </w:pPr>
          <w:hyperlink r:id="rId1">
            <w:r>
              <w:rPr>
                <w:rFonts w:ascii="Tahoma" w:hAnsi="Tahoma" w:eastAsia="Tahoma" w:cs="Tahoma"/>
                <w:b/>
                <w:i w:val="0"/>
                <w:color w:val="0000ff"/>
                <w:sz w:val="20"/>
              </w:rPr>
              <w:t xml:space="preserve">www.consultant.ru</w:t>
            </w:r>
          </w:hyperlink>
        </w:p>
      </w:tc>
      <w:tc>
        <w:tcPr>
          <w:tcW w:w="3369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20"/>
            </w:rPr>
          </w:pP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Страница </w:t>
          </w:r>
          <w:r>
            <w:fldChar w:fldCharType="begin"/>
          </w:r>
          <w:r>
            <w:instrText xml:space="preserve">\PAGE</w:instrText>
          </w:r>
          <w:r>
            <w:fldChar w:fldCharType="separate"/>
          </w:r>
          <w:r>
            <w:fldChar w:fldCharType="end"/>
          </w:r>
          <w:r>
            <w:rPr>
              <w:rFonts w:ascii="Tahoma" w:hAnsi="Tahoma" w:eastAsia="Tahoma" w:cs="Tahoma"/>
              <w:b w:val="0"/>
              <w:i w:val="0"/>
              <w:sz w:val="20"/>
            </w:rPr>
            <w:t xml:space="preserve"> из </w:t>
          </w:r>
          <w:r>
            <w:fldChar w:fldCharType="begin"/>
          </w:r>
          <w:r>
            <w:instrText xml:space="preserve">\NUMPAGES</w:instrText>
          </w:r>
          <w:r>
            <w:fldChar w:fldCharType="separate"/>
          </w:r>
          <w:r>
            <w:fldChar w:fldCharType="end"/>
          </w:r>
        </w:p>
      </w:tc>
    </w:tr>
  </w:tbl>
  <w:p>
    <w:pPr>
      <w:spacing w:before="0" w:after="0" w:line="240" w:lineRule="auto"/>
      <w:jc w:val="left"/>
      <w:rPr>
        <w:sz w:val="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</w:pPr>
      <w:r>
        <w:separator/>
      </w:r>
    </w:p>
  </w:footnote>
  <w:footnote w:type="continuationSeparator" w:id="1">
    <w:p>
      <w:pPr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sz w:val="24"/>
            </w:rPr>
          </w:pPr>
          <w:r>
            <w:rPr>
              <w:rFonts w:ascii="Tahoma" w:hAnsi="Tahoma" w:eastAsia="Tahoma" w:cs="Tahoma"/>
              <w:sz w:val="24"/>
            </w:rP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905000" cy="447675"/>
                    <wp:effectExtent l="0" t="0" r="0" b="0"/>
                    <wp:docPr id="1" name="_x0000_s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  <pic:nvPr/>
                          </pic:nvPicPr>
                          <pic:blipFill>
                            <a:blip r:embed="rId1"/>
                            <a:stretch/>
                          </pic:blipFill>
                          <pic:spPr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width:150.00pt;height:35.25pt;mso-wrap-distance-left:0.00pt;mso-wrap-distance-top:0.00pt;mso-wrap-distance-right:0.00pt;mso-wrap-distance-bottom:0.00pt;" stroked="f">
                    <v:path textboxrect="0,0,0,0"/>
                    <v:imagedata r:id="rId1" o:title=""/>
                  </v:shape>
                </w:pict>
              </mc:Fallback>
            </mc:AlternateContent>
          </w:r>
        </w:p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ХМАО - Югры от 28.09.2023 N 479-п "О внесении изменения в приложение 1 к постановлению Прави...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2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09.09.2024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511"/>
      <w:gridCol w:w="4695"/>
    </w:tblGrid>
    <w:tr>
      <w:trPr>
        <w:trHeight w:val="1683" w:hRule="exact"/>
      </w:trPr>
      <w:tc>
        <w:tcPr>
          <w:tcW w:w="5511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lef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Постановление Правительства ХМАО - Югры от 28.09.2023 N 479-п</w:t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"О внесении изменения в приложение 1 к постановлению Прави...</w:t>
          </w:r>
        </w:p>
      </w:tc>
      <w:tc>
        <w:tcPr>
          <w:tcW w:w="4695" w:type="dxa"/>
          <w:tcBorders>
            <w:top w:val="none" w:sz="2"/>
            <w:left w:val="none" w:sz="2"/>
            <w:bottom w:val="none" w:sz="2"/>
            <w:right w:val="none" w:sz="2"/>
          </w:tcBorders>
          <w:vAlign w:val="center"/>
        </w:tcPr>
        <w:p>
          <w:pPr>
            <w:spacing w:before="0" w:after="0" w:line="240" w:lineRule="auto"/>
            <w:jc w:val="right"/>
            <w:rPr>
              <w:rFonts w:ascii="Tahoma" w:hAnsi="Tahoma" w:eastAsia="Tahoma" w:cs="Tahoma"/>
              <w:b w:val="0"/>
              <w:i w:val="0"/>
              <w:sz w:val="16"/>
            </w:rPr>
          </w:pPr>
          <w:r>
            <w:rPr>
              <w:rFonts w:ascii="Tahoma" w:hAnsi="Tahoma" w:eastAsia="Tahoma" w:cs="Tahoma"/>
              <w:b w:val="0"/>
              <w:i w:val="0"/>
              <w:sz w:val="18"/>
            </w:rPr>
            <w:t xml:space="preserve">Документ предоставлен </w:t>
          </w:r>
          <w:hyperlink r:id="rId1">
            <w:r>
              <w:rPr>
                <w:rFonts w:ascii="Tahoma" w:hAnsi="Tahoma" w:eastAsia="Tahoma" w:cs="Tahoma"/>
                <w:b w:val="0"/>
                <w:i w:val="0"/>
                <w:color w:val="0000ff"/>
                <w:sz w:val="18"/>
              </w:rPr>
              <w:t xml:space="preserve">КонсультантПлюс</w:t>
            </w:r>
          </w:hyperlink>
          <w:r>
            <w:rPr>
              <w:rFonts w:ascii="Tahoma" w:hAnsi="Tahoma" w:eastAsia="Tahoma" w:cs="Tahoma"/>
              <w:b w:val="0"/>
              <w:i w:val="0"/>
              <w:sz w:val="18"/>
            </w:rPr>
            <w:br/>
          </w:r>
          <w:r>
            <w:rPr>
              <w:rFonts w:ascii="Tahoma" w:hAnsi="Tahoma" w:eastAsia="Tahoma" w:cs="Tahoma"/>
              <w:b w:val="0"/>
              <w:i w:val="0"/>
              <w:sz w:val="16"/>
            </w:rPr>
            <w:t xml:space="preserve">Дата сохранения: 09.09.2024</w:t>
          </w:r>
        </w:p>
      </w:tc>
    </w:tr>
  </w:tbl>
  <w:p>
    <w:pPr>
      <w:pBdr>
        <w:bottom w:val="single" w:sz="12"/>
      </w:pBdr>
      <w:spacing w:before="0" w:after="0" w:line="240" w:lineRule="auto"/>
      <w:jc w:val="center"/>
      <w:rPr>
        <w:sz w:val="1"/>
      </w:rPr>
    </w:pPr>
  </w:p>
  <w:p>
    <w:pPr>
      <w:spacing w:before="0" w:after="0" w:line="240" w:lineRule="auto"/>
      <w:jc w:val="center"/>
      <w:rPr>
        <w:sz w:val="10"/>
      </w:rPr>
    </w:pPr>
    <w:r>
      <w:rPr>
        <w:sz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       ConsPlusNormal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1">
    <w:name w:val="       ConsPlusNonformat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2">
    <w:name w:val="       ConsPlusTitle"/>
    <w:pPr>
      <w:spacing w:before="0" w:after="0" w:line="240" w:lineRule="auto"/>
      <w:jc w:val="left"/>
    </w:pPr>
    <w:rPr>
      <w:rFonts w:ascii="Arial" w:hAnsi="Arial" w:eastAsia="Arial" w:cs="Arial"/>
      <w:b/>
      <w:i w:val="0"/>
      <w:strike w:val="0"/>
      <w:sz w:val="24"/>
    </w:rPr>
  </w:style>
  <w:style w:type="paragraph" w:styleId="Style_3">
    <w:name w:val="       ConsPlusCell"/>
    <w:pPr>
      <w:spacing w:before="0" w:after="0" w:line="240" w:lineRule="auto"/>
      <w:jc w:val="left"/>
    </w:pPr>
    <w:rPr>
      <w:rFonts w:ascii="Courier New" w:hAnsi="Courier New" w:eastAsia="Courier New" w:cs="Courier New"/>
      <w:b w:val="0"/>
      <w:i w:val="0"/>
      <w:strike w:val="0"/>
      <w:sz w:val="20"/>
    </w:rPr>
  </w:style>
  <w:style w:type="paragraph" w:styleId="Style_4">
    <w:name w:val="       ConsPlusDocList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18"/>
    </w:rPr>
  </w:style>
  <w:style w:type="paragraph" w:styleId="Style_5">
    <w:name w:val="       ConsPlusTitlePage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4"/>
    </w:rPr>
  </w:style>
  <w:style w:type="paragraph" w:styleId="Style_6">
    <w:name w:val="       ConsPlusJurTerm"/>
    <w:pPr>
      <w:spacing w:before="0" w:after="0" w:line="240" w:lineRule="auto"/>
      <w:jc w:val="left"/>
    </w:pPr>
    <w:rPr>
      <w:rFonts w:ascii="Tahoma" w:hAnsi="Tahoma" w:eastAsia="Tahoma" w:cs="Tahoma"/>
      <w:b w:val="0"/>
      <w:i w:val="0"/>
      <w:strike w:val="0"/>
      <w:sz w:val="26"/>
    </w:rPr>
  </w:style>
  <w:style w:type="paragraph" w:styleId="Style_7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  <w:style w:type="paragraph" w:styleId="Style_8">
    <w:name w:val="       ConsPlusTextList"/>
    <w:pPr>
      <w:spacing w:before="0" w:after="0" w:line="240" w:lineRule="auto"/>
      <w:jc w:val="left"/>
    </w:pPr>
    <w:rPr>
      <w:rFonts w:ascii="Times New Roman" w:hAnsi="Times New Roman" w:eastAsia="Times New Roman" w:cs="Times New Roman"/>
      <w:b w:val="0"/>
      <w:i w:val="0"/>
      <w:strike w:val="0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yperlink" Target="https://login.consultant.ru/link/?req=doc&amp;base=LAW&amp;n=452911&amp;date=09.09.2024" TargetMode="External"/><Relationship Id="rId13" Type="http://schemas.openxmlformats.org/officeDocument/2006/relationships/hyperlink" Target="https://login.consultant.ru/link/?req=doc&amp;base=RLAW926&amp;n=275403&amp;date=09.09.2024" TargetMode="External"/><Relationship Id="rId14" Type="http://schemas.openxmlformats.org/officeDocument/2006/relationships/hyperlink" Target="https://login.consultant.ru/link/?req=doc&amp;base=RLAW926&amp;n=283350&amp;date=09.09.2024&amp;dst=100016&amp;field=134" TargetMode="External"/><Relationship Id="rId15" Type="http://schemas.openxmlformats.org/officeDocument/2006/relationships/hyperlink" Target="https://login.consultant.ru/link/?req=doc&amp;base=RLAW926&amp;n=283350&amp;date=09.09.2024&amp;dst=2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28.09.2023 N 479-п&amp;quot;О внесении изменения в приложение 1 к постановлению Правительства Ханты-Мансийского автономного округа - Югры от 17 сентября 2021 года N 373-п &amp;quot;О Положении о региональном государственном контроле (надзоре) в области розничной продажи алкогольной и спиртосодержащей продукции&amp;quot;</dc:title>
  <dc:creator/>
  <cp:lastModifiedBy/>
</cp:coreProperties>
</file>