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38" w:rsidRDefault="00AF4038" w:rsidP="00AF4038">
      <w:pPr>
        <w:shd w:val="clear" w:color="auto" w:fill="FFFFFF"/>
        <w:ind w:left="660"/>
        <w:jc w:val="center"/>
        <w:outlineLvl w:val="0"/>
        <w:rPr>
          <w:rFonts w:eastAsia="Times New Roman"/>
          <w:b/>
          <w:bCs/>
          <w:kern w:val="36"/>
          <w:sz w:val="28"/>
          <w:szCs w:val="28"/>
        </w:rPr>
      </w:pPr>
      <w:bookmarkStart w:id="0" w:name="_GoBack"/>
      <w:bookmarkEnd w:id="0"/>
      <w:r>
        <w:rPr>
          <w:rFonts w:eastAsia="Times New Roman"/>
          <w:b/>
          <w:bCs/>
          <w:kern w:val="36"/>
          <w:sz w:val="28"/>
          <w:szCs w:val="28"/>
        </w:rPr>
        <w:t xml:space="preserve">ОСНОВНЫЕ ЗАМЕЧАНИЯ </w:t>
      </w:r>
    </w:p>
    <w:p w:rsidR="00AF4038" w:rsidRDefault="00AF4038" w:rsidP="00AF4038">
      <w:pPr>
        <w:shd w:val="clear" w:color="auto" w:fill="FFFFFF"/>
        <w:ind w:left="660"/>
        <w:jc w:val="center"/>
        <w:outlineLvl w:val="0"/>
        <w:rPr>
          <w:rFonts w:eastAsia="Times New Roman"/>
          <w:b/>
          <w:bCs/>
          <w:kern w:val="36"/>
          <w:sz w:val="28"/>
          <w:szCs w:val="28"/>
        </w:rPr>
      </w:pPr>
      <w:r>
        <w:rPr>
          <w:rFonts w:eastAsia="Times New Roman"/>
          <w:b/>
          <w:bCs/>
          <w:kern w:val="36"/>
          <w:sz w:val="28"/>
          <w:szCs w:val="28"/>
        </w:rPr>
        <w:t xml:space="preserve">к отчетам об оценке рыночной стоимости объектов недвижимости, поступающим </w:t>
      </w:r>
    </w:p>
    <w:p w:rsidR="00AF4038" w:rsidRDefault="00AF4038" w:rsidP="00AF4038">
      <w:pPr>
        <w:shd w:val="clear" w:color="auto" w:fill="FFFFFF"/>
        <w:ind w:left="660"/>
        <w:jc w:val="center"/>
        <w:outlineLvl w:val="0"/>
        <w:rPr>
          <w:b/>
          <w:sz w:val="28"/>
          <w:szCs w:val="28"/>
        </w:rPr>
      </w:pPr>
      <w:r>
        <w:rPr>
          <w:rFonts w:eastAsia="Times New Roman"/>
          <w:b/>
          <w:bCs/>
          <w:kern w:val="36"/>
          <w:sz w:val="28"/>
          <w:szCs w:val="28"/>
        </w:rPr>
        <w:t xml:space="preserve">в </w:t>
      </w:r>
      <w:r w:rsidRPr="00940B3C">
        <w:rPr>
          <w:b/>
          <w:sz w:val="28"/>
          <w:szCs w:val="28"/>
        </w:rPr>
        <w:t>Комисси</w:t>
      </w:r>
      <w:r>
        <w:rPr>
          <w:b/>
          <w:sz w:val="28"/>
          <w:szCs w:val="28"/>
        </w:rPr>
        <w:t>ю</w:t>
      </w:r>
      <w:r w:rsidRPr="00940B3C">
        <w:rPr>
          <w:b/>
          <w:sz w:val="28"/>
          <w:szCs w:val="28"/>
        </w:rPr>
        <w:t xml:space="preserve"> по рассмотрению споров о результатах определения кадастровой стоимости </w:t>
      </w:r>
    </w:p>
    <w:p w:rsidR="00AF4038" w:rsidRDefault="00AF4038" w:rsidP="00AF4038">
      <w:pPr>
        <w:shd w:val="clear" w:color="auto" w:fill="FFFFFF"/>
        <w:ind w:left="660"/>
        <w:jc w:val="center"/>
        <w:outlineLvl w:val="0"/>
        <w:rPr>
          <w:rFonts w:eastAsia="Times New Roman"/>
          <w:b/>
          <w:bCs/>
          <w:caps/>
          <w:kern w:val="36"/>
          <w:sz w:val="28"/>
          <w:szCs w:val="28"/>
        </w:rPr>
      </w:pPr>
      <w:r w:rsidRPr="00940B3C">
        <w:rPr>
          <w:b/>
          <w:sz w:val="28"/>
          <w:szCs w:val="28"/>
        </w:rPr>
        <w:t xml:space="preserve">в Ханты-Мансийском автономном округе – Югре </w:t>
      </w:r>
      <w:r w:rsidRPr="00940B3C">
        <w:rPr>
          <w:b/>
          <w:sz w:val="28"/>
          <w:szCs w:val="28"/>
        </w:rPr>
        <w:br/>
      </w:r>
    </w:p>
    <w:p w:rsidR="00AF4038" w:rsidRPr="00222921" w:rsidRDefault="00AF4038" w:rsidP="00AF4038">
      <w:pPr>
        <w:spacing w:line="276" w:lineRule="auto"/>
        <w:jc w:val="center"/>
        <w:rPr>
          <w:b/>
          <w:sz w:val="28"/>
          <w:szCs w:val="28"/>
        </w:rPr>
      </w:pPr>
    </w:p>
    <w:tbl>
      <w:tblPr>
        <w:tblW w:w="1552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109"/>
        <w:gridCol w:w="5670"/>
        <w:gridCol w:w="6294"/>
      </w:tblGrid>
      <w:tr w:rsidR="00AF4038" w:rsidRPr="00BD7C14" w:rsidTr="00AF4038">
        <w:trPr>
          <w:trHeight w:val="1553"/>
        </w:trPr>
        <w:tc>
          <w:tcPr>
            <w:tcW w:w="0" w:type="auto"/>
            <w:tcBorders>
              <w:bottom w:val="single" w:sz="4" w:space="0" w:color="auto"/>
            </w:tcBorders>
            <w:tcMar>
              <w:top w:w="0" w:type="dxa"/>
              <w:left w:w="105" w:type="dxa"/>
              <w:bottom w:w="0" w:type="dxa"/>
              <w:right w:w="105" w:type="dxa"/>
            </w:tcMar>
            <w:vAlign w:val="center"/>
            <w:hideMark/>
          </w:tcPr>
          <w:p w:rsidR="00AF4038" w:rsidRPr="00BD7C14" w:rsidRDefault="00AF4038" w:rsidP="00D419A1">
            <w:pPr>
              <w:pStyle w:val="a4"/>
              <w:jc w:val="center"/>
              <w:rPr>
                <w:b/>
              </w:rPr>
            </w:pPr>
            <w:r w:rsidRPr="00BD7C14">
              <w:rPr>
                <w:b/>
                <w:color w:val="000000"/>
              </w:rPr>
              <w:t xml:space="preserve">№ </w:t>
            </w:r>
          </w:p>
        </w:tc>
        <w:tc>
          <w:tcPr>
            <w:tcW w:w="3109" w:type="dxa"/>
            <w:tcBorders>
              <w:bottom w:val="single" w:sz="4" w:space="0" w:color="auto"/>
            </w:tcBorders>
            <w:vAlign w:val="center"/>
          </w:tcPr>
          <w:p w:rsidR="00AF4038" w:rsidRPr="00BD7C14" w:rsidRDefault="00AF4038" w:rsidP="00D419A1">
            <w:pPr>
              <w:pStyle w:val="a4"/>
              <w:jc w:val="center"/>
              <w:rPr>
                <w:b/>
                <w:color w:val="000000"/>
              </w:rPr>
            </w:pPr>
            <w:r>
              <w:rPr>
                <w:b/>
                <w:color w:val="000000"/>
              </w:rPr>
              <w:t>Замечания</w:t>
            </w:r>
          </w:p>
        </w:tc>
        <w:tc>
          <w:tcPr>
            <w:tcW w:w="5670" w:type="dxa"/>
            <w:tcBorders>
              <w:bottom w:val="single" w:sz="4" w:space="0" w:color="auto"/>
            </w:tcBorders>
            <w:tcMar>
              <w:top w:w="0" w:type="dxa"/>
              <w:left w:w="105" w:type="dxa"/>
              <w:bottom w:w="0" w:type="dxa"/>
              <w:right w:w="105" w:type="dxa"/>
            </w:tcMar>
            <w:vAlign w:val="center"/>
            <w:hideMark/>
          </w:tcPr>
          <w:p w:rsidR="00AF4038" w:rsidRPr="00BD7C14" w:rsidRDefault="00AF4038" w:rsidP="00D419A1">
            <w:pPr>
              <w:pStyle w:val="a4"/>
              <w:jc w:val="center"/>
              <w:rPr>
                <w:b/>
              </w:rPr>
            </w:pPr>
            <w:r w:rsidRPr="00BD7C14">
              <w:rPr>
                <w:b/>
                <w:color w:val="000000"/>
              </w:rPr>
              <w:t>Суть замечания</w:t>
            </w:r>
          </w:p>
        </w:tc>
        <w:tc>
          <w:tcPr>
            <w:tcW w:w="6294" w:type="dxa"/>
            <w:tcBorders>
              <w:bottom w:val="single" w:sz="4" w:space="0" w:color="auto"/>
            </w:tcBorders>
            <w:tcMar>
              <w:top w:w="0" w:type="dxa"/>
              <w:left w:w="105" w:type="dxa"/>
              <w:bottom w:w="0" w:type="dxa"/>
              <w:right w:w="105" w:type="dxa"/>
            </w:tcMar>
            <w:vAlign w:val="center"/>
            <w:hideMark/>
          </w:tcPr>
          <w:p w:rsidR="00AF4038" w:rsidRPr="002343FB" w:rsidRDefault="00AF4038" w:rsidP="00D419A1">
            <w:pPr>
              <w:pStyle w:val="1"/>
              <w:shd w:val="clear" w:color="auto" w:fill="FFFFFF"/>
              <w:spacing w:before="0" w:beforeAutospacing="0" w:after="144" w:afterAutospacing="0" w:line="263" w:lineRule="atLeast"/>
              <w:jc w:val="center"/>
              <w:rPr>
                <w:sz w:val="24"/>
                <w:szCs w:val="24"/>
              </w:rPr>
            </w:pPr>
            <w:r w:rsidRPr="002343FB">
              <w:rPr>
                <w:color w:val="000000"/>
                <w:sz w:val="24"/>
                <w:szCs w:val="24"/>
              </w:rPr>
              <w:t xml:space="preserve">Обоснование замечания согласно законодательству в сфере оценочной деятельности (Федеральный закон </w:t>
            </w:r>
            <w:r>
              <w:rPr>
                <w:color w:val="000000"/>
                <w:sz w:val="24"/>
                <w:szCs w:val="24"/>
              </w:rPr>
              <w:br/>
              <w:t>«</w:t>
            </w:r>
            <w:r w:rsidRPr="002343FB">
              <w:rPr>
                <w:color w:val="000000"/>
                <w:sz w:val="24"/>
                <w:szCs w:val="24"/>
              </w:rPr>
              <w:t>Об оценочной деятельности в Росси</w:t>
            </w:r>
            <w:r>
              <w:rPr>
                <w:color w:val="000000"/>
                <w:sz w:val="24"/>
                <w:szCs w:val="24"/>
              </w:rPr>
              <w:t>йской Федерации» от 29.07.1998 №</w:t>
            </w:r>
            <w:r w:rsidRPr="002343FB">
              <w:rPr>
                <w:color w:val="000000"/>
                <w:sz w:val="24"/>
                <w:szCs w:val="24"/>
              </w:rPr>
              <w:t xml:space="preserve"> 135-ФЗ </w:t>
            </w:r>
            <w:r>
              <w:rPr>
                <w:color w:val="000000"/>
                <w:sz w:val="24"/>
                <w:szCs w:val="24"/>
              </w:rPr>
              <w:t xml:space="preserve">(далее – ФЗ № </w:t>
            </w:r>
            <w:r w:rsidRPr="002343FB">
              <w:rPr>
                <w:color w:val="000000"/>
                <w:sz w:val="24"/>
                <w:szCs w:val="24"/>
              </w:rPr>
              <w:t>135</w:t>
            </w:r>
            <w:r>
              <w:rPr>
                <w:color w:val="000000"/>
                <w:sz w:val="24"/>
                <w:szCs w:val="24"/>
              </w:rPr>
              <w:t>)</w:t>
            </w:r>
            <w:r w:rsidRPr="002343FB">
              <w:rPr>
                <w:color w:val="000000"/>
                <w:sz w:val="24"/>
                <w:szCs w:val="24"/>
              </w:rPr>
              <w:t>, Федеральные стандарты оценки (далее – ФСО), Методические рекомендации и другое)</w:t>
            </w:r>
          </w:p>
        </w:tc>
      </w:tr>
      <w:tr w:rsidR="00AF4038" w:rsidRPr="00BD7C14" w:rsidTr="00D419A1">
        <w:trPr>
          <w:trHeight w:val="556"/>
        </w:trPr>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Pr="00BD7C14" w:rsidRDefault="00AF4038" w:rsidP="00D419A1">
            <w:pPr>
              <w:pStyle w:val="a4"/>
              <w:jc w:val="center"/>
            </w:pPr>
            <w:r>
              <w:rPr>
                <w:color w:val="000000"/>
              </w:rPr>
              <w:br/>
            </w:r>
            <w:r w:rsidRPr="00BD7C14">
              <w:rPr>
                <w:color w:val="000000"/>
              </w:rPr>
              <w:t>1</w:t>
            </w: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F4038" w:rsidRPr="00BD7C14" w:rsidRDefault="00AF4038" w:rsidP="00D419A1">
            <w:pPr>
              <w:pStyle w:val="a4"/>
              <w:jc w:val="center"/>
              <w:rPr>
                <w:color w:val="000000"/>
              </w:rPr>
            </w:pPr>
            <w:r>
              <w:rPr>
                <w:color w:val="000000"/>
              </w:rPr>
              <w:t>Оформление Отчета об оценке</w:t>
            </w:r>
          </w:p>
        </w:tc>
        <w:tc>
          <w:tcPr>
            <w:tcW w:w="56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r>
              <w:rPr>
                <w:color w:val="000000"/>
              </w:rPr>
              <w:t>В отчетах в разделе «Описание объекта (</w:t>
            </w:r>
            <w:proofErr w:type="spellStart"/>
            <w:r>
              <w:rPr>
                <w:color w:val="000000"/>
              </w:rPr>
              <w:t>ов</w:t>
            </w:r>
            <w:proofErr w:type="spellEnd"/>
            <w:r>
              <w:rPr>
                <w:color w:val="000000"/>
              </w:rPr>
              <w:t>) оценки»:</w:t>
            </w:r>
          </w:p>
          <w:p w:rsidR="00AF4038" w:rsidRDefault="00AF4038" w:rsidP="00AF4038">
            <w:pPr>
              <w:pStyle w:val="a4"/>
              <w:numPr>
                <w:ilvl w:val="0"/>
                <w:numId w:val="5"/>
              </w:numPr>
              <w:tabs>
                <w:tab w:val="left" w:pos="320"/>
              </w:tabs>
              <w:spacing w:before="0" w:beforeAutospacing="0" w:after="0" w:afterAutospacing="0"/>
              <w:ind w:left="0" w:firstLine="0"/>
              <w:jc w:val="both"/>
              <w:rPr>
                <w:color w:val="000000"/>
              </w:rPr>
            </w:pPr>
            <w:r w:rsidRPr="009E0DA5">
              <w:rPr>
                <w:color w:val="000000"/>
              </w:rPr>
              <w:t>отсутствуют фотографии внутренних помещений</w:t>
            </w:r>
            <w:r>
              <w:rPr>
                <w:color w:val="000000"/>
              </w:rPr>
              <w:t xml:space="preserve"> объекта оценки;</w:t>
            </w:r>
          </w:p>
          <w:p w:rsidR="00AF4038" w:rsidRPr="00610723" w:rsidRDefault="00AF4038" w:rsidP="00AF4038">
            <w:pPr>
              <w:pStyle w:val="a4"/>
              <w:numPr>
                <w:ilvl w:val="0"/>
                <w:numId w:val="5"/>
              </w:numPr>
              <w:tabs>
                <w:tab w:val="left" w:pos="320"/>
              </w:tabs>
              <w:spacing w:before="0" w:beforeAutospacing="0" w:after="0" w:afterAutospacing="0"/>
              <w:ind w:left="0" w:firstLine="0"/>
              <w:jc w:val="both"/>
              <w:rPr>
                <w:b/>
              </w:rPr>
            </w:pPr>
            <w:r w:rsidRPr="009E0DA5">
              <w:rPr>
                <w:color w:val="000000"/>
              </w:rPr>
              <w:t>присутствуют фотографии только фасадов, взятые из открытых источников (скри</w:t>
            </w:r>
            <w:r>
              <w:rPr>
                <w:color w:val="000000"/>
              </w:rPr>
              <w:t xml:space="preserve">ншоты Яндекс карты, </w:t>
            </w:r>
            <w:proofErr w:type="spellStart"/>
            <w:r>
              <w:rPr>
                <w:color w:val="000000"/>
              </w:rPr>
              <w:t>googlemaps</w:t>
            </w:r>
            <w:proofErr w:type="spellEnd"/>
            <w:r>
              <w:rPr>
                <w:color w:val="000000"/>
              </w:rPr>
              <w:t>);</w:t>
            </w:r>
          </w:p>
          <w:p w:rsidR="00AF4038" w:rsidRPr="00E77DDD" w:rsidRDefault="00AF4038" w:rsidP="00AF4038">
            <w:pPr>
              <w:pStyle w:val="a4"/>
              <w:numPr>
                <w:ilvl w:val="0"/>
                <w:numId w:val="5"/>
              </w:numPr>
              <w:tabs>
                <w:tab w:val="left" w:pos="320"/>
              </w:tabs>
              <w:spacing w:before="0" w:beforeAutospacing="0" w:after="0" w:afterAutospacing="0"/>
              <w:ind w:left="0" w:firstLine="0"/>
              <w:jc w:val="both"/>
              <w:rPr>
                <w:b/>
              </w:rPr>
            </w:pPr>
            <w:r w:rsidRPr="009E0DA5">
              <w:rPr>
                <w:color w:val="000000"/>
              </w:rPr>
              <w:t xml:space="preserve"> фото</w:t>
            </w:r>
            <w:r>
              <w:rPr>
                <w:color w:val="000000"/>
              </w:rPr>
              <w:t>графии</w:t>
            </w:r>
            <w:r w:rsidRPr="009E0DA5">
              <w:rPr>
                <w:color w:val="000000"/>
              </w:rPr>
              <w:t xml:space="preserve"> объекта</w:t>
            </w:r>
            <w:r>
              <w:rPr>
                <w:color w:val="000000"/>
              </w:rPr>
              <w:t xml:space="preserve"> оценки</w:t>
            </w:r>
            <w:r w:rsidRPr="009E0DA5">
              <w:rPr>
                <w:color w:val="000000"/>
              </w:rPr>
              <w:t xml:space="preserve"> не соответству</w:t>
            </w:r>
            <w:r>
              <w:rPr>
                <w:color w:val="000000"/>
              </w:rPr>
              <w:t>ю</w:t>
            </w:r>
            <w:r w:rsidRPr="009E0DA5">
              <w:rPr>
                <w:color w:val="000000"/>
              </w:rPr>
              <w:t>т дате осмотра</w:t>
            </w:r>
            <w:r>
              <w:rPr>
                <w:color w:val="000000"/>
              </w:rPr>
              <w:t xml:space="preserve"> (например, фотография сделана в летний период, а дата осмотра в отчете стоит зимнего периода).</w:t>
            </w:r>
            <w:r w:rsidRPr="00BD7C14">
              <w:rPr>
                <w:color w:val="000000"/>
              </w:rPr>
              <w:t xml:space="preserve"> </w:t>
            </w:r>
            <w:r>
              <w:rPr>
                <w:color w:val="000000"/>
              </w:rPr>
              <w:t xml:space="preserve"> </w:t>
            </w:r>
          </w:p>
        </w:tc>
        <w:tc>
          <w:tcPr>
            <w:tcW w:w="62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Pr="00E83E17" w:rsidRDefault="00AF4038" w:rsidP="00D419A1">
            <w:pPr>
              <w:pStyle w:val="a4"/>
              <w:spacing w:before="0" w:beforeAutospacing="0" w:after="0" w:afterAutospacing="0"/>
              <w:jc w:val="both"/>
              <w:rPr>
                <w:b/>
                <w:color w:val="000000"/>
              </w:rPr>
            </w:pPr>
            <w:r w:rsidRPr="00E83E17">
              <w:rPr>
                <w:b/>
                <w:color w:val="000000"/>
              </w:rPr>
              <w:t xml:space="preserve">ст. 11 ФЗ № 135: </w:t>
            </w:r>
          </w:p>
          <w:p w:rsidR="00AF4038" w:rsidRPr="0093166A" w:rsidRDefault="00AF4038" w:rsidP="00D419A1">
            <w:pPr>
              <w:pStyle w:val="a4"/>
              <w:spacing w:before="0" w:beforeAutospacing="0" w:after="0" w:afterAutospacing="0"/>
              <w:jc w:val="both"/>
              <w:rPr>
                <w:color w:val="000000"/>
              </w:rPr>
            </w:pPr>
            <w:r>
              <w:rPr>
                <w:color w:val="000000"/>
                <w:shd w:val="clear" w:color="auto" w:fill="FFFFFF"/>
              </w:rPr>
              <w:t>«т</w:t>
            </w:r>
            <w:r w:rsidRPr="0093166A">
              <w:rPr>
                <w:color w:val="000000"/>
              </w:rPr>
              <w:t>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r>
              <w:rPr>
                <w:color w:val="000000"/>
              </w:rPr>
              <w:t>»</w:t>
            </w:r>
          </w:p>
          <w:p w:rsidR="00AF4038" w:rsidRPr="00E83E17" w:rsidRDefault="00AF4038" w:rsidP="00D419A1">
            <w:pPr>
              <w:pStyle w:val="a4"/>
              <w:spacing w:before="0" w:beforeAutospacing="0" w:after="0" w:afterAutospacing="0"/>
              <w:jc w:val="both"/>
              <w:rPr>
                <w:b/>
              </w:rPr>
            </w:pPr>
            <w:r w:rsidRPr="00E83E17">
              <w:rPr>
                <w:b/>
              </w:rPr>
              <w:t>п. 5 ФСО №3:</w:t>
            </w:r>
          </w:p>
          <w:p w:rsidR="00AF4038" w:rsidRDefault="00AF4038" w:rsidP="00D419A1">
            <w:pPr>
              <w:pStyle w:val="a4"/>
              <w:shd w:val="clear" w:color="auto" w:fill="FFFFFF"/>
              <w:spacing w:before="0" w:beforeAutospacing="0" w:after="0" w:afterAutospacing="0"/>
              <w:jc w:val="both"/>
            </w:pPr>
            <w:r>
              <w:t>«</w:t>
            </w:r>
            <w:r w:rsidRPr="00E83E17">
              <w:t>При составлении </w:t>
            </w:r>
            <w:hyperlink r:id="rId7" w:history="1">
              <w:r w:rsidRPr="00AF4038">
                <w:rPr>
                  <w:rStyle w:val="a3"/>
                  <w:color w:val="auto"/>
                  <w:u w:val="none"/>
                </w:rPr>
                <w:t>отчета об оценке</w:t>
              </w:r>
            </w:hyperlink>
            <w:r w:rsidRPr="00AF4038">
              <w:t> </w:t>
            </w:r>
            <w:r w:rsidRPr="00E83E17">
              <w:t>оценщик должен придерживаться следующих принципов:</w:t>
            </w:r>
          </w:p>
          <w:p w:rsidR="00AF4038"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в отчете должна быть изложена информация, существенная с точки зрения оценщика для определения стоимости объекта оценки;</w:t>
            </w:r>
          </w:p>
          <w:p w:rsidR="00AF4038"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информация, приведенная в отчете об оценке, существенным образом влияющая на стоимость объекта оценки, должна быть подтверждена;</w:t>
            </w:r>
          </w:p>
          <w:p w:rsidR="00AF4038" w:rsidRPr="00BD7C14"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r>
              <w:t>»</w:t>
            </w:r>
          </w:p>
        </w:tc>
      </w:tr>
      <w:tr w:rsidR="00AF4038" w:rsidRPr="00BD7C14" w:rsidTr="00D419A1">
        <w:trPr>
          <w:trHeight w:val="273"/>
        </w:trPr>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Default="00AF4038" w:rsidP="00D419A1">
            <w:pPr>
              <w:pStyle w:val="a4"/>
              <w:jc w:val="center"/>
              <w:rPr>
                <w:color w:val="000000"/>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AF4038" w:rsidRDefault="00AF4038" w:rsidP="00D419A1">
            <w:pPr>
              <w:pStyle w:val="a4"/>
              <w:jc w:val="center"/>
              <w:rPr>
                <w:color w:val="000000"/>
              </w:rPr>
            </w:pPr>
          </w:p>
        </w:tc>
        <w:tc>
          <w:tcPr>
            <w:tcW w:w="56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Pr="005F1ECF" w:rsidRDefault="00AF4038" w:rsidP="00D419A1">
            <w:pPr>
              <w:pStyle w:val="a4"/>
              <w:jc w:val="both"/>
              <w:rPr>
                <w:color w:val="000000"/>
                <w:highlight w:val="yellow"/>
              </w:rPr>
            </w:pPr>
            <w:r w:rsidRPr="00C072C1">
              <w:rPr>
                <w:color w:val="000000"/>
              </w:rPr>
              <w:t xml:space="preserve">Отчет об оценке не подписан </w:t>
            </w:r>
            <w:r>
              <w:rPr>
                <w:color w:val="000000"/>
              </w:rPr>
              <w:t xml:space="preserve">усиленной </w:t>
            </w:r>
            <w:r>
              <w:rPr>
                <w:color w:val="000000"/>
              </w:rPr>
              <w:lastRenderedPageBreak/>
              <w:t xml:space="preserve">квалификационной </w:t>
            </w:r>
            <w:r w:rsidRPr="00C072C1">
              <w:rPr>
                <w:color w:val="000000"/>
              </w:rPr>
              <w:t>электронно</w:t>
            </w:r>
            <w:r>
              <w:rPr>
                <w:color w:val="000000"/>
              </w:rPr>
              <w:t>й</w:t>
            </w:r>
            <w:r w:rsidRPr="00C072C1">
              <w:rPr>
                <w:color w:val="000000"/>
              </w:rPr>
              <w:t xml:space="preserve"> подписью</w:t>
            </w:r>
            <w:r>
              <w:rPr>
                <w:color w:val="000000"/>
              </w:rPr>
              <w:t xml:space="preserve"> </w:t>
            </w:r>
          </w:p>
        </w:tc>
        <w:tc>
          <w:tcPr>
            <w:tcW w:w="62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shd w:val="clear" w:color="auto" w:fill="FFFFFF"/>
              </w:rPr>
            </w:pPr>
            <w:r w:rsidRPr="00E83E17">
              <w:rPr>
                <w:b/>
                <w:color w:val="000000"/>
              </w:rPr>
              <w:lastRenderedPageBreak/>
              <w:t>п. 6 ФСО №3</w:t>
            </w:r>
            <w:r>
              <w:rPr>
                <w:color w:val="000000"/>
                <w:shd w:val="clear" w:color="auto" w:fill="FFFFFF"/>
              </w:rPr>
              <w:t>:</w:t>
            </w:r>
          </w:p>
          <w:p w:rsidR="00AF4038" w:rsidRPr="00BD7C14" w:rsidRDefault="00AF4038" w:rsidP="00D419A1">
            <w:pPr>
              <w:pStyle w:val="a4"/>
              <w:spacing w:before="0" w:beforeAutospacing="0" w:after="0" w:afterAutospacing="0"/>
              <w:jc w:val="both"/>
              <w:rPr>
                <w:color w:val="000000"/>
              </w:rPr>
            </w:pPr>
            <w:r>
              <w:rPr>
                <w:color w:val="000000"/>
                <w:shd w:val="clear" w:color="auto" w:fill="FFFFFF"/>
              </w:rPr>
              <w:lastRenderedPageBreak/>
              <w:t>«</w:t>
            </w:r>
            <w:r w:rsidRPr="00C072C1">
              <w:rPr>
                <w:color w:val="000000"/>
                <w:shd w:val="clear" w:color="auto" w:fill="FFFFFF"/>
              </w:rPr>
              <w:t>Отчет, составленный в форме электронного документа, должен быть пронумерован постранично, 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 а также подписью руководителя юридического лица, с которым оценщик или оценщики заключили трудовой договор.</w:t>
            </w:r>
            <w:r>
              <w:rPr>
                <w:color w:val="000000"/>
                <w:shd w:val="clear" w:color="auto" w:fill="FFFFFF"/>
              </w:rPr>
              <w:t>»</w:t>
            </w:r>
          </w:p>
        </w:tc>
      </w:tr>
      <w:tr w:rsidR="00AF4038" w:rsidRPr="00BD7C14" w:rsidTr="00D419A1">
        <w:trPr>
          <w:trHeight w:val="2970"/>
        </w:trPr>
        <w:tc>
          <w:tcPr>
            <w:tcW w:w="0" w:type="auto"/>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Pr="00BD7C14" w:rsidRDefault="00AF4038" w:rsidP="00D419A1">
            <w:pPr>
              <w:pStyle w:val="a4"/>
              <w:jc w:val="center"/>
            </w:pPr>
            <w:r w:rsidRPr="00BD7C14">
              <w:rPr>
                <w:color w:val="000000"/>
              </w:rPr>
              <w:lastRenderedPageBreak/>
              <w:t>2</w:t>
            </w: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F4038" w:rsidRPr="00BD7C14" w:rsidRDefault="00AF4038" w:rsidP="00D419A1">
            <w:pPr>
              <w:pStyle w:val="a4"/>
              <w:jc w:val="center"/>
              <w:rPr>
                <w:color w:val="000000"/>
              </w:rPr>
            </w:pPr>
            <w:r>
              <w:rPr>
                <w:color w:val="000000"/>
              </w:rPr>
              <w:t>Описание объекта оценки</w:t>
            </w:r>
          </w:p>
        </w:tc>
        <w:tc>
          <w:tcPr>
            <w:tcW w:w="56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r w:rsidRPr="00BD7C14">
              <w:rPr>
                <w:color w:val="000000"/>
              </w:rPr>
              <w:t xml:space="preserve">В отчете отсутствует описание сегментов рынка, </w:t>
            </w:r>
            <w:r>
              <w:rPr>
                <w:color w:val="000000"/>
              </w:rPr>
              <w:br/>
            </w:r>
            <w:r w:rsidRPr="00BD7C14">
              <w:rPr>
                <w:color w:val="000000"/>
              </w:rPr>
              <w:t xml:space="preserve">их характеристик и соотношение объектов оценки </w:t>
            </w:r>
            <w:r>
              <w:rPr>
                <w:color w:val="000000"/>
              </w:rPr>
              <w:br/>
            </w:r>
            <w:r w:rsidRPr="00BD7C14">
              <w:rPr>
                <w:color w:val="000000"/>
              </w:rPr>
              <w:t>к одному из них</w:t>
            </w:r>
            <w:r>
              <w:rPr>
                <w:color w:val="000000"/>
              </w:rPr>
              <w:t>.</w:t>
            </w:r>
          </w:p>
          <w:p w:rsidR="00AF4038" w:rsidRDefault="00AF4038" w:rsidP="00D419A1">
            <w:pPr>
              <w:pStyle w:val="a4"/>
              <w:spacing w:before="0" w:beforeAutospacing="0" w:after="0" w:afterAutospacing="0"/>
              <w:jc w:val="both"/>
              <w:rPr>
                <w:color w:val="000000"/>
              </w:rPr>
            </w:pPr>
          </w:p>
          <w:p w:rsidR="00AF4038" w:rsidRPr="00BD7C14" w:rsidRDefault="00AF4038" w:rsidP="00D419A1">
            <w:pPr>
              <w:pStyle w:val="a4"/>
              <w:spacing w:before="0" w:beforeAutospacing="0" w:after="0" w:afterAutospacing="0"/>
              <w:jc w:val="both"/>
            </w:pPr>
          </w:p>
        </w:tc>
        <w:tc>
          <w:tcPr>
            <w:tcW w:w="62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AF4038" w:rsidRDefault="00AF4038" w:rsidP="00D419A1">
            <w:pPr>
              <w:pStyle w:val="a4"/>
              <w:spacing w:before="0" w:beforeAutospacing="0" w:after="0" w:afterAutospacing="0"/>
              <w:jc w:val="both"/>
              <w:rPr>
                <w:color w:val="000000"/>
              </w:rPr>
            </w:pPr>
            <w:r w:rsidRPr="00E83E17">
              <w:rPr>
                <w:b/>
                <w:color w:val="000000"/>
              </w:rPr>
              <w:t>п. 5 ФСО №3:</w:t>
            </w:r>
            <w:r w:rsidRPr="00BD7C14">
              <w:rPr>
                <w:color w:val="000000"/>
              </w:rPr>
              <w:t xml:space="preserve">  </w:t>
            </w:r>
          </w:p>
          <w:p w:rsidR="00AF4038" w:rsidRDefault="00AF4038" w:rsidP="00D419A1">
            <w:pPr>
              <w:pStyle w:val="a4"/>
              <w:shd w:val="clear" w:color="auto" w:fill="FFFFFF"/>
              <w:spacing w:before="0" w:beforeAutospacing="0" w:after="0" w:afterAutospacing="0"/>
              <w:jc w:val="both"/>
            </w:pPr>
            <w:r>
              <w:t>«</w:t>
            </w:r>
            <w:r w:rsidRPr="00E83E17">
              <w:t>При составлении </w:t>
            </w:r>
            <w:r w:rsidR="005C73C2">
              <w:t>отчета об оценке</w:t>
            </w:r>
            <w:r w:rsidRPr="00E83E17">
              <w:t> оценщик должен придерживаться следующих принципов:</w:t>
            </w:r>
          </w:p>
          <w:p w:rsidR="00AF4038"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в отчете должна быть изложена информация, существенная с точки зрения оценщика для определения стоимости объекта оценки;</w:t>
            </w:r>
          </w:p>
          <w:p w:rsidR="00AF4038"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информация, приведенная в отчете об оценке, существенным образом влияющая на стоимость объекта оценки, должна быть подтверждена;</w:t>
            </w:r>
          </w:p>
          <w:p w:rsidR="00AF4038" w:rsidRPr="00BD7C14" w:rsidRDefault="00AF4038" w:rsidP="00AF4038">
            <w:pPr>
              <w:pStyle w:val="a4"/>
              <w:numPr>
                <w:ilvl w:val="0"/>
                <w:numId w:val="1"/>
              </w:numPr>
              <w:shd w:val="clear" w:color="auto" w:fill="FFFFFF"/>
              <w:tabs>
                <w:tab w:val="clear" w:pos="720"/>
                <w:tab w:val="num" w:pos="320"/>
              </w:tabs>
              <w:spacing w:before="0" w:beforeAutospacing="0" w:after="0" w:afterAutospacing="0"/>
              <w:ind w:left="0" w:firstLine="0"/>
              <w:jc w:val="both"/>
            </w:pPr>
            <w:r w:rsidRPr="00E83E17">
              <w:t>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r>
              <w:t>»</w:t>
            </w:r>
          </w:p>
        </w:tc>
      </w:tr>
      <w:tr w:rsidR="00AF4038" w:rsidRPr="00BD7C14" w:rsidTr="00D419A1">
        <w:trPr>
          <w:trHeight w:val="661"/>
        </w:trPr>
        <w:tc>
          <w:tcPr>
            <w:tcW w:w="0" w:type="auto"/>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Pr="00BD7C14" w:rsidRDefault="00AF4038" w:rsidP="00D419A1">
            <w:pPr>
              <w:pStyle w:val="a4"/>
              <w:jc w:val="center"/>
              <w:rPr>
                <w:color w:val="000000"/>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AF4038" w:rsidRDefault="00AF4038" w:rsidP="00D419A1">
            <w:pPr>
              <w:pStyle w:val="a4"/>
              <w:jc w:val="center"/>
              <w:rPr>
                <w:color w:val="000000"/>
              </w:rPr>
            </w:pPr>
          </w:p>
        </w:tc>
        <w:tc>
          <w:tcPr>
            <w:tcW w:w="56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Pr="00BD7C14" w:rsidRDefault="00AF4038" w:rsidP="00D419A1">
            <w:pPr>
              <w:tabs>
                <w:tab w:val="left" w:pos="993"/>
              </w:tabs>
              <w:jc w:val="both"/>
              <w:rPr>
                <w:color w:val="000000"/>
              </w:rPr>
            </w:pPr>
            <w:r w:rsidRPr="007C6C57">
              <w:t xml:space="preserve">Не идентифицирован конкретный сегмент рынка, </w:t>
            </w:r>
            <w:r>
              <w:br/>
            </w:r>
            <w:r w:rsidRPr="007C6C57">
              <w:t>к к</w:t>
            </w:r>
            <w:r>
              <w:t xml:space="preserve">оторому относится объект оценки (например, </w:t>
            </w:r>
            <w:r>
              <w:br/>
              <w:t>в</w:t>
            </w:r>
            <w:r w:rsidRPr="00384365">
              <w:t xml:space="preserve"> </w:t>
            </w:r>
            <w:r>
              <w:t>отчете</w:t>
            </w:r>
            <w:r w:rsidRPr="00384365">
              <w:t xml:space="preserve"> указано, что объект является торгово-офисным, но по информации из открытых источников (</w:t>
            </w:r>
            <w:hyperlink r:id="rId8" w:history="1">
              <w:r w:rsidRPr="00384365">
                <w:t>https://www.google.ru/maps/</w:t>
              </w:r>
            </w:hyperlink>
            <w:r w:rsidRPr="00384365">
              <w:t xml:space="preserve">, </w:t>
            </w:r>
            <w:hyperlink r:id="rId9" w:history="1">
              <w:r w:rsidRPr="00384365">
                <w:t>https://yandex.ru/maps/</w:t>
              </w:r>
            </w:hyperlink>
            <w:r w:rsidRPr="00384365">
              <w:t xml:space="preserve">, </w:t>
            </w:r>
            <w:hyperlink r:id="rId10" w:history="1">
              <w:r w:rsidRPr="00384365">
                <w:t>https://pkk.rosreestr.ru/</w:t>
              </w:r>
            </w:hyperlink>
            <w:r w:rsidRPr="00384365">
              <w:t>) данное здание является Торговым центром, в нем расположены продовольственные магазины, отделы бытового обслуживания, магазины промышленных товаров, специализированные отделы по продаже одежды и обуви</w:t>
            </w:r>
            <w:r>
              <w:t>)</w:t>
            </w:r>
            <w:r w:rsidRPr="00384365">
              <w:t>.</w:t>
            </w:r>
          </w:p>
        </w:tc>
        <w:tc>
          <w:tcPr>
            <w:tcW w:w="62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b/>
                <w:color w:val="000000"/>
              </w:rPr>
            </w:pPr>
            <w:r w:rsidRPr="00084F83">
              <w:rPr>
                <w:b/>
                <w:color w:val="000000"/>
              </w:rPr>
              <w:t>п. 11 ФСО №7</w:t>
            </w:r>
            <w:r>
              <w:rPr>
                <w:b/>
                <w:color w:val="000000"/>
              </w:rPr>
              <w:t>:</w:t>
            </w:r>
          </w:p>
          <w:p w:rsidR="00AF4038" w:rsidRPr="00F90EB7" w:rsidRDefault="00AF4038" w:rsidP="00D419A1">
            <w:pPr>
              <w:shd w:val="clear" w:color="auto" w:fill="FFFFFF"/>
              <w:jc w:val="both"/>
              <w:rPr>
                <w:rFonts w:eastAsia="Times New Roman"/>
                <w:color w:val="000000"/>
              </w:rPr>
            </w:pPr>
            <w:r>
              <w:rPr>
                <w:rFonts w:eastAsia="Times New Roman"/>
                <w:color w:val="000000"/>
              </w:rPr>
              <w:t>«</w:t>
            </w:r>
            <w:r w:rsidRPr="00084F83">
              <w:rPr>
                <w:rFonts w:eastAsia="Times New Roman"/>
                <w:color w:val="000000"/>
              </w:rPr>
              <w:t>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r>
              <w:rPr>
                <w:rFonts w:eastAsia="Times New Roman"/>
                <w:color w:val="000000"/>
              </w:rPr>
              <w:t>»</w:t>
            </w:r>
          </w:p>
        </w:tc>
      </w:tr>
      <w:tr w:rsidR="00AF4038" w:rsidRPr="00BD7C14" w:rsidTr="00D419A1">
        <w:trPr>
          <w:trHeight w:val="1087"/>
        </w:trPr>
        <w:tc>
          <w:tcPr>
            <w:tcW w:w="0" w:type="auto"/>
            <w:vMerge/>
            <w:tcBorders>
              <w:top w:val="single" w:sz="4" w:space="0" w:color="auto"/>
            </w:tcBorders>
            <w:tcMar>
              <w:top w:w="0" w:type="dxa"/>
              <w:left w:w="105" w:type="dxa"/>
              <w:bottom w:w="0" w:type="dxa"/>
              <w:right w:w="105" w:type="dxa"/>
            </w:tcMar>
            <w:vAlign w:val="center"/>
          </w:tcPr>
          <w:p w:rsidR="00AF4038" w:rsidRPr="00BD7C14" w:rsidRDefault="00AF4038" w:rsidP="00D419A1">
            <w:pPr>
              <w:pStyle w:val="a4"/>
              <w:jc w:val="center"/>
              <w:rPr>
                <w:color w:val="000000"/>
              </w:rPr>
            </w:pPr>
          </w:p>
        </w:tc>
        <w:tc>
          <w:tcPr>
            <w:tcW w:w="3109" w:type="dxa"/>
            <w:vMerge/>
            <w:tcBorders>
              <w:top w:val="single" w:sz="4" w:space="0" w:color="auto"/>
            </w:tcBorders>
            <w:vAlign w:val="center"/>
          </w:tcPr>
          <w:p w:rsidR="00AF4038" w:rsidRDefault="00AF4038" w:rsidP="00D419A1">
            <w:pPr>
              <w:pStyle w:val="a4"/>
              <w:jc w:val="center"/>
              <w:rPr>
                <w:color w:val="000000"/>
              </w:rPr>
            </w:pPr>
          </w:p>
        </w:tc>
        <w:tc>
          <w:tcPr>
            <w:tcW w:w="5670" w:type="dxa"/>
            <w:tcBorders>
              <w:top w:val="single" w:sz="4" w:space="0" w:color="auto"/>
            </w:tcBorders>
            <w:tcMar>
              <w:top w:w="0" w:type="dxa"/>
              <w:left w:w="105" w:type="dxa"/>
              <w:bottom w:w="0" w:type="dxa"/>
              <w:right w:w="105" w:type="dxa"/>
            </w:tcMar>
            <w:vAlign w:val="center"/>
          </w:tcPr>
          <w:p w:rsidR="00AF4038" w:rsidRPr="007D3546" w:rsidRDefault="00AF4038" w:rsidP="00D419A1">
            <w:pPr>
              <w:pStyle w:val="a4"/>
              <w:spacing w:before="0" w:beforeAutospacing="0" w:after="0" w:afterAutospacing="0"/>
              <w:jc w:val="both"/>
              <w:rPr>
                <w:color w:val="000000"/>
              </w:rPr>
            </w:pPr>
            <w:r>
              <w:rPr>
                <w:color w:val="000000"/>
              </w:rPr>
              <w:t>В отч</w:t>
            </w:r>
            <w:r w:rsidR="005C73C2">
              <w:rPr>
                <w:color w:val="000000"/>
              </w:rPr>
              <w:t xml:space="preserve">етах, объекты оценки,  которых </w:t>
            </w:r>
            <w:r>
              <w:rPr>
                <w:color w:val="000000"/>
              </w:rPr>
              <w:t xml:space="preserve">включают в себя офисы, </w:t>
            </w:r>
            <w:r w:rsidRPr="007D3546">
              <w:rPr>
                <w:color w:val="000000"/>
              </w:rPr>
              <w:t>торговые помещения</w:t>
            </w:r>
            <w:r>
              <w:rPr>
                <w:color w:val="000000"/>
              </w:rPr>
              <w:t xml:space="preserve"> и т.д., </w:t>
            </w:r>
            <w:r w:rsidRPr="007D3546">
              <w:rPr>
                <w:color w:val="000000"/>
              </w:rPr>
              <w:t>не приводятся</w:t>
            </w:r>
            <w:r>
              <w:rPr>
                <w:color w:val="000000"/>
              </w:rPr>
              <w:t xml:space="preserve"> значения их</w:t>
            </w:r>
            <w:r w:rsidRPr="007D3546">
              <w:rPr>
                <w:color w:val="000000"/>
              </w:rPr>
              <w:t xml:space="preserve"> площадей.</w:t>
            </w:r>
          </w:p>
        </w:tc>
        <w:tc>
          <w:tcPr>
            <w:tcW w:w="6294" w:type="dxa"/>
            <w:tcBorders>
              <w:top w:val="single" w:sz="4" w:space="0" w:color="auto"/>
            </w:tcBorders>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r w:rsidRPr="000C7C1C">
              <w:rPr>
                <w:b/>
                <w:color w:val="000000"/>
              </w:rPr>
              <w:t>ст. 11 ФЗ № 135</w:t>
            </w:r>
            <w:r>
              <w:rPr>
                <w:color w:val="000000"/>
              </w:rPr>
              <w:t>:</w:t>
            </w:r>
            <w:r w:rsidRPr="00BD7C14">
              <w:rPr>
                <w:color w:val="000000"/>
              </w:rPr>
              <w:t> </w:t>
            </w:r>
          </w:p>
          <w:p w:rsidR="00AF4038" w:rsidRPr="00BD7C14" w:rsidRDefault="00AF4038" w:rsidP="00D419A1">
            <w:pPr>
              <w:pStyle w:val="a4"/>
              <w:spacing w:before="0" w:beforeAutospacing="0" w:after="0" w:afterAutospacing="0"/>
              <w:jc w:val="both"/>
              <w:rPr>
                <w:color w:val="000000"/>
              </w:rPr>
            </w:pPr>
            <w:r>
              <w:rPr>
                <w:color w:val="000000"/>
              </w:rPr>
              <w:t>«т</w:t>
            </w:r>
            <w:r w:rsidRPr="00BD7C14">
              <w:rPr>
                <w:color w:val="000000"/>
              </w:rPr>
              <w:t xml:space="preserve">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w:t>
            </w:r>
            <w:r>
              <w:rPr>
                <w:color w:val="000000"/>
              </w:rPr>
              <w:t>оценки;»</w:t>
            </w:r>
          </w:p>
        </w:tc>
      </w:tr>
      <w:tr w:rsidR="00AF4038" w:rsidRPr="00BD7C14" w:rsidTr="00D419A1">
        <w:trPr>
          <w:trHeight w:val="900"/>
        </w:trPr>
        <w:tc>
          <w:tcPr>
            <w:tcW w:w="0" w:type="auto"/>
            <w:tcMar>
              <w:top w:w="0" w:type="dxa"/>
              <w:left w:w="105" w:type="dxa"/>
              <w:bottom w:w="0" w:type="dxa"/>
              <w:right w:w="105" w:type="dxa"/>
            </w:tcMar>
            <w:vAlign w:val="center"/>
            <w:hideMark/>
          </w:tcPr>
          <w:p w:rsidR="00AF4038" w:rsidRPr="00BD7C14" w:rsidRDefault="00AF4038" w:rsidP="00D419A1">
            <w:pPr>
              <w:pStyle w:val="a4"/>
              <w:jc w:val="center"/>
            </w:pPr>
            <w:r w:rsidRPr="00BD7C14">
              <w:rPr>
                <w:color w:val="000000"/>
              </w:rPr>
              <w:t>3</w:t>
            </w:r>
          </w:p>
        </w:tc>
        <w:tc>
          <w:tcPr>
            <w:tcW w:w="3109" w:type="dxa"/>
            <w:vAlign w:val="center"/>
          </w:tcPr>
          <w:p w:rsidR="00AF4038" w:rsidRPr="00BD7C14" w:rsidRDefault="00AF4038" w:rsidP="00D419A1">
            <w:pPr>
              <w:pStyle w:val="a4"/>
              <w:jc w:val="center"/>
              <w:rPr>
                <w:color w:val="000000"/>
              </w:rPr>
            </w:pPr>
            <w:r>
              <w:rPr>
                <w:color w:val="000000"/>
              </w:rPr>
              <w:t xml:space="preserve">Анализ рынка </w:t>
            </w:r>
          </w:p>
        </w:tc>
        <w:tc>
          <w:tcPr>
            <w:tcW w:w="5670"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p>
          <w:p w:rsidR="00AF4038" w:rsidRPr="00BD7C14" w:rsidRDefault="00AF4038" w:rsidP="00D419A1">
            <w:pPr>
              <w:pStyle w:val="a4"/>
              <w:spacing w:before="0" w:beforeAutospacing="0" w:after="0" w:afterAutospacing="0"/>
              <w:jc w:val="both"/>
              <w:rPr>
                <w:color w:val="000000"/>
              </w:rPr>
            </w:pPr>
            <w:r w:rsidRPr="00BD7C14">
              <w:rPr>
                <w:color w:val="000000"/>
              </w:rPr>
              <w:t>Отсутствует анализ рынка</w:t>
            </w:r>
            <w:r>
              <w:rPr>
                <w:color w:val="000000"/>
              </w:rPr>
              <w:t>,</w:t>
            </w:r>
            <w:r w:rsidRPr="00BD7C14">
              <w:rPr>
                <w:color w:val="000000"/>
              </w:rPr>
              <w:t xml:space="preserve"> к которому от</w:t>
            </w:r>
            <w:r>
              <w:rPr>
                <w:color w:val="000000"/>
              </w:rPr>
              <w:t>носится объект оценки. В</w:t>
            </w:r>
            <w:r w:rsidRPr="00BD7C14">
              <w:rPr>
                <w:color w:val="000000"/>
              </w:rPr>
              <w:t xml:space="preserve"> </w:t>
            </w:r>
            <w:r>
              <w:rPr>
                <w:color w:val="000000"/>
              </w:rPr>
              <w:t>данном разделе собрана</w:t>
            </w:r>
            <w:r w:rsidRPr="00BD7C14">
              <w:rPr>
                <w:color w:val="000000"/>
              </w:rPr>
              <w:t xml:space="preserve"> различн</w:t>
            </w:r>
            <w:r>
              <w:rPr>
                <w:color w:val="000000"/>
              </w:rPr>
              <w:t>ая</w:t>
            </w:r>
            <w:r w:rsidRPr="00BD7C14">
              <w:rPr>
                <w:color w:val="000000"/>
              </w:rPr>
              <w:t xml:space="preserve"> информаци</w:t>
            </w:r>
            <w:r>
              <w:rPr>
                <w:color w:val="000000"/>
              </w:rPr>
              <w:t>я</w:t>
            </w:r>
            <w:r w:rsidRPr="00BD7C14">
              <w:rPr>
                <w:color w:val="000000"/>
              </w:rPr>
              <w:t>, которую мо</w:t>
            </w:r>
            <w:r>
              <w:rPr>
                <w:color w:val="000000"/>
              </w:rPr>
              <w:t>жно</w:t>
            </w:r>
            <w:r w:rsidRPr="00BD7C14">
              <w:rPr>
                <w:color w:val="000000"/>
              </w:rPr>
              <w:t xml:space="preserve"> найти в интернете, </w:t>
            </w:r>
            <w:r>
              <w:rPr>
                <w:color w:val="000000"/>
              </w:rPr>
              <w:t>и которая</w:t>
            </w:r>
            <w:r w:rsidRPr="00BD7C14">
              <w:rPr>
                <w:color w:val="000000"/>
              </w:rPr>
              <w:t xml:space="preserve"> не име</w:t>
            </w:r>
            <w:r>
              <w:rPr>
                <w:color w:val="000000"/>
              </w:rPr>
              <w:t>ет</w:t>
            </w:r>
            <w:r w:rsidRPr="00BD7C14">
              <w:rPr>
                <w:color w:val="000000"/>
              </w:rPr>
              <w:t xml:space="preserve"> отношение к анализу рынка.</w:t>
            </w:r>
          </w:p>
        </w:tc>
        <w:tc>
          <w:tcPr>
            <w:tcW w:w="6294" w:type="dxa"/>
            <w:tcMar>
              <w:top w:w="0" w:type="dxa"/>
              <w:left w:w="105" w:type="dxa"/>
              <w:bottom w:w="0" w:type="dxa"/>
              <w:right w:w="105" w:type="dxa"/>
            </w:tcMar>
            <w:vAlign w:val="center"/>
          </w:tcPr>
          <w:p w:rsidR="00AF4038" w:rsidRPr="000C7C1C" w:rsidRDefault="00AF4038" w:rsidP="00D419A1">
            <w:pPr>
              <w:pStyle w:val="a4"/>
              <w:spacing w:before="0" w:beforeAutospacing="0" w:after="0" w:afterAutospacing="0"/>
              <w:jc w:val="both"/>
              <w:rPr>
                <w:b/>
                <w:color w:val="000000"/>
              </w:rPr>
            </w:pPr>
            <w:r w:rsidRPr="000C7C1C">
              <w:rPr>
                <w:b/>
                <w:color w:val="000000"/>
              </w:rPr>
              <w:t>п. 11а ФСО №7:</w:t>
            </w:r>
          </w:p>
          <w:p w:rsidR="00AF4038" w:rsidRPr="00084F83" w:rsidRDefault="00AF4038" w:rsidP="00D419A1">
            <w:pPr>
              <w:shd w:val="clear" w:color="auto" w:fill="FFFFFF"/>
              <w:jc w:val="both"/>
              <w:rPr>
                <w:rFonts w:eastAsia="Times New Roman"/>
                <w:color w:val="000000"/>
              </w:rPr>
            </w:pPr>
            <w:r>
              <w:rPr>
                <w:rFonts w:eastAsia="Times New Roman"/>
                <w:color w:val="000000"/>
              </w:rPr>
              <w:t>«</w:t>
            </w:r>
            <w:r w:rsidRPr="00084F83">
              <w:rPr>
                <w:rFonts w:eastAsia="Times New Roman"/>
                <w:color w:val="000000"/>
              </w:rPr>
              <w:t>Анализ рынка недвижимости выполняется в следующей последовательности:</w:t>
            </w:r>
          </w:p>
          <w:p w:rsidR="00AF4038" w:rsidRDefault="00AF4038" w:rsidP="00D419A1">
            <w:pPr>
              <w:shd w:val="clear" w:color="auto" w:fill="FFFFFF"/>
              <w:jc w:val="both"/>
              <w:rPr>
                <w:color w:val="000000"/>
              </w:rPr>
            </w:pPr>
            <w:r w:rsidRPr="00084F83">
              <w:rPr>
                <w:rFonts w:eastAsia="Times New Roman"/>
                <w:color w:val="000000"/>
              </w:rP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w:t>
            </w:r>
            <w:r>
              <w:rPr>
                <w:rFonts w:eastAsia="Times New Roman"/>
                <w:color w:val="000000"/>
              </w:rPr>
              <w:t>иод, предшествующий дате оценки;»</w:t>
            </w:r>
          </w:p>
        </w:tc>
      </w:tr>
      <w:tr w:rsidR="00AF4038" w:rsidRPr="00BD7C14" w:rsidTr="00D419A1">
        <w:trPr>
          <w:trHeight w:val="552"/>
        </w:trPr>
        <w:tc>
          <w:tcPr>
            <w:tcW w:w="0" w:type="auto"/>
            <w:tcMar>
              <w:top w:w="0" w:type="dxa"/>
              <w:left w:w="105" w:type="dxa"/>
              <w:bottom w:w="0" w:type="dxa"/>
              <w:right w:w="105" w:type="dxa"/>
            </w:tcMar>
            <w:vAlign w:val="center"/>
            <w:hideMark/>
          </w:tcPr>
          <w:p w:rsidR="00AF4038" w:rsidRPr="00BD7C14" w:rsidRDefault="00AF4038" w:rsidP="00D419A1">
            <w:pPr>
              <w:pStyle w:val="a4"/>
              <w:jc w:val="center"/>
            </w:pPr>
            <w:r w:rsidRPr="00BD7C14">
              <w:rPr>
                <w:color w:val="000000"/>
              </w:rPr>
              <w:t>4</w:t>
            </w:r>
          </w:p>
        </w:tc>
        <w:tc>
          <w:tcPr>
            <w:tcW w:w="3109" w:type="dxa"/>
            <w:vAlign w:val="center"/>
          </w:tcPr>
          <w:p w:rsidR="00AF4038" w:rsidRPr="00BD7C14" w:rsidRDefault="00AF4038" w:rsidP="00D419A1">
            <w:pPr>
              <w:pStyle w:val="a4"/>
              <w:jc w:val="center"/>
              <w:rPr>
                <w:color w:val="000000"/>
              </w:rPr>
            </w:pPr>
            <w:r>
              <w:rPr>
                <w:color w:val="000000"/>
              </w:rPr>
              <w:t>Применение корректирующих коэффициентов</w:t>
            </w:r>
          </w:p>
        </w:tc>
        <w:tc>
          <w:tcPr>
            <w:tcW w:w="5670" w:type="dxa"/>
            <w:tcMar>
              <w:top w:w="0" w:type="dxa"/>
              <w:left w:w="105" w:type="dxa"/>
              <w:bottom w:w="0" w:type="dxa"/>
              <w:right w:w="105" w:type="dxa"/>
            </w:tcMar>
            <w:vAlign w:val="center"/>
          </w:tcPr>
          <w:p w:rsidR="00AF4038" w:rsidRPr="00BD7C14" w:rsidRDefault="00AF4038" w:rsidP="00D419A1">
            <w:pPr>
              <w:pStyle w:val="a4"/>
              <w:jc w:val="both"/>
            </w:pPr>
            <w:r>
              <w:rPr>
                <w:color w:val="000000"/>
              </w:rPr>
              <w:t>В отчетах отсутствуют обоснования</w:t>
            </w:r>
            <w:r w:rsidRPr="00BD7C14">
              <w:rPr>
                <w:color w:val="000000"/>
              </w:rPr>
              <w:t xml:space="preserve"> присвоения весовых коэффициентов или их расчет при согласовании результатов, полученных различными подходами</w:t>
            </w:r>
            <w:r>
              <w:rPr>
                <w:color w:val="000000"/>
              </w:rPr>
              <w:t>.</w:t>
            </w: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r w:rsidRPr="00BD6BAB">
              <w:rPr>
                <w:b/>
                <w:color w:val="000000"/>
              </w:rPr>
              <w:t>п. 26, 27 ФСО №7</w:t>
            </w:r>
            <w:r>
              <w:rPr>
                <w:color w:val="000000"/>
              </w:rPr>
              <w:t>:</w:t>
            </w:r>
          </w:p>
          <w:p w:rsidR="00AF4038" w:rsidRPr="004735EA" w:rsidRDefault="00AF4038" w:rsidP="00D419A1">
            <w:pPr>
              <w:pStyle w:val="a4"/>
              <w:spacing w:before="0" w:beforeAutospacing="0" w:after="0" w:afterAutospacing="0"/>
              <w:jc w:val="both"/>
              <w:rPr>
                <w:color w:val="000000"/>
              </w:rPr>
            </w:pPr>
            <w:r>
              <w:rPr>
                <w:color w:val="000000"/>
              </w:rPr>
              <w:t>«</w:t>
            </w:r>
            <w:r w:rsidRPr="004735EA">
              <w:rPr>
                <w:color w:val="000000"/>
              </w:rPr>
              <w:t>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 1 и ФСО № 3.</w:t>
            </w:r>
            <w:r>
              <w:rPr>
                <w:color w:val="000000"/>
              </w:rPr>
              <w:t>»</w:t>
            </w:r>
          </w:p>
          <w:p w:rsidR="00AF4038" w:rsidRPr="00BD7C14" w:rsidRDefault="00AF4038" w:rsidP="00D419A1">
            <w:pPr>
              <w:shd w:val="clear" w:color="auto" w:fill="FFFFFF"/>
              <w:jc w:val="both"/>
            </w:pPr>
            <w:r>
              <w:rPr>
                <w:rFonts w:eastAsia="Times New Roman"/>
                <w:color w:val="000000"/>
              </w:rPr>
              <w:t>«</w:t>
            </w:r>
            <w:r w:rsidRPr="00BD6BAB">
              <w:rPr>
                <w:rFonts w:eastAsia="Times New Roman"/>
                <w:color w:val="000000"/>
              </w:rPr>
              <w:t>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r>
              <w:rPr>
                <w:rFonts w:eastAsia="Times New Roman"/>
                <w:color w:val="000000"/>
              </w:rPr>
              <w:t>»</w:t>
            </w:r>
          </w:p>
        </w:tc>
      </w:tr>
      <w:tr w:rsidR="00AF4038" w:rsidRPr="00BD7C14" w:rsidTr="00D419A1">
        <w:trPr>
          <w:trHeight w:val="1200"/>
        </w:trPr>
        <w:tc>
          <w:tcPr>
            <w:tcW w:w="0" w:type="auto"/>
            <w:vMerge w:val="restart"/>
            <w:tcMar>
              <w:top w:w="0" w:type="dxa"/>
              <w:left w:w="105" w:type="dxa"/>
              <w:bottom w:w="0" w:type="dxa"/>
              <w:right w:w="105" w:type="dxa"/>
            </w:tcMar>
            <w:vAlign w:val="center"/>
            <w:hideMark/>
          </w:tcPr>
          <w:p w:rsidR="00AF4038" w:rsidRPr="00BD7C14" w:rsidRDefault="00AF4038" w:rsidP="00D419A1">
            <w:pPr>
              <w:pStyle w:val="a4"/>
              <w:jc w:val="center"/>
            </w:pPr>
            <w:r w:rsidRPr="00BD7C14">
              <w:rPr>
                <w:color w:val="000000"/>
              </w:rPr>
              <w:t>5</w:t>
            </w:r>
          </w:p>
        </w:tc>
        <w:tc>
          <w:tcPr>
            <w:tcW w:w="3109" w:type="dxa"/>
            <w:vMerge w:val="restart"/>
            <w:vAlign w:val="center"/>
          </w:tcPr>
          <w:p w:rsidR="00AF4038" w:rsidRDefault="00AF4038" w:rsidP="00D419A1">
            <w:pPr>
              <w:pStyle w:val="a4"/>
              <w:spacing w:before="0" w:beforeAutospacing="0" w:after="0" w:afterAutospacing="0"/>
              <w:jc w:val="center"/>
            </w:pPr>
            <w:r w:rsidRPr="009758B0">
              <w:t xml:space="preserve">Информация, приведенная в отчете об оценке, существенным образом влияющая на стоимость объекта оценки </w:t>
            </w:r>
          </w:p>
          <w:p w:rsidR="00AF4038" w:rsidRPr="00BD7C14" w:rsidRDefault="00AF4038" w:rsidP="00D419A1">
            <w:pPr>
              <w:pStyle w:val="a4"/>
              <w:spacing w:before="0" w:beforeAutospacing="0" w:after="0" w:afterAutospacing="0"/>
              <w:jc w:val="center"/>
              <w:rPr>
                <w:color w:val="000000"/>
              </w:rPr>
            </w:pPr>
            <w:r w:rsidRPr="009758B0">
              <w:t>(принцип обоснованности)</w:t>
            </w:r>
          </w:p>
        </w:tc>
        <w:tc>
          <w:tcPr>
            <w:tcW w:w="5670"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r w:rsidRPr="005B1CD3">
              <w:rPr>
                <w:color w:val="000000"/>
              </w:rPr>
              <w:t>Некорректно вводятся поправки при определении стоимости</w:t>
            </w:r>
            <w:r>
              <w:rPr>
                <w:color w:val="000000"/>
              </w:rPr>
              <w:t xml:space="preserve"> объекта оценки (корректировки </w:t>
            </w:r>
            <w:r>
              <w:rPr>
                <w:color w:val="000000"/>
              </w:rPr>
              <w:br/>
              <w:t>«</w:t>
            </w:r>
            <w:r w:rsidRPr="005B1CD3">
              <w:rPr>
                <w:color w:val="000000"/>
              </w:rPr>
              <w:t>на к</w:t>
            </w:r>
            <w:r>
              <w:rPr>
                <w:color w:val="000000"/>
              </w:rPr>
              <w:t>расную линию», «местоположение»), н</w:t>
            </w:r>
            <w:r w:rsidRPr="005B1CD3">
              <w:rPr>
                <w:color w:val="000000"/>
              </w:rPr>
              <w:t>е определив сегмент рынка</w:t>
            </w:r>
            <w:r>
              <w:rPr>
                <w:color w:val="000000"/>
              </w:rPr>
              <w:t>, к которому относится</w:t>
            </w:r>
            <w:r w:rsidRPr="005B1CD3">
              <w:rPr>
                <w:color w:val="000000"/>
              </w:rPr>
              <w:t xml:space="preserve"> объект</w:t>
            </w:r>
            <w:r>
              <w:rPr>
                <w:color w:val="000000"/>
              </w:rPr>
              <w:t xml:space="preserve"> оценки, используются мало схожие о</w:t>
            </w:r>
            <w:r w:rsidRPr="005B1CD3">
              <w:rPr>
                <w:color w:val="000000"/>
              </w:rPr>
              <w:t>бъекты-</w:t>
            </w:r>
            <w:r>
              <w:rPr>
                <w:color w:val="000000"/>
              </w:rPr>
              <w:t>а</w:t>
            </w:r>
            <w:r w:rsidRPr="005B1CD3">
              <w:rPr>
                <w:color w:val="000000"/>
              </w:rPr>
              <w:t>налоги</w:t>
            </w:r>
            <w:r>
              <w:rPr>
                <w:color w:val="000000"/>
              </w:rPr>
              <w:t xml:space="preserve"> (н</w:t>
            </w:r>
            <w:r w:rsidRPr="005B1CD3">
              <w:rPr>
                <w:color w:val="000000"/>
              </w:rPr>
              <w:t xml:space="preserve">апример, рассматривая объект в городе </w:t>
            </w:r>
            <w:r>
              <w:rPr>
                <w:color w:val="000000"/>
              </w:rPr>
              <w:br/>
            </w:r>
            <w:r w:rsidRPr="005B1CD3">
              <w:rPr>
                <w:color w:val="000000"/>
              </w:rPr>
              <w:t>с населением 40-60 тыс. чел., применяется</w:t>
            </w:r>
            <w:r>
              <w:rPr>
                <w:color w:val="000000"/>
              </w:rPr>
              <w:t xml:space="preserve"> ссылка на невозможность найти объекты-а</w:t>
            </w:r>
            <w:r w:rsidRPr="005B1CD3">
              <w:rPr>
                <w:color w:val="000000"/>
              </w:rPr>
              <w:t xml:space="preserve">налоги в таком городе, </w:t>
            </w:r>
            <w:r>
              <w:rPr>
                <w:color w:val="000000"/>
              </w:rPr>
              <w:t xml:space="preserve">в результате чего </w:t>
            </w:r>
            <w:r w:rsidRPr="005B1CD3">
              <w:rPr>
                <w:color w:val="000000"/>
              </w:rPr>
              <w:t xml:space="preserve">используются </w:t>
            </w:r>
            <w:r>
              <w:rPr>
                <w:color w:val="000000"/>
              </w:rPr>
              <w:t>а</w:t>
            </w:r>
            <w:r w:rsidRPr="005B1CD3">
              <w:rPr>
                <w:color w:val="000000"/>
              </w:rPr>
              <w:t xml:space="preserve">налоги из </w:t>
            </w:r>
            <w:r w:rsidRPr="005B1CD3">
              <w:rPr>
                <w:color w:val="000000"/>
              </w:rPr>
              <w:lastRenderedPageBreak/>
              <w:t xml:space="preserve">городов с населением 200-300 тыс. чел., и на основании сборников </w:t>
            </w:r>
            <w:proofErr w:type="spellStart"/>
            <w:r w:rsidRPr="005B1CD3">
              <w:rPr>
                <w:color w:val="000000"/>
              </w:rPr>
              <w:t>Лейфера</w:t>
            </w:r>
            <w:proofErr w:type="spellEnd"/>
            <w:r w:rsidRPr="005B1CD3">
              <w:rPr>
                <w:color w:val="000000"/>
              </w:rPr>
              <w:t xml:space="preserve"> занижается их стоимость</w:t>
            </w:r>
            <w:r>
              <w:rPr>
                <w:color w:val="000000"/>
              </w:rPr>
              <w:t>)</w:t>
            </w:r>
            <w:r w:rsidRPr="005B1CD3">
              <w:rPr>
                <w:color w:val="000000"/>
              </w:rPr>
              <w:t>.</w:t>
            </w:r>
          </w:p>
          <w:p w:rsidR="00AF4038" w:rsidRPr="00717E63" w:rsidRDefault="00AF4038" w:rsidP="00D419A1">
            <w:pPr>
              <w:pStyle w:val="a4"/>
              <w:spacing w:before="0" w:beforeAutospacing="0" w:after="0" w:afterAutospacing="0"/>
              <w:jc w:val="both"/>
            </w:pP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b/>
                <w:color w:val="000000"/>
              </w:rPr>
            </w:pPr>
            <w:r w:rsidRPr="004735EA">
              <w:rPr>
                <w:b/>
                <w:color w:val="000000"/>
              </w:rPr>
              <w:lastRenderedPageBreak/>
              <w:t xml:space="preserve">п. 22 ФСО №7: </w:t>
            </w:r>
          </w:p>
          <w:p w:rsidR="00AF4038" w:rsidRPr="004735EA" w:rsidRDefault="00AF4038" w:rsidP="00D419A1">
            <w:pPr>
              <w:shd w:val="clear" w:color="auto" w:fill="FFFFFF"/>
              <w:jc w:val="both"/>
              <w:rPr>
                <w:rFonts w:eastAsia="Times New Roman"/>
                <w:color w:val="000000"/>
              </w:rPr>
            </w:pPr>
            <w:r>
              <w:rPr>
                <w:rFonts w:eastAsia="Times New Roman"/>
                <w:color w:val="000000"/>
              </w:rPr>
              <w:t>«П</w:t>
            </w:r>
            <w:r w:rsidRPr="004735EA">
              <w:rPr>
                <w:rFonts w:eastAsia="Times New Roman"/>
                <w:color w:val="000000"/>
              </w:rPr>
              <w:t>ри применении сравнительного подхода к оценке недвижимости оценщик учитывает следующие положения:</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 xml:space="preserve">б) в качестве объектов-аналогов используются объекты </w:t>
            </w:r>
            <w:r w:rsidRPr="004735EA">
              <w:rPr>
                <w:rFonts w:eastAsia="Times New Roman"/>
                <w:color w:val="000000"/>
              </w:rPr>
              <w:lastRenderedPageBreak/>
              <w:t xml:space="preserve">недвижимости, которые относятся к одному с оцениваемым объектом сегменту рынка и сопоставимы </w:t>
            </w:r>
            <w:r>
              <w:rPr>
                <w:rFonts w:eastAsia="Times New Roman"/>
                <w:color w:val="000000"/>
              </w:rPr>
              <w:br/>
            </w:r>
            <w:r w:rsidRPr="004735EA">
              <w:rPr>
                <w:rFonts w:eastAsia="Times New Roman"/>
                <w:color w:val="000000"/>
              </w:rPr>
              <w:t>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p w:rsidR="00AF4038" w:rsidRDefault="00AF4038" w:rsidP="00D419A1">
            <w:pPr>
              <w:shd w:val="clear" w:color="auto" w:fill="FFFFFF"/>
              <w:jc w:val="both"/>
              <w:rPr>
                <w:rFonts w:eastAsia="Times New Roman"/>
                <w:color w:val="000000"/>
              </w:rPr>
            </w:pPr>
            <w:r w:rsidRPr="004735EA">
              <w:rPr>
                <w:rFonts w:eastAsia="Times New Roman"/>
                <w:color w:val="000000"/>
              </w:rP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r>
              <w:rPr>
                <w:rFonts w:eastAsia="Times New Roman"/>
                <w:color w:val="000000"/>
              </w:rPr>
              <w:t>;</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При применении метода корректировок каждый объект-</w:t>
            </w:r>
            <w:r w:rsidRPr="004735EA">
              <w:rPr>
                <w:rFonts w:eastAsia="Times New Roman"/>
                <w:color w:val="000000"/>
              </w:rPr>
              <w:lastRenderedPageBreak/>
              <w:t>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передаваемые имущественные права, ограничения (обременения) этих прав;</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условия финансирования состоявшейся или предполагаемой сделки (вид оплаты, условия кредитования, иные условия);</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условия продажи (нетипичные для рынка условия, сделка между аффилированными лицами, иные условия);</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условия рынка (изменения цен за период между датами сделки и оценки, скидки к ценам предложений, иные условия);</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вид использования и (или) зонирование;</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местоположение объекта;</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 xml:space="preserve">физические характеристики объекта, в том числе свойства земельного участка, состояние объектов </w:t>
            </w:r>
            <w:r w:rsidRPr="004735EA">
              <w:rPr>
                <w:rFonts w:eastAsia="Times New Roman"/>
                <w:color w:val="000000"/>
              </w:rPr>
              <w:lastRenderedPageBreak/>
              <w:t>капитального строительства, соотношение площади земельного участка и площади его застройки, иные характеристики;</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экономические характеристики (уровень операционных расходов, условия аренды, состав арендаторов, иные характеристики);</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наличие движимого имущества, не связанного с недвижимостью;</w:t>
            </w:r>
          </w:p>
          <w:p w:rsidR="00AF4038" w:rsidRPr="004735EA" w:rsidRDefault="00AF4038" w:rsidP="00AF4038">
            <w:pPr>
              <w:pStyle w:val="a5"/>
              <w:numPr>
                <w:ilvl w:val="0"/>
                <w:numId w:val="2"/>
              </w:numPr>
              <w:shd w:val="clear" w:color="auto" w:fill="FFFFFF"/>
              <w:jc w:val="both"/>
              <w:rPr>
                <w:rFonts w:eastAsia="Times New Roman"/>
                <w:color w:val="000000"/>
              </w:rPr>
            </w:pPr>
            <w:r w:rsidRPr="004735EA">
              <w:rPr>
                <w:rFonts w:eastAsia="Times New Roman"/>
                <w:color w:val="000000"/>
              </w:rPr>
              <w:t>другие характеристики (элементы), влияющие на стоимость;</w:t>
            </w:r>
          </w:p>
          <w:p w:rsidR="00AF4038" w:rsidRPr="004735EA" w:rsidRDefault="00AF4038" w:rsidP="00D419A1">
            <w:pPr>
              <w:shd w:val="clear" w:color="auto" w:fill="FFFFFF"/>
              <w:jc w:val="both"/>
            </w:pPr>
            <w:r w:rsidRPr="004735EA">
              <w:rPr>
                <w:rFonts w:eastAsia="Times New Roman"/>
                <w:color w:val="000000"/>
              </w:rPr>
              <w:t>ж) помимо стоимости, сравнительный подход может использоваться для определения других расчетных показателей, например арендных ставок, износа и устареваний, ставок капитализации и дисконтирования.</w:t>
            </w:r>
            <w:r>
              <w:rPr>
                <w:rFonts w:eastAsia="Times New Roman"/>
                <w:color w:val="000000"/>
              </w:rPr>
              <w:t>»</w:t>
            </w:r>
          </w:p>
        </w:tc>
      </w:tr>
      <w:tr w:rsidR="00AF4038" w:rsidRPr="00BD7C14" w:rsidTr="00D419A1">
        <w:trPr>
          <w:trHeight w:val="1931"/>
        </w:trPr>
        <w:tc>
          <w:tcPr>
            <w:tcW w:w="0" w:type="auto"/>
            <w:vMerge/>
            <w:tcMar>
              <w:top w:w="0" w:type="dxa"/>
              <w:left w:w="105" w:type="dxa"/>
              <w:bottom w:w="0" w:type="dxa"/>
              <w:right w:w="105" w:type="dxa"/>
            </w:tcMar>
            <w:vAlign w:val="center"/>
            <w:hideMark/>
          </w:tcPr>
          <w:p w:rsidR="00AF4038" w:rsidRPr="00BD7C14" w:rsidRDefault="00AF4038" w:rsidP="00D419A1">
            <w:pPr>
              <w:pStyle w:val="a4"/>
              <w:jc w:val="center"/>
            </w:pPr>
          </w:p>
        </w:tc>
        <w:tc>
          <w:tcPr>
            <w:tcW w:w="3109" w:type="dxa"/>
            <w:vMerge/>
            <w:vAlign w:val="center"/>
          </w:tcPr>
          <w:p w:rsidR="00AF4038" w:rsidRPr="00BD7C14" w:rsidRDefault="00AF4038" w:rsidP="00D419A1">
            <w:pPr>
              <w:pStyle w:val="a4"/>
              <w:jc w:val="center"/>
              <w:rPr>
                <w:color w:val="000000"/>
              </w:rPr>
            </w:pPr>
          </w:p>
        </w:tc>
        <w:tc>
          <w:tcPr>
            <w:tcW w:w="5670" w:type="dxa"/>
            <w:tcMar>
              <w:top w:w="0" w:type="dxa"/>
              <w:left w:w="105" w:type="dxa"/>
              <w:bottom w:w="0" w:type="dxa"/>
              <w:right w:w="105" w:type="dxa"/>
            </w:tcMar>
            <w:vAlign w:val="center"/>
            <w:hideMark/>
          </w:tcPr>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Default="00AF4038" w:rsidP="00D419A1">
            <w:pPr>
              <w:pStyle w:val="a4"/>
              <w:jc w:val="both"/>
              <w:rPr>
                <w:color w:val="000000"/>
              </w:rPr>
            </w:pPr>
          </w:p>
          <w:p w:rsidR="00AF4038" w:rsidRPr="005B1CD3" w:rsidRDefault="00AF4038" w:rsidP="00D419A1">
            <w:pPr>
              <w:pStyle w:val="a4"/>
              <w:jc w:val="both"/>
            </w:pPr>
            <w:r>
              <w:rPr>
                <w:color w:val="000000"/>
              </w:rPr>
              <w:t>Управляя выбором а</w:t>
            </w:r>
            <w:r w:rsidRPr="005B1CD3">
              <w:rPr>
                <w:color w:val="000000"/>
              </w:rPr>
              <w:t>налогов при расчете стоимости воспроизводства, а также процентом совокупного износа объекта оценки, физический износ определяется экспертным путем без обоснования. Отсутствуют разъяснения при определении функционального и внешнего износов.</w:t>
            </w:r>
          </w:p>
        </w:tc>
        <w:tc>
          <w:tcPr>
            <w:tcW w:w="6294" w:type="dxa"/>
            <w:tcMar>
              <w:top w:w="0" w:type="dxa"/>
              <w:left w:w="105" w:type="dxa"/>
              <w:bottom w:w="0" w:type="dxa"/>
              <w:right w:w="105" w:type="dxa"/>
            </w:tcMar>
            <w:vAlign w:val="center"/>
            <w:hideMark/>
          </w:tcPr>
          <w:p w:rsidR="00AF4038" w:rsidRPr="004735EA" w:rsidRDefault="00AF4038" w:rsidP="00D419A1">
            <w:pPr>
              <w:pStyle w:val="a4"/>
              <w:shd w:val="clear" w:color="auto" w:fill="FFFFFF"/>
              <w:spacing w:before="0" w:beforeAutospacing="0" w:after="0" w:afterAutospacing="0"/>
              <w:jc w:val="both"/>
              <w:rPr>
                <w:b/>
                <w:color w:val="000000"/>
              </w:rPr>
            </w:pPr>
            <w:r w:rsidRPr="004735EA">
              <w:rPr>
                <w:b/>
                <w:color w:val="000000"/>
              </w:rPr>
              <w:lastRenderedPageBreak/>
              <w:t xml:space="preserve">п. 24 ФСО №7: </w:t>
            </w:r>
          </w:p>
          <w:p w:rsidR="00AF4038" w:rsidRPr="004735EA" w:rsidRDefault="00AF4038" w:rsidP="00D419A1">
            <w:pPr>
              <w:pStyle w:val="a4"/>
              <w:shd w:val="clear" w:color="auto" w:fill="FFFFFF"/>
              <w:spacing w:before="0" w:beforeAutospacing="0" w:after="0" w:afterAutospacing="0"/>
              <w:jc w:val="both"/>
              <w:rPr>
                <w:rFonts w:eastAsia="Times New Roman"/>
                <w:color w:val="000000"/>
              </w:rPr>
            </w:pPr>
            <w:r>
              <w:rPr>
                <w:rFonts w:eastAsia="Times New Roman"/>
                <w:color w:val="000000"/>
              </w:rPr>
              <w:t>«</w:t>
            </w:r>
            <w:r w:rsidRPr="004735EA">
              <w:rPr>
                <w:rFonts w:eastAsia="Times New Roman"/>
                <w:color w:val="000000"/>
              </w:rPr>
              <w:t>При применении затратного подхода оценщик учитывает следующие положения:</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w:t>
            </w:r>
            <w:r w:rsidR="005C73C2">
              <w:rPr>
                <w:rFonts w:eastAsia="Times New Roman"/>
                <w:color w:val="000000"/>
              </w:rPr>
              <w:t>,</w:t>
            </w:r>
            <w:r w:rsidRPr="004735EA">
              <w:rPr>
                <w:rFonts w:eastAsia="Times New Roman"/>
                <w:color w:val="000000"/>
              </w:rPr>
              <w:t xml:space="preserve"> жилых и нежилых помещений;</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 xml:space="preserve">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w:t>
            </w:r>
            <w:r w:rsidRPr="004735EA">
              <w:rPr>
                <w:rFonts w:eastAsia="Times New Roman"/>
                <w:color w:val="000000"/>
              </w:rPr>
              <w:lastRenderedPageBreak/>
              <w:t>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определение стоимости прав на земельный участок как незастроенный;</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расчет затрат на создание (воспроизводство или замещение) объектов капитального строительства;</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определение прибыли предпринимателя;</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определение износа и устареваний;</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p w:rsidR="00AF4038" w:rsidRPr="00CC6ACA" w:rsidRDefault="00AF4038" w:rsidP="00AF4038">
            <w:pPr>
              <w:pStyle w:val="a5"/>
              <w:numPr>
                <w:ilvl w:val="0"/>
                <w:numId w:val="3"/>
              </w:numPr>
              <w:shd w:val="clear" w:color="auto" w:fill="FFFFFF"/>
              <w:jc w:val="both"/>
              <w:rPr>
                <w:rFonts w:eastAsia="Times New Roman"/>
                <w:color w:val="000000"/>
              </w:rPr>
            </w:pPr>
            <w:r w:rsidRPr="00CC6ACA">
              <w:rPr>
                <w:rFonts w:eastAsia="Times New Roman"/>
                <w:color w:val="000000"/>
              </w:rP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е) расчет затрат на создание объектов капитального строительства производится на основании:</w:t>
            </w:r>
          </w:p>
          <w:p w:rsidR="00AF4038" w:rsidRPr="00CC6ACA" w:rsidRDefault="00AF4038" w:rsidP="00AF4038">
            <w:pPr>
              <w:pStyle w:val="a5"/>
              <w:numPr>
                <w:ilvl w:val="0"/>
                <w:numId w:val="4"/>
              </w:numPr>
              <w:shd w:val="clear" w:color="auto" w:fill="FFFFFF"/>
              <w:jc w:val="both"/>
              <w:rPr>
                <w:rFonts w:eastAsia="Times New Roman"/>
                <w:color w:val="000000"/>
              </w:rPr>
            </w:pPr>
            <w:r w:rsidRPr="00CC6ACA">
              <w:rPr>
                <w:rFonts w:eastAsia="Times New Roman"/>
                <w:color w:val="000000"/>
              </w:rPr>
              <w:t>данных о строительных контрактах (договорах) на возведение аналогичных объектов;</w:t>
            </w:r>
          </w:p>
          <w:p w:rsidR="00AF4038" w:rsidRPr="00CC6ACA" w:rsidRDefault="00AF4038" w:rsidP="00AF4038">
            <w:pPr>
              <w:pStyle w:val="a5"/>
              <w:numPr>
                <w:ilvl w:val="0"/>
                <w:numId w:val="4"/>
              </w:numPr>
              <w:shd w:val="clear" w:color="auto" w:fill="FFFFFF"/>
              <w:jc w:val="both"/>
              <w:rPr>
                <w:rFonts w:eastAsia="Times New Roman"/>
                <w:color w:val="000000"/>
              </w:rPr>
            </w:pPr>
            <w:r w:rsidRPr="00CC6ACA">
              <w:rPr>
                <w:rFonts w:eastAsia="Times New Roman"/>
                <w:color w:val="000000"/>
              </w:rPr>
              <w:t>данных о затратах на строительство аналогичных объектов из специализированных справочников;</w:t>
            </w:r>
          </w:p>
          <w:p w:rsidR="00AF4038" w:rsidRPr="00CC6ACA" w:rsidRDefault="00AF4038" w:rsidP="00AF4038">
            <w:pPr>
              <w:pStyle w:val="a5"/>
              <w:numPr>
                <w:ilvl w:val="0"/>
                <w:numId w:val="4"/>
              </w:numPr>
              <w:shd w:val="clear" w:color="auto" w:fill="FFFFFF"/>
              <w:jc w:val="both"/>
              <w:rPr>
                <w:rFonts w:eastAsia="Times New Roman"/>
                <w:color w:val="000000"/>
              </w:rPr>
            </w:pPr>
            <w:r w:rsidRPr="00CC6ACA">
              <w:rPr>
                <w:rFonts w:eastAsia="Times New Roman"/>
                <w:color w:val="000000"/>
              </w:rPr>
              <w:lastRenderedPageBreak/>
              <w:t>сметных расчетов;</w:t>
            </w:r>
          </w:p>
          <w:p w:rsidR="00AF4038" w:rsidRPr="00CC6ACA" w:rsidRDefault="00AF4038" w:rsidP="00AF4038">
            <w:pPr>
              <w:pStyle w:val="a5"/>
              <w:numPr>
                <w:ilvl w:val="0"/>
                <w:numId w:val="4"/>
              </w:numPr>
              <w:shd w:val="clear" w:color="auto" w:fill="FFFFFF"/>
              <w:jc w:val="both"/>
              <w:rPr>
                <w:rFonts w:eastAsia="Times New Roman"/>
                <w:color w:val="000000"/>
              </w:rPr>
            </w:pPr>
            <w:r w:rsidRPr="00CC6ACA">
              <w:rPr>
                <w:rFonts w:eastAsia="Times New Roman"/>
                <w:color w:val="000000"/>
              </w:rPr>
              <w:t>информации о рыночных ценах на строительные материалы;</w:t>
            </w:r>
          </w:p>
          <w:p w:rsidR="00AF4038" w:rsidRPr="00CC6ACA" w:rsidRDefault="00AF4038" w:rsidP="00AF4038">
            <w:pPr>
              <w:pStyle w:val="a5"/>
              <w:numPr>
                <w:ilvl w:val="0"/>
                <w:numId w:val="4"/>
              </w:numPr>
              <w:shd w:val="clear" w:color="auto" w:fill="FFFFFF"/>
              <w:jc w:val="both"/>
              <w:rPr>
                <w:rFonts w:eastAsia="Times New Roman"/>
                <w:color w:val="000000"/>
              </w:rPr>
            </w:pPr>
            <w:r w:rsidRPr="00CC6ACA">
              <w:rPr>
                <w:rFonts w:eastAsia="Times New Roman"/>
                <w:color w:val="000000"/>
              </w:rPr>
              <w:t>других данных;</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AF4038" w:rsidRPr="004735EA" w:rsidRDefault="00AF4038" w:rsidP="00D419A1">
            <w:pPr>
              <w:shd w:val="clear" w:color="auto" w:fill="FFFFFF"/>
              <w:jc w:val="both"/>
              <w:rPr>
                <w:rFonts w:eastAsia="Times New Roman"/>
                <w:color w:val="000000"/>
              </w:rPr>
            </w:pPr>
            <w:r w:rsidRPr="004735EA">
              <w:rPr>
                <w:rFonts w:eastAsia="Times New Roman"/>
                <w:color w:val="000000"/>
              </w:rP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AF4038" w:rsidRPr="00BD7C14" w:rsidRDefault="00AF4038" w:rsidP="00D419A1">
            <w:pPr>
              <w:shd w:val="clear" w:color="auto" w:fill="FFFFFF"/>
              <w:jc w:val="both"/>
            </w:pPr>
            <w:r w:rsidRPr="004735EA">
              <w:rPr>
                <w:rFonts w:eastAsia="Times New Roman"/>
                <w:color w:val="000000"/>
              </w:rPr>
              <w:t>и) величина износа и устареваний определяется как потеря стоимости недвижимости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оцениваемой недвижимости.</w:t>
            </w:r>
            <w:r>
              <w:rPr>
                <w:rFonts w:eastAsia="Times New Roman"/>
                <w:color w:val="000000"/>
              </w:rPr>
              <w:t>»</w:t>
            </w:r>
          </w:p>
        </w:tc>
      </w:tr>
      <w:tr w:rsidR="00AF4038" w:rsidRPr="00BD7C14" w:rsidTr="00D419A1">
        <w:trPr>
          <w:trHeight w:val="836"/>
        </w:trPr>
        <w:tc>
          <w:tcPr>
            <w:tcW w:w="0" w:type="auto"/>
            <w:vMerge/>
            <w:tcMar>
              <w:top w:w="0" w:type="dxa"/>
              <w:left w:w="105" w:type="dxa"/>
              <w:bottom w:w="0" w:type="dxa"/>
              <w:right w:w="105" w:type="dxa"/>
            </w:tcMar>
            <w:vAlign w:val="center"/>
          </w:tcPr>
          <w:p w:rsidR="00AF4038" w:rsidRPr="00BD7C14" w:rsidRDefault="00AF4038" w:rsidP="00D419A1">
            <w:pPr>
              <w:pStyle w:val="a4"/>
              <w:jc w:val="center"/>
            </w:pPr>
          </w:p>
        </w:tc>
        <w:tc>
          <w:tcPr>
            <w:tcW w:w="3109" w:type="dxa"/>
            <w:vMerge/>
            <w:vAlign w:val="center"/>
          </w:tcPr>
          <w:p w:rsidR="00AF4038" w:rsidRPr="00BD7C14" w:rsidRDefault="00AF4038" w:rsidP="00D419A1">
            <w:pPr>
              <w:pStyle w:val="a4"/>
              <w:jc w:val="center"/>
              <w:rPr>
                <w:color w:val="000000"/>
              </w:rPr>
            </w:pPr>
          </w:p>
        </w:tc>
        <w:tc>
          <w:tcPr>
            <w:tcW w:w="5670"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p>
          <w:p w:rsidR="00AF4038" w:rsidRDefault="00AF4038" w:rsidP="00D419A1">
            <w:pPr>
              <w:pStyle w:val="a4"/>
              <w:spacing w:before="0" w:beforeAutospacing="0" w:after="0" w:afterAutospacing="0"/>
              <w:jc w:val="both"/>
              <w:rPr>
                <w:color w:val="000000"/>
              </w:rPr>
            </w:pPr>
            <w:r>
              <w:rPr>
                <w:color w:val="000000"/>
              </w:rPr>
              <w:t>В отчетах п</w:t>
            </w:r>
            <w:r w:rsidRPr="005B1CD3">
              <w:rPr>
                <w:color w:val="000000"/>
              </w:rPr>
              <w:t xml:space="preserve">ри применении </w:t>
            </w:r>
            <w:r>
              <w:rPr>
                <w:color w:val="000000"/>
              </w:rPr>
              <w:t>«Д</w:t>
            </w:r>
            <w:r w:rsidRPr="005B1CD3">
              <w:rPr>
                <w:color w:val="000000"/>
              </w:rPr>
              <w:t>оходного подхода</w:t>
            </w:r>
            <w:r>
              <w:rPr>
                <w:color w:val="000000"/>
              </w:rPr>
              <w:t>»</w:t>
            </w:r>
            <w:r w:rsidRPr="005B1CD3">
              <w:rPr>
                <w:color w:val="000000"/>
              </w:rPr>
              <w:t xml:space="preserve"> </w:t>
            </w:r>
            <w:r>
              <w:rPr>
                <w:color w:val="000000"/>
              </w:rPr>
              <w:br/>
            </w:r>
            <w:r w:rsidRPr="005B1CD3">
              <w:rPr>
                <w:color w:val="000000"/>
              </w:rPr>
              <w:t xml:space="preserve">не </w:t>
            </w:r>
            <w:r>
              <w:rPr>
                <w:color w:val="000000"/>
              </w:rPr>
              <w:t>определена</w:t>
            </w:r>
            <w:r w:rsidRPr="005B1CD3">
              <w:rPr>
                <w:color w:val="000000"/>
              </w:rPr>
              <w:t xml:space="preserve"> арендопригодная площадь</w:t>
            </w:r>
            <w:r>
              <w:rPr>
                <w:color w:val="000000"/>
              </w:rPr>
              <w:t xml:space="preserve"> объекта оценки</w:t>
            </w:r>
            <w:r w:rsidRPr="005B1CD3">
              <w:rPr>
                <w:color w:val="000000"/>
              </w:rPr>
              <w:t xml:space="preserve">, </w:t>
            </w:r>
            <w:r>
              <w:rPr>
                <w:color w:val="000000"/>
              </w:rPr>
              <w:t xml:space="preserve">некорректно </w:t>
            </w:r>
            <w:r w:rsidRPr="005B1CD3">
              <w:rPr>
                <w:color w:val="000000"/>
              </w:rPr>
              <w:t>определен</w:t>
            </w:r>
            <w:r>
              <w:rPr>
                <w:color w:val="000000"/>
              </w:rPr>
              <w:t>а</w:t>
            </w:r>
            <w:r w:rsidRPr="005B1CD3">
              <w:rPr>
                <w:color w:val="000000"/>
              </w:rPr>
              <w:t xml:space="preserve"> арендн</w:t>
            </w:r>
            <w:r>
              <w:rPr>
                <w:color w:val="000000"/>
              </w:rPr>
              <w:t>ая</w:t>
            </w:r>
            <w:r w:rsidRPr="005B1CD3">
              <w:rPr>
                <w:color w:val="000000"/>
              </w:rPr>
              <w:t xml:space="preserve"> ставк</w:t>
            </w:r>
            <w:r>
              <w:rPr>
                <w:color w:val="000000"/>
              </w:rPr>
              <w:t>а</w:t>
            </w:r>
            <w:r w:rsidRPr="005B1CD3">
              <w:rPr>
                <w:color w:val="000000"/>
              </w:rPr>
              <w:t xml:space="preserve"> (использу</w:t>
            </w:r>
            <w:r>
              <w:rPr>
                <w:color w:val="000000"/>
              </w:rPr>
              <w:t>ю</w:t>
            </w:r>
            <w:r w:rsidRPr="005B1CD3">
              <w:rPr>
                <w:color w:val="000000"/>
              </w:rPr>
              <w:t>т</w:t>
            </w:r>
            <w:r>
              <w:rPr>
                <w:color w:val="000000"/>
              </w:rPr>
              <w:t>ся мало схожие объекты-а</w:t>
            </w:r>
            <w:r w:rsidRPr="005B1CD3">
              <w:rPr>
                <w:color w:val="000000"/>
              </w:rPr>
              <w:t xml:space="preserve">налоги), </w:t>
            </w:r>
            <w:r>
              <w:rPr>
                <w:color w:val="000000"/>
              </w:rPr>
              <w:br/>
            </w:r>
            <w:r w:rsidRPr="005B1CD3">
              <w:rPr>
                <w:color w:val="000000"/>
              </w:rPr>
              <w:t>а также ставк</w:t>
            </w:r>
            <w:r>
              <w:rPr>
                <w:color w:val="000000"/>
              </w:rPr>
              <w:t>а</w:t>
            </w:r>
            <w:r w:rsidRPr="005B1CD3">
              <w:rPr>
                <w:color w:val="000000"/>
              </w:rPr>
              <w:t xml:space="preserve"> капитализации.</w:t>
            </w:r>
          </w:p>
          <w:p w:rsidR="00AF4038" w:rsidRPr="00FD0486" w:rsidRDefault="00AF4038" w:rsidP="00D419A1">
            <w:pPr>
              <w:pStyle w:val="a4"/>
              <w:spacing w:before="0" w:beforeAutospacing="0" w:after="0" w:afterAutospacing="0"/>
              <w:jc w:val="both"/>
            </w:pPr>
          </w:p>
        </w:tc>
        <w:tc>
          <w:tcPr>
            <w:tcW w:w="6294" w:type="dxa"/>
            <w:tcMar>
              <w:top w:w="0" w:type="dxa"/>
              <w:left w:w="105" w:type="dxa"/>
              <w:bottom w:w="0" w:type="dxa"/>
              <w:right w:w="105" w:type="dxa"/>
            </w:tcMar>
            <w:vAlign w:val="center"/>
          </w:tcPr>
          <w:p w:rsidR="00AF4038" w:rsidRPr="00CC6ACA" w:rsidRDefault="00AF4038" w:rsidP="00D419A1">
            <w:pPr>
              <w:pStyle w:val="a4"/>
              <w:spacing w:before="0" w:beforeAutospacing="0" w:after="0" w:afterAutospacing="0"/>
              <w:jc w:val="both"/>
              <w:rPr>
                <w:b/>
                <w:color w:val="000000"/>
              </w:rPr>
            </w:pPr>
            <w:r w:rsidRPr="00CC6ACA">
              <w:rPr>
                <w:b/>
                <w:color w:val="000000"/>
              </w:rPr>
              <w:lastRenderedPageBreak/>
              <w:t>п. 23 ФСО №7:</w:t>
            </w:r>
          </w:p>
          <w:p w:rsidR="00AF4038" w:rsidRPr="00CC6ACA" w:rsidRDefault="00AF4038" w:rsidP="00D419A1">
            <w:pPr>
              <w:shd w:val="clear" w:color="auto" w:fill="FFFFFF"/>
              <w:jc w:val="both"/>
              <w:rPr>
                <w:rFonts w:eastAsia="Times New Roman"/>
                <w:color w:val="000000"/>
              </w:rPr>
            </w:pPr>
            <w:r>
              <w:rPr>
                <w:rFonts w:eastAsia="Times New Roman"/>
                <w:color w:val="000000"/>
              </w:rPr>
              <w:t>«</w:t>
            </w:r>
            <w:r w:rsidRPr="00CC6ACA">
              <w:rPr>
                <w:rFonts w:eastAsia="Times New Roman"/>
                <w:color w:val="000000"/>
              </w:rPr>
              <w:t>При применении доходного подхода оценщик учитывает следующие положения:</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t>а) доходный подход применяется для оценки недвижимости, генерирующей или способной генерировать потоки доходов;</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lastRenderedPageBreak/>
              <w:t>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t>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 и условий финансирования, а также ожидаемых изменений доходов и стоимости недвижимости в будущем;</w:t>
            </w:r>
          </w:p>
          <w:p w:rsidR="00AF4038" w:rsidRPr="00CC6ACA" w:rsidRDefault="00AF4038" w:rsidP="00D419A1">
            <w:pPr>
              <w:shd w:val="clear" w:color="auto" w:fill="FFFFFF"/>
              <w:jc w:val="both"/>
              <w:rPr>
                <w:rFonts w:eastAsia="Times New Roman"/>
                <w:color w:val="000000"/>
              </w:rPr>
            </w:pPr>
            <w:r w:rsidRPr="00CC6ACA">
              <w:rPr>
                <w:rFonts w:eastAsia="Times New Roman"/>
                <w:color w:val="000000"/>
              </w:rPr>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AF4038" w:rsidRPr="00CC6ACA" w:rsidRDefault="00AF4038" w:rsidP="00D419A1">
            <w:pPr>
              <w:shd w:val="clear" w:color="auto" w:fill="FFFFFF"/>
              <w:jc w:val="both"/>
              <w:rPr>
                <w:b/>
              </w:rPr>
            </w:pPr>
            <w:r w:rsidRPr="00CC6ACA">
              <w:rPr>
                <w:rFonts w:eastAsia="Times New Roman"/>
                <w:color w:val="000000"/>
              </w:rPr>
              <w:t xml:space="preserve">ж) для недвижимости, которую можно сдавать в аренду, в </w:t>
            </w:r>
            <w:r w:rsidRPr="00CC6ACA">
              <w:rPr>
                <w:rFonts w:eastAsia="Times New Roman"/>
                <w:color w:val="000000"/>
              </w:rPr>
              <w:lastRenderedPageBreak/>
              <w:t>качестве источника доходов следует рассматривать арендные платежи; 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r>
              <w:rPr>
                <w:rFonts w:eastAsia="Times New Roman"/>
                <w:color w:val="000000"/>
              </w:rPr>
              <w:t>»</w:t>
            </w:r>
          </w:p>
        </w:tc>
      </w:tr>
      <w:tr w:rsidR="00AF4038" w:rsidRPr="00BD7C14" w:rsidTr="00D419A1">
        <w:trPr>
          <w:trHeight w:val="1500"/>
        </w:trPr>
        <w:tc>
          <w:tcPr>
            <w:tcW w:w="0" w:type="auto"/>
            <w:vMerge/>
            <w:tcMar>
              <w:top w:w="0" w:type="dxa"/>
              <w:left w:w="105" w:type="dxa"/>
              <w:bottom w:w="0" w:type="dxa"/>
              <w:right w:w="105" w:type="dxa"/>
            </w:tcMar>
            <w:vAlign w:val="center"/>
          </w:tcPr>
          <w:p w:rsidR="00AF4038" w:rsidRPr="00BD7C14" w:rsidRDefault="00AF4038" w:rsidP="00D419A1">
            <w:pPr>
              <w:pStyle w:val="a4"/>
              <w:jc w:val="center"/>
            </w:pPr>
          </w:p>
        </w:tc>
        <w:tc>
          <w:tcPr>
            <w:tcW w:w="3109" w:type="dxa"/>
            <w:vMerge/>
            <w:vAlign w:val="center"/>
          </w:tcPr>
          <w:p w:rsidR="00AF4038" w:rsidRPr="00BD7C14" w:rsidRDefault="00AF4038" w:rsidP="00D419A1">
            <w:pPr>
              <w:pStyle w:val="a4"/>
              <w:jc w:val="center"/>
              <w:rPr>
                <w:color w:val="000000"/>
              </w:rPr>
            </w:pPr>
          </w:p>
        </w:tc>
        <w:tc>
          <w:tcPr>
            <w:tcW w:w="5670" w:type="dxa"/>
            <w:tcMar>
              <w:top w:w="0" w:type="dxa"/>
              <w:left w:w="105" w:type="dxa"/>
              <w:bottom w:w="0" w:type="dxa"/>
              <w:right w:w="105" w:type="dxa"/>
            </w:tcMar>
            <w:vAlign w:val="center"/>
          </w:tcPr>
          <w:p w:rsidR="00AF4038" w:rsidRPr="009E0DA5" w:rsidRDefault="00AF4038" w:rsidP="00D419A1">
            <w:pPr>
              <w:pStyle w:val="a4"/>
              <w:jc w:val="both"/>
              <w:rPr>
                <w:color w:val="000000"/>
              </w:rPr>
            </w:pPr>
            <w:r>
              <w:rPr>
                <w:color w:val="000000"/>
              </w:rPr>
              <w:t>Не</w:t>
            </w:r>
            <w:r w:rsidRPr="009E0DA5">
              <w:rPr>
                <w:color w:val="000000"/>
              </w:rPr>
              <w:t xml:space="preserve"> приведены сведения об источниках</w:t>
            </w:r>
            <w:r>
              <w:rPr>
                <w:color w:val="000000"/>
              </w:rPr>
              <w:t xml:space="preserve"> информации</w:t>
            </w:r>
            <w:r w:rsidRPr="009E0DA5">
              <w:rPr>
                <w:color w:val="000000"/>
              </w:rPr>
              <w:t>, используемых в отчет</w:t>
            </w:r>
            <w:r>
              <w:rPr>
                <w:color w:val="000000"/>
              </w:rPr>
              <w:t>ах (</w:t>
            </w:r>
            <w:r w:rsidRPr="009E0DA5">
              <w:rPr>
                <w:color w:val="000000"/>
              </w:rPr>
              <w:t xml:space="preserve">например, </w:t>
            </w:r>
            <w:r>
              <w:rPr>
                <w:color w:val="000000"/>
              </w:rPr>
              <w:t xml:space="preserve"> в отчете </w:t>
            </w:r>
            <w:r w:rsidRPr="009E0DA5">
              <w:rPr>
                <w:color w:val="000000"/>
              </w:rPr>
              <w:t>приведена таблица</w:t>
            </w:r>
            <w:r>
              <w:rPr>
                <w:color w:val="000000"/>
              </w:rPr>
              <w:t xml:space="preserve"> - ссылка</w:t>
            </w:r>
            <w:r w:rsidRPr="009E0DA5">
              <w:rPr>
                <w:color w:val="000000"/>
              </w:rPr>
              <w:t xml:space="preserve"> на источник</w:t>
            </w:r>
            <w:r>
              <w:rPr>
                <w:color w:val="000000"/>
              </w:rPr>
              <w:t xml:space="preserve"> отсутствует)</w:t>
            </w:r>
            <w:r w:rsidRPr="009E0DA5">
              <w:rPr>
                <w:color w:val="000000"/>
              </w:rPr>
              <w:t>.</w:t>
            </w: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b/>
                <w:color w:val="000000"/>
              </w:rPr>
            </w:pPr>
            <w:r w:rsidRPr="00CC6ACA">
              <w:rPr>
                <w:b/>
                <w:color w:val="000000"/>
              </w:rPr>
              <w:t>ст. 11 ФЗ № 135</w:t>
            </w:r>
            <w:r>
              <w:rPr>
                <w:b/>
                <w:color w:val="000000"/>
              </w:rPr>
              <w:t>:</w:t>
            </w:r>
          </w:p>
          <w:p w:rsidR="00AF4038" w:rsidRPr="00BD7C14" w:rsidRDefault="00AF4038" w:rsidP="00D419A1">
            <w:pPr>
              <w:pStyle w:val="a4"/>
              <w:spacing w:before="0" w:beforeAutospacing="0" w:after="0" w:afterAutospacing="0"/>
              <w:jc w:val="both"/>
              <w:rPr>
                <w:color w:val="000000"/>
              </w:rPr>
            </w:pPr>
            <w:r>
              <w:rPr>
                <w:b/>
                <w:color w:val="000000"/>
              </w:rPr>
              <w:t>«</w:t>
            </w:r>
            <w:r w:rsidRPr="00BD7C14">
              <w:rPr>
                <w:color w:val="000000"/>
              </w:rP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w:t>
            </w:r>
            <w:r>
              <w:rPr>
                <w:color w:val="000000"/>
              </w:rPr>
              <w:t>тоимость данного объекта оценки;»</w:t>
            </w:r>
          </w:p>
        </w:tc>
      </w:tr>
      <w:tr w:rsidR="00AF4038" w:rsidRPr="00BD7C14" w:rsidTr="00D419A1">
        <w:trPr>
          <w:trHeight w:val="913"/>
        </w:trPr>
        <w:tc>
          <w:tcPr>
            <w:tcW w:w="0" w:type="auto"/>
            <w:vMerge/>
            <w:tcMar>
              <w:top w:w="0" w:type="dxa"/>
              <w:left w:w="105" w:type="dxa"/>
              <w:bottom w:w="0" w:type="dxa"/>
              <w:right w:w="105" w:type="dxa"/>
            </w:tcMar>
            <w:vAlign w:val="center"/>
          </w:tcPr>
          <w:p w:rsidR="00AF4038" w:rsidRPr="00BD7C14" w:rsidRDefault="00AF4038" w:rsidP="00D419A1">
            <w:pPr>
              <w:pStyle w:val="a4"/>
              <w:jc w:val="center"/>
            </w:pPr>
          </w:p>
        </w:tc>
        <w:tc>
          <w:tcPr>
            <w:tcW w:w="3109" w:type="dxa"/>
            <w:vMerge/>
            <w:vAlign w:val="center"/>
          </w:tcPr>
          <w:p w:rsidR="00AF4038" w:rsidRPr="005B1CD3" w:rsidRDefault="00AF4038" w:rsidP="00D419A1">
            <w:pPr>
              <w:pStyle w:val="a4"/>
              <w:jc w:val="center"/>
              <w:rPr>
                <w:color w:val="000000"/>
              </w:rPr>
            </w:pPr>
          </w:p>
        </w:tc>
        <w:tc>
          <w:tcPr>
            <w:tcW w:w="5670" w:type="dxa"/>
            <w:tcMar>
              <w:top w:w="0" w:type="dxa"/>
              <w:left w:w="105" w:type="dxa"/>
              <w:bottom w:w="0" w:type="dxa"/>
              <w:right w:w="105" w:type="dxa"/>
            </w:tcMar>
            <w:vAlign w:val="center"/>
          </w:tcPr>
          <w:p w:rsidR="00AF4038" w:rsidRPr="005B1CD3" w:rsidRDefault="00AF4038" w:rsidP="00D419A1">
            <w:pPr>
              <w:pStyle w:val="a4"/>
              <w:spacing w:before="0" w:beforeAutospacing="0" w:after="0" w:afterAutospacing="0"/>
              <w:jc w:val="both"/>
              <w:rPr>
                <w:color w:val="000000"/>
              </w:rPr>
            </w:pPr>
            <w:r>
              <w:rPr>
                <w:color w:val="000000"/>
              </w:rPr>
              <w:t>В отчетах р</w:t>
            </w:r>
            <w:r w:rsidRPr="005B1CD3">
              <w:rPr>
                <w:color w:val="000000"/>
              </w:rPr>
              <w:t>аздел «Суждение о возможных границах интервала, в котором может находиться ст</w:t>
            </w:r>
            <w:r>
              <w:rPr>
                <w:color w:val="000000"/>
              </w:rPr>
              <w:t>оимость объекта оценки»</w:t>
            </w:r>
            <w:r w:rsidRPr="005B1CD3">
              <w:rPr>
                <w:color w:val="000000"/>
              </w:rPr>
              <w:t xml:space="preserve"> отсутствует.</w:t>
            </w: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b/>
                <w:color w:val="000000"/>
              </w:rPr>
            </w:pPr>
            <w:r w:rsidRPr="00CC6ACA">
              <w:rPr>
                <w:b/>
                <w:color w:val="000000"/>
              </w:rPr>
              <w:t xml:space="preserve">п. 30 ФСО №7: </w:t>
            </w:r>
          </w:p>
          <w:p w:rsidR="00AF4038" w:rsidRPr="008F6EA5" w:rsidRDefault="00AF4038" w:rsidP="00D419A1">
            <w:pPr>
              <w:pStyle w:val="a4"/>
              <w:spacing w:before="0" w:beforeAutospacing="0" w:after="0" w:afterAutospacing="0"/>
              <w:jc w:val="both"/>
              <w:rPr>
                <w:b/>
              </w:rPr>
            </w:pPr>
            <w:r w:rsidRPr="008F6EA5">
              <w:rPr>
                <w:color w:val="000000"/>
                <w:shd w:val="clear" w:color="auto" w:fill="FFFFFF"/>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r>
      <w:tr w:rsidR="00AF4038" w:rsidRPr="00BD7C14" w:rsidTr="00D419A1">
        <w:trPr>
          <w:trHeight w:val="556"/>
        </w:trPr>
        <w:tc>
          <w:tcPr>
            <w:tcW w:w="0" w:type="auto"/>
            <w:vMerge w:val="restart"/>
            <w:tcMar>
              <w:top w:w="0" w:type="dxa"/>
              <w:left w:w="105" w:type="dxa"/>
              <w:bottom w:w="0" w:type="dxa"/>
              <w:right w:w="105" w:type="dxa"/>
            </w:tcMar>
            <w:vAlign w:val="center"/>
            <w:hideMark/>
          </w:tcPr>
          <w:p w:rsidR="00AF4038" w:rsidRPr="00BD7C14" w:rsidRDefault="00AF4038" w:rsidP="00D419A1">
            <w:pPr>
              <w:pStyle w:val="a4"/>
              <w:jc w:val="center"/>
            </w:pPr>
            <w:r>
              <w:rPr>
                <w:color w:val="000000"/>
              </w:rPr>
              <w:t>6</w:t>
            </w:r>
          </w:p>
        </w:tc>
        <w:tc>
          <w:tcPr>
            <w:tcW w:w="3109" w:type="dxa"/>
            <w:vMerge w:val="restart"/>
            <w:vAlign w:val="center"/>
          </w:tcPr>
          <w:p w:rsidR="00AF4038" w:rsidRPr="00BD7C14" w:rsidRDefault="00AF4038" w:rsidP="00D419A1">
            <w:pPr>
              <w:pStyle w:val="a4"/>
              <w:jc w:val="center"/>
              <w:rPr>
                <w:color w:val="000000"/>
              </w:rPr>
            </w:pPr>
            <w:r>
              <w:rPr>
                <w:color w:val="000000"/>
              </w:rPr>
              <w:t>Подходы к оценке</w:t>
            </w:r>
          </w:p>
        </w:tc>
        <w:tc>
          <w:tcPr>
            <w:tcW w:w="5670" w:type="dxa"/>
            <w:tcMar>
              <w:top w:w="0" w:type="dxa"/>
              <w:left w:w="105" w:type="dxa"/>
              <w:bottom w:w="0" w:type="dxa"/>
              <w:right w:w="105" w:type="dxa"/>
            </w:tcMar>
            <w:vAlign w:val="center"/>
          </w:tcPr>
          <w:p w:rsidR="00AF4038" w:rsidRDefault="00AF4038" w:rsidP="00D419A1">
            <w:pPr>
              <w:pStyle w:val="a4"/>
              <w:jc w:val="both"/>
            </w:pPr>
          </w:p>
          <w:p w:rsidR="00AF4038" w:rsidRDefault="00AF4038" w:rsidP="00D419A1">
            <w:pPr>
              <w:pStyle w:val="a4"/>
              <w:jc w:val="both"/>
            </w:pPr>
          </w:p>
          <w:p w:rsidR="00AF4038" w:rsidRDefault="00AF4038" w:rsidP="00D419A1">
            <w:pPr>
              <w:pStyle w:val="a4"/>
              <w:jc w:val="both"/>
              <w:rPr>
                <w:color w:val="000000"/>
              </w:rPr>
            </w:pPr>
            <w:r>
              <w:t xml:space="preserve">В отчетах при расчетах окончательной стоимости объекта оценки преимущественное использование одного из подходов к оценке ничем не обосновывается, либо </w:t>
            </w:r>
            <w:r w:rsidRPr="00BD7C14">
              <w:rPr>
                <w:color w:val="000000"/>
              </w:rPr>
              <w:t>определяется экспертным путем</w:t>
            </w:r>
            <w:r>
              <w:rPr>
                <w:color w:val="000000"/>
              </w:rPr>
              <w:t>.</w:t>
            </w:r>
          </w:p>
          <w:p w:rsidR="00AF4038" w:rsidRPr="00BD7C14" w:rsidRDefault="00AF4038" w:rsidP="00D419A1">
            <w:pPr>
              <w:pStyle w:val="a4"/>
              <w:jc w:val="both"/>
            </w:pPr>
            <w:r>
              <w:rPr>
                <w:color w:val="000000"/>
              </w:rPr>
              <w:t xml:space="preserve"> </w:t>
            </w: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r w:rsidRPr="008F6EA5">
              <w:rPr>
                <w:b/>
                <w:color w:val="000000"/>
              </w:rPr>
              <w:t>п. 25 ФСО №1</w:t>
            </w:r>
            <w:r>
              <w:rPr>
                <w:color w:val="000000"/>
              </w:rPr>
              <w:t>:</w:t>
            </w:r>
          </w:p>
          <w:p w:rsidR="00AF4038" w:rsidRPr="008F6EA5" w:rsidRDefault="00AF4038" w:rsidP="00D419A1">
            <w:pPr>
              <w:pStyle w:val="a4"/>
              <w:spacing w:before="0" w:beforeAutospacing="0" w:after="0" w:afterAutospacing="0"/>
              <w:jc w:val="both"/>
            </w:pPr>
            <w:r w:rsidRPr="008F6EA5">
              <w:rPr>
                <w:color w:val="000000"/>
                <w:shd w:val="clear" w:color="auto" w:fill="FFFFFF"/>
              </w:rPr>
              <w:t xml:space="preserve">«В случае использования нескольких подходов к оценке, </w:t>
            </w:r>
            <w:r>
              <w:rPr>
                <w:color w:val="000000"/>
                <w:shd w:val="clear" w:color="auto" w:fill="FFFFFF"/>
              </w:rPr>
              <w:br/>
            </w:r>
            <w:r w:rsidRPr="008F6EA5">
              <w:rPr>
                <w:color w:val="000000"/>
                <w:shd w:val="clear" w:color="auto" w:fill="FFFFFF"/>
              </w:rPr>
              <w:t xml:space="preserve">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w:t>
            </w:r>
            <w:r w:rsidRPr="008F6EA5">
              <w:rPr>
                <w:color w:val="000000"/>
                <w:shd w:val="clear" w:color="auto" w:fill="FFFFFF"/>
              </w:rPr>
              <w:lastRenderedPageBreak/>
              <w:t>находится вне границ указанного оценщиком диапазона стоимости, полученной при применении другого подхода (методов) (при наличии).»</w:t>
            </w:r>
          </w:p>
        </w:tc>
      </w:tr>
      <w:tr w:rsidR="00AF4038" w:rsidRPr="00BD7C14" w:rsidTr="00D419A1">
        <w:trPr>
          <w:trHeight w:val="1691"/>
        </w:trPr>
        <w:tc>
          <w:tcPr>
            <w:tcW w:w="0" w:type="auto"/>
            <w:vMerge/>
            <w:tcMar>
              <w:top w:w="0" w:type="dxa"/>
              <w:left w:w="105" w:type="dxa"/>
              <w:bottom w:w="0" w:type="dxa"/>
              <w:right w:w="105" w:type="dxa"/>
            </w:tcMar>
            <w:vAlign w:val="center"/>
          </w:tcPr>
          <w:p w:rsidR="00AF4038" w:rsidRPr="00BD7C14" w:rsidRDefault="00AF4038" w:rsidP="00D419A1">
            <w:pPr>
              <w:pStyle w:val="a4"/>
              <w:jc w:val="center"/>
              <w:rPr>
                <w:color w:val="000000"/>
              </w:rPr>
            </w:pPr>
          </w:p>
        </w:tc>
        <w:tc>
          <w:tcPr>
            <w:tcW w:w="3109" w:type="dxa"/>
            <w:vMerge/>
            <w:vAlign w:val="center"/>
          </w:tcPr>
          <w:p w:rsidR="00AF4038" w:rsidRDefault="00AF4038" w:rsidP="00D419A1">
            <w:pPr>
              <w:pStyle w:val="a4"/>
              <w:jc w:val="center"/>
              <w:rPr>
                <w:color w:val="000000"/>
              </w:rPr>
            </w:pPr>
          </w:p>
        </w:tc>
        <w:tc>
          <w:tcPr>
            <w:tcW w:w="5670" w:type="dxa"/>
            <w:tcMar>
              <w:top w:w="0" w:type="dxa"/>
              <w:left w:w="105" w:type="dxa"/>
              <w:bottom w:w="0" w:type="dxa"/>
              <w:right w:w="105" w:type="dxa"/>
            </w:tcMar>
            <w:vAlign w:val="center"/>
          </w:tcPr>
          <w:p w:rsidR="00AF4038" w:rsidRPr="00BD7C14" w:rsidRDefault="00AF4038" w:rsidP="00D419A1">
            <w:pPr>
              <w:pStyle w:val="a4"/>
              <w:spacing w:before="0" w:beforeAutospacing="0" w:after="0" w:afterAutospacing="0"/>
              <w:jc w:val="both"/>
            </w:pPr>
            <w:r w:rsidRPr="00BD7C14">
              <w:rPr>
                <w:color w:val="000000"/>
              </w:rPr>
              <w:t>В отчетах отказ от использования "Затратного подхода"</w:t>
            </w:r>
            <w:r>
              <w:rPr>
                <w:color w:val="000000"/>
              </w:rPr>
              <w:t xml:space="preserve"> ничем не обосновывается</w:t>
            </w:r>
            <w:r w:rsidRPr="00BD7C14">
              <w:rPr>
                <w:color w:val="000000"/>
              </w:rPr>
              <w:t>.</w:t>
            </w:r>
          </w:p>
        </w:tc>
        <w:tc>
          <w:tcPr>
            <w:tcW w:w="6294" w:type="dxa"/>
            <w:tcMar>
              <w:top w:w="0" w:type="dxa"/>
              <w:left w:w="105" w:type="dxa"/>
              <w:bottom w:w="0" w:type="dxa"/>
              <w:right w:w="105" w:type="dxa"/>
            </w:tcMar>
            <w:vAlign w:val="center"/>
          </w:tcPr>
          <w:p w:rsidR="00AF4038" w:rsidRDefault="00AF4038" w:rsidP="00D419A1">
            <w:pPr>
              <w:pStyle w:val="a4"/>
              <w:spacing w:before="0" w:beforeAutospacing="0" w:after="0" w:afterAutospacing="0"/>
              <w:jc w:val="both"/>
              <w:rPr>
                <w:color w:val="000000"/>
              </w:rPr>
            </w:pPr>
            <w:r>
              <w:rPr>
                <w:b/>
                <w:color w:val="000000"/>
              </w:rPr>
              <w:t>п. 8</w:t>
            </w:r>
            <w:r w:rsidRPr="008F6EA5">
              <w:rPr>
                <w:b/>
                <w:color w:val="000000"/>
              </w:rPr>
              <w:t xml:space="preserve"> ФСО №3:</w:t>
            </w:r>
            <w:r>
              <w:rPr>
                <w:color w:val="000000"/>
              </w:rPr>
              <w:t> </w:t>
            </w:r>
          </w:p>
          <w:p w:rsidR="00AF4038" w:rsidRPr="00BD7C14" w:rsidRDefault="00AF4038" w:rsidP="00D419A1">
            <w:pPr>
              <w:pStyle w:val="a4"/>
              <w:spacing w:before="0" w:beforeAutospacing="0" w:after="0" w:afterAutospacing="0"/>
              <w:jc w:val="both"/>
            </w:pPr>
            <w:r>
              <w:rPr>
                <w:color w:val="000000"/>
              </w:rPr>
              <w:t>«о</w:t>
            </w:r>
            <w:r w:rsidRPr="00BD7C14">
              <w:rPr>
                <w:color w:val="000000"/>
              </w:rPr>
              <w:t xml:space="preserve">писание процесса оценки объекта оценки в части применения подхода (подходов) к оценке. В отчете должно быть описано обоснование выбора используемых подходов к оценке и методов в рамках </w:t>
            </w:r>
            <w:r>
              <w:rPr>
                <w:color w:val="000000"/>
              </w:rPr>
              <w:t>каждого из применяемых подходов;»</w:t>
            </w:r>
          </w:p>
        </w:tc>
      </w:tr>
      <w:tr w:rsidR="00AF4038" w:rsidRPr="00BD7C14" w:rsidTr="00D419A1">
        <w:trPr>
          <w:trHeight w:val="1265"/>
        </w:trPr>
        <w:tc>
          <w:tcPr>
            <w:tcW w:w="0" w:type="auto"/>
            <w:vMerge/>
            <w:tcMar>
              <w:top w:w="0" w:type="dxa"/>
              <w:left w:w="105" w:type="dxa"/>
              <w:bottom w:w="0" w:type="dxa"/>
              <w:right w:w="105" w:type="dxa"/>
            </w:tcMar>
            <w:vAlign w:val="center"/>
          </w:tcPr>
          <w:p w:rsidR="00AF4038" w:rsidRPr="00BD7C14" w:rsidRDefault="00AF4038" w:rsidP="00D419A1">
            <w:pPr>
              <w:pStyle w:val="a4"/>
              <w:jc w:val="center"/>
              <w:rPr>
                <w:color w:val="000000"/>
              </w:rPr>
            </w:pPr>
          </w:p>
        </w:tc>
        <w:tc>
          <w:tcPr>
            <w:tcW w:w="3109" w:type="dxa"/>
            <w:vMerge/>
            <w:vAlign w:val="center"/>
          </w:tcPr>
          <w:p w:rsidR="00AF4038" w:rsidRDefault="00AF4038" w:rsidP="00D419A1">
            <w:pPr>
              <w:pStyle w:val="a4"/>
              <w:jc w:val="center"/>
              <w:rPr>
                <w:color w:val="000000"/>
              </w:rPr>
            </w:pPr>
          </w:p>
        </w:tc>
        <w:tc>
          <w:tcPr>
            <w:tcW w:w="5670" w:type="dxa"/>
            <w:tcMar>
              <w:top w:w="0" w:type="dxa"/>
              <w:left w:w="105" w:type="dxa"/>
              <w:bottom w:w="0" w:type="dxa"/>
              <w:right w:w="105" w:type="dxa"/>
            </w:tcMar>
            <w:vAlign w:val="center"/>
          </w:tcPr>
          <w:p w:rsidR="00AF4038" w:rsidRDefault="00AF4038" w:rsidP="00D419A1">
            <w:pPr>
              <w:pStyle w:val="1"/>
              <w:shd w:val="clear" w:color="auto" w:fill="FFFFFF"/>
              <w:spacing w:before="0" w:beforeAutospacing="0" w:after="0" w:afterAutospacing="0"/>
              <w:jc w:val="both"/>
              <w:textAlignment w:val="baseline"/>
              <w:rPr>
                <w:b w:val="0"/>
                <w:sz w:val="24"/>
                <w:szCs w:val="24"/>
              </w:rPr>
            </w:pPr>
            <w:r>
              <w:rPr>
                <w:b w:val="0"/>
                <w:sz w:val="24"/>
                <w:szCs w:val="24"/>
              </w:rPr>
              <w:t>В отчетах з</w:t>
            </w:r>
            <w:r w:rsidRPr="0016012C">
              <w:rPr>
                <w:b w:val="0"/>
                <w:sz w:val="24"/>
                <w:szCs w:val="24"/>
              </w:rPr>
              <w:t>анижена рыночная стоимость объектов оценки на величину НДС</w:t>
            </w:r>
            <w:r>
              <w:rPr>
                <w:b w:val="0"/>
                <w:sz w:val="24"/>
                <w:szCs w:val="24"/>
              </w:rPr>
              <w:t>.</w:t>
            </w:r>
          </w:p>
          <w:p w:rsidR="00AF4038" w:rsidRPr="00BD7C14" w:rsidRDefault="00AF4038" w:rsidP="00D419A1">
            <w:pPr>
              <w:pStyle w:val="a4"/>
              <w:spacing w:before="0" w:beforeAutospacing="0" w:after="0" w:afterAutospacing="0"/>
              <w:jc w:val="both"/>
              <w:rPr>
                <w:color w:val="000000"/>
              </w:rPr>
            </w:pPr>
            <w:r w:rsidRPr="0016012C">
              <w:t xml:space="preserve">Согласно данным сайта </w:t>
            </w:r>
            <w:r w:rsidRPr="00280E71">
              <w:rPr>
                <w:color w:val="000000"/>
                <w:shd w:val="clear" w:color="auto" w:fill="FFFFFF"/>
              </w:rPr>
              <w:t>Н</w:t>
            </w:r>
            <w:r>
              <w:rPr>
                <w:color w:val="000000"/>
                <w:shd w:val="clear" w:color="auto" w:fill="FFFFFF"/>
              </w:rPr>
              <w:t xml:space="preserve">П </w:t>
            </w:r>
            <w:r w:rsidRPr="00280E71">
              <w:rPr>
                <w:color w:val="000000"/>
                <w:shd w:val="clear" w:color="auto" w:fill="FFFFFF"/>
              </w:rPr>
              <w:t>«Саморегулируемая организация ассоциации российских магистров оценки»</w:t>
            </w:r>
            <w:r w:rsidRPr="0016012C">
              <w:t xml:space="preserve"> (</w:t>
            </w:r>
            <w:hyperlink r:id="rId11" w:history="1">
              <w:r w:rsidRPr="0016012C">
                <w:rPr>
                  <w:rStyle w:val="a3"/>
                </w:rPr>
                <w:t>https://sroarmo.ru/blog/nds-pri-osparivanii-kadastrovoy-stoimosti-razyasneniya-i-rekomendacii</w:t>
              </w:r>
            </w:hyperlink>
            <w:r w:rsidRPr="00157B5B">
              <w:rPr>
                <w:rStyle w:val="a3"/>
              </w:rPr>
              <w:t xml:space="preserve"> - </w:t>
            </w:r>
            <w:r w:rsidRPr="00BE0E41">
              <w:rPr>
                <w:bCs/>
              </w:rPr>
              <w:t>НДС при</w:t>
            </w:r>
            <w:r>
              <w:rPr>
                <w:b/>
                <w:bCs/>
              </w:rPr>
              <w:t xml:space="preserve"> </w:t>
            </w:r>
            <w:r w:rsidRPr="0016012C">
              <w:t>оспаривании кадастровой стоимости: разъяснения и рекомендации</w:t>
            </w:r>
            <w:r w:rsidRPr="0016012C">
              <w:rPr>
                <w:color w:val="000000"/>
              </w:rPr>
              <w:t>) при определении рыночной стоимости недвижимого имущества для целей оспаривания результатов определения кадастровой стоимости НДС не учитывается, не выделяется отдельно в составе итоговой стоимости, не вычитается откуда-либо. Поэтому используя данные об объектах-аналогах с последующим вычетом из их стоимости (предложения или сделки) НДС, величина налогооблагаемой базы искажается.</w:t>
            </w:r>
            <w:r>
              <w:rPr>
                <w:b/>
                <w:color w:val="000000"/>
              </w:rPr>
              <w:t xml:space="preserve">  </w:t>
            </w:r>
          </w:p>
        </w:tc>
        <w:tc>
          <w:tcPr>
            <w:tcW w:w="6294" w:type="dxa"/>
            <w:tcMar>
              <w:top w:w="0" w:type="dxa"/>
              <w:left w:w="105" w:type="dxa"/>
              <w:bottom w:w="0" w:type="dxa"/>
              <w:right w:w="105" w:type="dxa"/>
            </w:tcMar>
            <w:vAlign w:val="center"/>
          </w:tcPr>
          <w:p w:rsidR="00AF4038" w:rsidRDefault="00AF4038" w:rsidP="00D419A1">
            <w:pPr>
              <w:shd w:val="clear" w:color="auto" w:fill="FFFFFF"/>
              <w:jc w:val="both"/>
              <w:textAlignment w:val="baseline"/>
              <w:rPr>
                <w:rFonts w:eastAsia="Times New Roman"/>
                <w:color w:val="000000"/>
              </w:rPr>
            </w:pPr>
            <w:r w:rsidRPr="00BE0E41">
              <w:rPr>
                <w:rFonts w:eastAsia="Times New Roman"/>
                <w:b/>
                <w:color w:val="000000"/>
              </w:rPr>
              <w:t>п.</w:t>
            </w:r>
            <w:r>
              <w:rPr>
                <w:rFonts w:eastAsia="Times New Roman"/>
                <w:b/>
                <w:color w:val="000000"/>
              </w:rPr>
              <w:t xml:space="preserve"> 3.3. Приказ</w:t>
            </w:r>
            <w:r w:rsidRPr="00BE0E41">
              <w:rPr>
                <w:rFonts w:eastAsia="Times New Roman"/>
                <w:b/>
                <w:color w:val="000000"/>
              </w:rPr>
              <w:t xml:space="preserve"> Минэкон</w:t>
            </w:r>
            <w:r>
              <w:rPr>
                <w:rFonts w:eastAsia="Times New Roman"/>
                <w:b/>
                <w:color w:val="000000"/>
              </w:rPr>
              <w:t>ом</w:t>
            </w:r>
            <w:r w:rsidRPr="00BE0E41">
              <w:rPr>
                <w:rFonts w:eastAsia="Times New Roman"/>
                <w:b/>
                <w:color w:val="000000"/>
              </w:rPr>
              <w:t>развития РФ от 30</w:t>
            </w:r>
            <w:r w:rsidRPr="004B1FF9">
              <w:rPr>
                <w:rFonts w:eastAsia="Times New Roman"/>
                <w:b/>
                <w:color w:val="000000"/>
              </w:rPr>
              <w:t>.09.</w:t>
            </w:r>
            <w:r w:rsidRPr="00BE0E41">
              <w:rPr>
                <w:rFonts w:eastAsia="Times New Roman"/>
                <w:b/>
                <w:color w:val="000000"/>
              </w:rPr>
              <w:t xml:space="preserve">2015  </w:t>
            </w:r>
            <w:r>
              <w:rPr>
                <w:rFonts w:eastAsia="Times New Roman"/>
                <w:b/>
                <w:color w:val="000000"/>
              </w:rPr>
              <w:br/>
            </w:r>
            <w:r w:rsidRPr="00BE0E41">
              <w:rPr>
                <w:rFonts w:eastAsia="Times New Roman"/>
                <w:b/>
                <w:color w:val="000000"/>
              </w:rPr>
              <w:t>№ 708</w:t>
            </w:r>
            <w:r>
              <w:rPr>
                <w:rFonts w:eastAsia="Times New Roman"/>
                <w:b/>
                <w:color w:val="000000"/>
              </w:rPr>
              <w:t xml:space="preserve"> «Об утверждении типовых правил </w:t>
            </w:r>
            <w:r w:rsidRPr="00BE0E41">
              <w:rPr>
                <w:rFonts w:eastAsia="Times New Roman"/>
                <w:b/>
                <w:color w:val="000000"/>
              </w:rPr>
              <w:t>профессиональной этики оценщиков»</w:t>
            </w:r>
            <w:r w:rsidRPr="004B1FF9">
              <w:rPr>
                <w:rFonts w:eastAsia="Times New Roman"/>
                <w:b/>
                <w:color w:val="000000"/>
              </w:rPr>
              <w:t>:</w:t>
            </w:r>
            <w:r w:rsidRPr="00BE0E41">
              <w:rPr>
                <w:rFonts w:eastAsia="Times New Roman"/>
                <w:color w:val="000000"/>
              </w:rPr>
              <w:t xml:space="preserve"> </w:t>
            </w:r>
          </w:p>
          <w:p w:rsidR="00AF4038" w:rsidRPr="004B1FF9" w:rsidRDefault="00AF4038" w:rsidP="00D419A1">
            <w:pPr>
              <w:shd w:val="clear" w:color="auto" w:fill="FFFFFF"/>
              <w:jc w:val="both"/>
              <w:textAlignment w:val="baseline"/>
              <w:rPr>
                <w:spacing w:val="2"/>
                <w:shd w:val="clear" w:color="auto" w:fill="FFFFFF"/>
              </w:rPr>
            </w:pPr>
            <w:r w:rsidRPr="004B1FF9">
              <w:rPr>
                <w:spacing w:val="2"/>
                <w:shd w:val="clear" w:color="auto" w:fill="FFFFFF"/>
              </w:rPr>
              <w:t>«Оценщик не должен предвзято относиться к подготовке результатов проведения оценки для конкретного заказчика.</w:t>
            </w:r>
            <w:r w:rsidRPr="004B1FF9">
              <w:rPr>
                <w:spacing w:val="2"/>
              </w:rPr>
              <w:br/>
            </w:r>
            <w:r w:rsidRPr="004B1FF9">
              <w:rPr>
                <w:spacing w:val="2"/>
                <w:shd w:val="clear" w:color="auto" w:fill="FFFFFF"/>
              </w:rPr>
              <w:t>Оценщик не должен совершать в интересах заказчиков действий, которые могли бы поставить под сомнение его независимость.»</w:t>
            </w:r>
          </w:p>
          <w:p w:rsidR="00AF4038" w:rsidRPr="004B1FF9" w:rsidRDefault="00AF4038" w:rsidP="00D419A1">
            <w:pPr>
              <w:shd w:val="clear" w:color="auto" w:fill="FFFFFF"/>
              <w:jc w:val="both"/>
              <w:textAlignment w:val="baseline"/>
              <w:rPr>
                <w:rFonts w:eastAsia="Times New Roman"/>
                <w:b/>
                <w:color w:val="000000"/>
              </w:rPr>
            </w:pPr>
            <w:r w:rsidRPr="00BE0E41">
              <w:rPr>
                <w:rFonts w:eastAsia="Times New Roman"/>
                <w:b/>
                <w:color w:val="000000"/>
              </w:rPr>
              <w:t>ст.</w:t>
            </w:r>
            <w:r>
              <w:rPr>
                <w:rFonts w:eastAsia="Times New Roman"/>
                <w:b/>
                <w:color w:val="000000"/>
              </w:rPr>
              <w:t xml:space="preserve"> </w:t>
            </w:r>
            <w:r w:rsidRPr="00BE0E41">
              <w:rPr>
                <w:rFonts w:eastAsia="Times New Roman"/>
                <w:b/>
                <w:color w:val="000000"/>
              </w:rPr>
              <w:t xml:space="preserve">15.2 </w:t>
            </w:r>
            <w:r>
              <w:rPr>
                <w:rFonts w:eastAsia="Times New Roman"/>
                <w:b/>
                <w:color w:val="000000"/>
              </w:rPr>
              <w:t xml:space="preserve">ФЗ </w:t>
            </w:r>
            <w:r w:rsidRPr="00BE0E41">
              <w:rPr>
                <w:rFonts w:eastAsia="Times New Roman"/>
                <w:b/>
                <w:color w:val="000000"/>
              </w:rPr>
              <w:t>№ 135</w:t>
            </w:r>
            <w:r w:rsidRPr="004B1FF9">
              <w:rPr>
                <w:rFonts w:eastAsia="Times New Roman"/>
                <w:b/>
                <w:color w:val="000000"/>
              </w:rPr>
              <w:t>:</w:t>
            </w:r>
          </w:p>
          <w:p w:rsidR="00AF4038" w:rsidRPr="002E32A0" w:rsidRDefault="00AF4038" w:rsidP="00D419A1">
            <w:pPr>
              <w:shd w:val="clear" w:color="auto" w:fill="FFFFFF"/>
              <w:jc w:val="both"/>
              <w:rPr>
                <w:rFonts w:eastAsia="Times New Roman"/>
                <w:color w:val="000000"/>
              </w:rPr>
            </w:pPr>
            <w:r w:rsidRPr="002E32A0">
              <w:rPr>
                <w:rFonts w:eastAsia="Times New Roman"/>
                <w:color w:val="000000"/>
              </w:rPr>
              <w:t>«При проведении оценки заказчик оценки обязан:</w:t>
            </w:r>
          </w:p>
          <w:p w:rsidR="00AF4038" w:rsidRDefault="00AF4038" w:rsidP="00D419A1">
            <w:pPr>
              <w:shd w:val="clear" w:color="auto" w:fill="FFFFFF"/>
              <w:jc w:val="both"/>
              <w:rPr>
                <w:rFonts w:eastAsia="Times New Roman"/>
                <w:color w:val="000000"/>
              </w:rPr>
            </w:pPr>
            <w:bookmarkStart w:id="1" w:name="dst541"/>
            <w:bookmarkEnd w:id="1"/>
            <w:r w:rsidRPr="002E32A0">
              <w:rPr>
                <w:rFonts w:eastAsia="Times New Roman"/>
                <w:color w:val="000000"/>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AF4038" w:rsidRPr="002E32A0" w:rsidRDefault="00AF4038" w:rsidP="00D419A1">
            <w:pPr>
              <w:shd w:val="clear" w:color="auto" w:fill="FFFFFF"/>
              <w:jc w:val="both"/>
              <w:rPr>
                <w:rFonts w:eastAsia="Times New Roman"/>
                <w:color w:val="000000"/>
              </w:rPr>
            </w:pPr>
          </w:p>
          <w:p w:rsidR="00AF4038" w:rsidRPr="00D9785F" w:rsidRDefault="00AF4038" w:rsidP="00D419A1">
            <w:pPr>
              <w:shd w:val="clear" w:color="auto" w:fill="FFFFFF"/>
              <w:jc w:val="both"/>
              <w:textAlignment w:val="baseline"/>
              <w:rPr>
                <w:rFonts w:eastAsia="Times New Roman"/>
                <w:b/>
                <w:color w:val="000000"/>
              </w:rPr>
            </w:pPr>
            <w:r w:rsidRPr="00BE0E41">
              <w:rPr>
                <w:rFonts w:eastAsia="Times New Roman"/>
                <w:b/>
                <w:color w:val="000000"/>
              </w:rPr>
              <w:t>п.</w:t>
            </w:r>
            <w:r>
              <w:rPr>
                <w:rFonts w:eastAsia="Times New Roman"/>
                <w:b/>
                <w:color w:val="000000"/>
              </w:rPr>
              <w:t xml:space="preserve"> </w:t>
            </w:r>
            <w:r w:rsidRPr="00BE0E41">
              <w:rPr>
                <w:rFonts w:eastAsia="Times New Roman"/>
                <w:b/>
                <w:color w:val="000000"/>
              </w:rPr>
              <w:t>9 ФСО № 7</w:t>
            </w:r>
            <w:r w:rsidRPr="00D9785F">
              <w:rPr>
                <w:rFonts w:eastAsia="Times New Roman"/>
                <w:b/>
                <w:color w:val="000000"/>
              </w:rPr>
              <w:t>:</w:t>
            </w:r>
          </w:p>
          <w:p w:rsidR="00AF4038" w:rsidRPr="00D9785F" w:rsidRDefault="00AF4038" w:rsidP="00D419A1">
            <w:pPr>
              <w:pStyle w:val="a4"/>
              <w:shd w:val="clear" w:color="auto" w:fill="FFFFFF"/>
              <w:spacing w:before="0" w:beforeAutospacing="0" w:after="0" w:afterAutospacing="0"/>
              <w:jc w:val="both"/>
              <w:rPr>
                <w:rFonts w:eastAsia="Times New Roman"/>
                <w:color w:val="000000"/>
              </w:rPr>
            </w:pPr>
            <w:r>
              <w:rPr>
                <w:rFonts w:eastAsia="Times New Roman"/>
                <w:color w:val="000000"/>
              </w:rPr>
              <w:t>«</w:t>
            </w:r>
            <w:r w:rsidRPr="00D9785F">
              <w:rPr>
                <w:rFonts w:eastAsia="Times New Roman"/>
                <w:color w:val="000000"/>
              </w:rPr>
              <w:t>В задании на оценку могут быть указаны иные расчетные величины, в том числе:</w:t>
            </w:r>
          </w:p>
          <w:p w:rsidR="00AF4038" w:rsidRPr="00D9785F" w:rsidRDefault="00AF4038" w:rsidP="00AF4038">
            <w:pPr>
              <w:pStyle w:val="a5"/>
              <w:numPr>
                <w:ilvl w:val="0"/>
                <w:numId w:val="6"/>
              </w:numPr>
              <w:shd w:val="clear" w:color="auto" w:fill="FFFFFF"/>
              <w:jc w:val="both"/>
              <w:rPr>
                <w:rFonts w:eastAsia="Times New Roman"/>
                <w:color w:val="000000"/>
              </w:rPr>
            </w:pPr>
            <w:r w:rsidRPr="00D9785F">
              <w:rPr>
                <w:rFonts w:eastAsia="Times New Roman"/>
                <w:color w:val="000000"/>
              </w:rPr>
              <w:lastRenderedPageBreak/>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AF4038" w:rsidRPr="00D9785F" w:rsidRDefault="00AF4038" w:rsidP="00AF4038">
            <w:pPr>
              <w:pStyle w:val="a5"/>
              <w:numPr>
                <w:ilvl w:val="0"/>
                <w:numId w:val="6"/>
              </w:numPr>
              <w:shd w:val="clear" w:color="auto" w:fill="FFFFFF"/>
              <w:jc w:val="both"/>
              <w:rPr>
                <w:rFonts w:eastAsia="Times New Roman"/>
                <w:color w:val="000000"/>
              </w:rPr>
            </w:pPr>
            <w:r w:rsidRPr="00D9785F">
              <w:rPr>
                <w:rFonts w:eastAsia="Times New Roman"/>
                <w:color w:val="000000"/>
              </w:rPr>
              <w:t>затраты на создание (воспроизводство или замещение) объектов капитального строительства;</w:t>
            </w:r>
          </w:p>
          <w:p w:rsidR="00AF4038" w:rsidRPr="00D9785F" w:rsidRDefault="00AF4038" w:rsidP="00AF4038">
            <w:pPr>
              <w:pStyle w:val="a5"/>
              <w:numPr>
                <w:ilvl w:val="0"/>
                <w:numId w:val="6"/>
              </w:numPr>
              <w:shd w:val="clear" w:color="auto" w:fill="FFFFFF"/>
              <w:jc w:val="both"/>
              <w:rPr>
                <w:rFonts w:eastAsia="Times New Roman"/>
                <w:color w:val="000000"/>
              </w:rPr>
            </w:pPr>
            <w:r w:rsidRPr="00D9785F">
              <w:rPr>
                <w:rFonts w:eastAsia="Times New Roman"/>
                <w:color w:val="000000"/>
              </w:rPr>
              <w:t>убытки (реальный ущерб, упущенная выгода) при отчуждении объекта недвижимости, а также в иных случаях;</w:t>
            </w:r>
          </w:p>
          <w:p w:rsidR="00AF4038" w:rsidRPr="00D9785F" w:rsidRDefault="00AF4038" w:rsidP="00AF4038">
            <w:pPr>
              <w:pStyle w:val="a5"/>
              <w:numPr>
                <w:ilvl w:val="0"/>
                <w:numId w:val="6"/>
              </w:numPr>
              <w:shd w:val="clear" w:color="auto" w:fill="FFFFFF"/>
              <w:jc w:val="both"/>
              <w:rPr>
                <w:rFonts w:eastAsia="Times New Roman"/>
                <w:color w:val="000000"/>
              </w:rPr>
            </w:pPr>
            <w:r w:rsidRPr="00D9785F">
              <w:rPr>
                <w:rFonts w:eastAsia="Times New Roman"/>
                <w:color w:val="000000"/>
              </w:rPr>
              <w:t>затраты на устранение экологического загрязнения и (или) рекультивацию земельного участка.</w:t>
            </w:r>
            <w:r>
              <w:rPr>
                <w:rFonts w:eastAsia="Times New Roman"/>
                <w:color w:val="000000"/>
              </w:rPr>
              <w:t>»</w:t>
            </w:r>
          </w:p>
        </w:tc>
      </w:tr>
    </w:tbl>
    <w:p w:rsidR="00AF4038" w:rsidRDefault="00AF4038" w:rsidP="00AF4038"/>
    <w:p w:rsidR="00AF4038" w:rsidRPr="00BD7C14" w:rsidRDefault="00AF4038" w:rsidP="00AF4038"/>
    <w:p w:rsidR="00A778CB" w:rsidRPr="00AF4038" w:rsidRDefault="00A778CB" w:rsidP="00AF4038"/>
    <w:sectPr w:rsidR="00A778CB" w:rsidRPr="00AF4038" w:rsidSect="005F1ECF">
      <w:pgSz w:w="16838" w:h="11906" w:orient="landscape"/>
      <w:pgMar w:top="170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5CF"/>
    <w:multiLevelType w:val="hybridMultilevel"/>
    <w:tmpl w:val="19623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BE911CF"/>
    <w:multiLevelType w:val="multilevel"/>
    <w:tmpl w:val="1BA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866F9"/>
    <w:multiLevelType w:val="hybridMultilevel"/>
    <w:tmpl w:val="611E0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1A3B8B"/>
    <w:multiLevelType w:val="hybridMultilevel"/>
    <w:tmpl w:val="E898D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86B4736"/>
    <w:multiLevelType w:val="hybridMultilevel"/>
    <w:tmpl w:val="3C169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8AE7E0A"/>
    <w:multiLevelType w:val="hybridMultilevel"/>
    <w:tmpl w:val="141C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F7"/>
    <w:rsid w:val="005C73C2"/>
    <w:rsid w:val="00801998"/>
    <w:rsid w:val="00A778CB"/>
    <w:rsid w:val="00AF4038"/>
    <w:rsid w:val="00AF68F7"/>
    <w:rsid w:val="00DA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38"/>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AF403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4038"/>
    <w:rPr>
      <w:color w:val="0563C1" w:themeColor="hyperlink"/>
      <w:u w:val="single"/>
    </w:rPr>
  </w:style>
  <w:style w:type="paragraph" w:styleId="a4">
    <w:name w:val="Normal (Web)"/>
    <w:basedOn w:val="a"/>
    <w:uiPriority w:val="99"/>
    <w:unhideWhenUsed/>
    <w:rsid w:val="00AF4038"/>
    <w:pPr>
      <w:spacing w:before="100" w:beforeAutospacing="1" w:after="100" w:afterAutospacing="1"/>
    </w:pPr>
  </w:style>
  <w:style w:type="paragraph" w:styleId="a5">
    <w:name w:val="List Paragraph"/>
    <w:basedOn w:val="a"/>
    <w:uiPriority w:val="34"/>
    <w:qFormat/>
    <w:rsid w:val="00AF4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38"/>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AF403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4038"/>
    <w:rPr>
      <w:color w:val="0563C1" w:themeColor="hyperlink"/>
      <w:u w:val="single"/>
    </w:rPr>
  </w:style>
  <w:style w:type="paragraph" w:styleId="a4">
    <w:name w:val="Normal (Web)"/>
    <w:basedOn w:val="a"/>
    <w:uiPriority w:val="99"/>
    <w:unhideWhenUsed/>
    <w:rsid w:val="00AF4038"/>
    <w:pPr>
      <w:spacing w:before="100" w:beforeAutospacing="1" w:after="100" w:afterAutospacing="1"/>
    </w:pPr>
  </w:style>
  <w:style w:type="paragraph" w:styleId="a5">
    <w:name w:val="List Paragraph"/>
    <w:basedOn w:val="a"/>
    <w:uiPriority w:val="34"/>
    <w:qFormat/>
    <w:rsid w:val="00AF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ma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cenchik.ru/accou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oarmo.ru/blog/nds-pri-osparivanii-kadastrovoy-stoimosti-razyasneniya-i-rekomendacii" TargetMode="External"/><Relationship Id="rId5" Type="http://schemas.openxmlformats.org/officeDocument/2006/relationships/settings" Target="settings.xml"/><Relationship Id="rId10" Type="http://schemas.openxmlformats.org/officeDocument/2006/relationships/hyperlink" Target="https://pkk.rosreestr.ru/" TargetMode="External"/><Relationship Id="rId4" Type="http://schemas.microsoft.com/office/2007/relationships/stylesWithEffects" Target="stylesWithEffects.xml"/><Relationship Id="rId9" Type="http://schemas.openxmlformats.org/officeDocument/2006/relationships/hyperlink" Target="https://yandex.ru/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EF9C-9F59-4614-A9F7-7D98B7DC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Харитончик Татьяна Борисовна</cp:lastModifiedBy>
  <cp:revision>2</cp:revision>
  <dcterms:created xsi:type="dcterms:W3CDTF">2021-01-20T12:00:00Z</dcterms:created>
  <dcterms:modified xsi:type="dcterms:W3CDTF">2021-01-20T12:00:00Z</dcterms:modified>
</cp:coreProperties>
</file>