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EB" w:rsidRDefault="00D97614">
      <w:pPr>
        <w:ind w:right="-1" w:firstLine="708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Доклад  на аппаратную учебу</w:t>
      </w:r>
    </w:p>
    <w:p w:rsidR="00431FEB" w:rsidRDefault="00D97614">
      <w:pPr>
        <w:ind w:right="-1" w:firstLine="708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«Государственная регистрация актов граждан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</w:rPr>
        <w:t>ского состояния»</w:t>
      </w:r>
    </w:p>
    <w:p w:rsidR="00431FEB" w:rsidRDefault="00D97614">
      <w:pPr>
        <w:ind w:right="-1" w:firstLine="708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(31.01.2025)</w:t>
      </w:r>
    </w:p>
    <w:p w:rsidR="00431FEB" w:rsidRDefault="00431FEB">
      <w:pPr>
        <w:ind w:right="-1" w:firstLine="708"/>
        <w:jc w:val="center"/>
        <w:rPr>
          <w:rFonts w:ascii="Times New Roman" w:eastAsia="Times New Roman" w:hAnsi="Times New Roman"/>
          <w:sz w:val="26"/>
          <w:szCs w:val="26"/>
        </w:rPr>
      </w:pPr>
    </w:p>
    <w:p w:rsidR="00431FEB" w:rsidRDefault="00D97614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Государственной регистрации в порядке, установленном </w:t>
      </w:r>
      <w:hyperlink r:id="rId6" w:history="1">
        <w:r>
          <w:rPr>
            <w:rFonts w:ascii="Times New Roman" w:hAnsi="Times New Roman"/>
            <w:sz w:val="26"/>
            <w:szCs w:val="26"/>
            <w:lang w:eastAsia="ru-RU"/>
          </w:rPr>
          <w:t>Федеральным закон от 15 ноября 1997 г. N 143-ФЗ "</w:t>
        </w:r>
        <w:r>
          <w:rPr>
            <w:rFonts w:ascii="Times New Roman" w:hAnsi="Times New Roman"/>
            <w:sz w:val="26"/>
            <w:szCs w:val="26"/>
            <w:lang w:eastAsia="ru-RU"/>
          </w:rPr>
          <w:t>Об актах гражданского состояния" (далее – Федеральный закон)</w:t>
        </w:r>
      </w:hyperlink>
      <w:r>
        <w:rPr>
          <w:rFonts w:ascii="Times New Roman CYR" w:hAnsi="Times New Roman CYR" w:cs="Times New Roman CYR"/>
          <w:sz w:val="26"/>
          <w:szCs w:val="26"/>
          <w:lang w:eastAsia="ru-RU"/>
        </w:rPr>
        <w:t>, подлежат акты гражданского состояния: рождение, заключение брака, расторжение брака, усыновление (удочерение), установление отцовства, перемена имени и смерть.</w:t>
      </w:r>
    </w:p>
    <w:p w:rsidR="00431FEB" w:rsidRDefault="00D97614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bookmarkStart w:id="1" w:name="sub_4014"/>
      <w:r>
        <w:rPr>
          <w:rFonts w:ascii="Times New Roman CYR" w:hAnsi="Times New Roman CYR" w:cs="Times New Roman CYR"/>
          <w:sz w:val="26"/>
          <w:szCs w:val="26"/>
          <w:lang w:eastAsia="ru-RU"/>
        </w:rPr>
        <w:t>Полномочия на государственную р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егистрацию актов гражданского состояния являются полномочиями Российской Федерации, которые передаются для осуществления органам государственной власти субъектов Российской Федерации (с возможностью делегирования органам местного самоуправления муниципальн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ых районов, муниципальных округов, городских округов, городских, сельских поселений), финансирование которых осуществляется за счет субвенций из федерального бюджета.</w:t>
      </w:r>
      <w:bookmarkEnd w:id="1"/>
    </w:p>
    <w:p w:rsidR="00431FEB" w:rsidRDefault="00D97614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>Органы местного самоуправления муниципального района, городских и сельских поселений Конд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инского района наделены полномочиями на государственную регистрацию рождения, заключения брака, расторжения брака, установления отцовства, </w:t>
      </w:r>
      <w:r>
        <w:rPr>
          <w:rFonts w:ascii="Times New Roman" w:hAnsi="Times New Roman"/>
          <w:sz w:val="26"/>
          <w:szCs w:val="26"/>
          <w:lang w:eastAsia="ru-RU"/>
        </w:rPr>
        <w:t>смерти (З</w:t>
      </w:r>
      <w:r>
        <w:rPr>
          <w:rFonts w:ascii="Times New Roman" w:hAnsi="Times New Roman"/>
          <w:bCs/>
          <w:sz w:val="26"/>
          <w:szCs w:val="26"/>
        </w:rPr>
        <w:t>акон Ханты-Мансийского автономного округа – Югры от 30 сентября 2008 г. N 91-оз "О наделении органов местног</w:t>
      </w:r>
      <w:r>
        <w:rPr>
          <w:rFonts w:ascii="Times New Roman" w:hAnsi="Times New Roman"/>
          <w:bCs/>
          <w:sz w:val="26"/>
          <w:szCs w:val="26"/>
        </w:rPr>
        <w:t>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состояния")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431FEB" w:rsidRDefault="00D97614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>Отдел ЗАГС администрации Кондинского района также наделен по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лномочиями на формирование книг государственной регистрации актов гражданского состояния (актовых книг); исправление, изменение, восстановление и аннулирование (по решению суда) записей актов гражданского состояния;</w:t>
      </w:r>
      <w:bookmarkStart w:id="2" w:name="sub_107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выдачу повторных свидетельств о государс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</w:t>
      </w:r>
      <w:bookmarkStart w:id="3" w:name="sub_108"/>
      <w:bookmarkEnd w:id="2"/>
      <w:r>
        <w:rPr>
          <w:rFonts w:ascii="Times New Roman CYR" w:hAnsi="Times New Roman CYR" w:cs="Times New Roman CYR"/>
          <w:sz w:val="26"/>
          <w:szCs w:val="26"/>
          <w:lang w:eastAsia="ru-RU"/>
        </w:rPr>
        <w:t>. Все эти действия осуществляются в федеральной государственной информационной системе «Е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диного государственного реестра записей актов гражданского состояния», оператором которой является ФНС.</w:t>
      </w:r>
      <w:bookmarkEnd w:id="3"/>
    </w:p>
    <w:p w:rsidR="00431FEB" w:rsidRDefault="00D97614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>Орган записи актов гражданского состояния сообщает сведения о государственной регистрации акта гражданского состояния по запросу суда (судьи), органов п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рокуратуры, органов дознания или следствия, органов, осуществляющих оперативно-розыскную деятельность, федерального органа исполнительной власти в сфере внутренних дел (его территориального органа), федерального органа исполнительной власти, осуществляющег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о функции по обеспечению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(его территориального орга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на), Уполномоченного по правам человека в Российской Федерации, Уполномоченного при Президенте Российской Федерации по правам ребенка, уполномоченного по правам человека в субъекте Российской Федерации либо уполномоченного по правам ребенка в субъекте Росс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ийской Федерации.</w:t>
      </w:r>
    </w:p>
    <w:p w:rsidR="00431FEB" w:rsidRDefault="00D97614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Граждане обращаются устно или в письменной форме (в зависимости от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услуги) в орган записи актов гражданского состояния или многофункциональный центр предоставления государственных и муниципальных услуг, на который возложены полномочия в с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оответствии с </w:t>
      </w:r>
      <w:hyperlink w:anchor="sub_422" w:tooltip="#sub_422" w:history="1">
        <w:r>
          <w:rPr>
            <w:rStyle w:val="af9"/>
            <w:rFonts w:ascii="Times New Roman CYR" w:hAnsi="Times New Roman CYR" w:cs="Times New Roman CYR"/>
            <w:color w:val="auto"/>
            <w:sz w:val="26"/>
            <w:szCs w:val="26"/>
            <w:u w:val="none"/>
            <w:lang w:eastAsia="ru-RU"/>
          </w:rPr>
          <w:t>пунктом 2.2 статьи 4</w:t>
        </w:r>
      </w:hyperlink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Федерального закона, либо направляют заявление в форме электронного документа через </w:t>
      </w:r>
      <w:hyperlink r:id="rId7" w:tooltip="http://internet.garant.ru/document/redirect/990941/2770" w:history="1">
        <w:r>
          <w:rPr>
            <w:rStyle w:val="af9"/>
            <w:rFonts w:ascii="Times New Roman CYR" w:hAnsi="Times New Roman CYR" w:cs="Times New Roman CYR"/>
            <w:color w:val="auto"/>
            <w:sz w:val="26"/>
            <w:szCs w:val="26"/>
            <w:u w:val="none"/>
            <w:lang w:eastAsia="ru-RU"/>
          </w:rPr>
          <w:t>единый портал</w:t>
        </w:r>
      </w:hyperlink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государственных и муниципальных услуг.</w:t>
      </w:r>
    </w:p>
    <w:p w:rsidR="00431FEB" w:rsidRDefault="00D97614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>За гос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состояния, взимается государственная пошлина, размер и порядок уплаты (освобождения от уплаты) которой определяются </w:t>
      </w:r>
      <w:hyperlink r:id="rId8" w:tooltip="http://internet.garant.ru/document/redirect/10900200/33326" w:history="1"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законодательством</w:t>
        </w:r>
      </w:hyperlink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Российской Федерации о налогах и сборах. С 1 января 2025 года размер государственной пошлины за гос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ударственную регистрацию актов гражданского состояния изменен.</w:t>
      </w:r>
    </w:p>
    <w:p w:rsidR="00431FEB" w:rsidRDefault="00431FEB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431FEB" w:rsidRDefault="00431FEB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431FEB" w:rsidRDefault="00431FEB">
      <w:pPr>
        <w:widowControl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31FEB" w:rsidRDefault="00431FEB">
      <w:pPr>
        <w:jc w:val="both"/>
        <w:rPr>
          <w:rFonts w:ascii="Times New Roman" w:hAnsi="Times New Roman"/>
          <w:lang w:eastAsia="ru-RU"/>
        </w:rPr>
      </w:pPr>
    </w:p>
    <w:sectPr w:rsidR="0043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EB" w:rsidRDefault="00D97614">
      <w:r>
        <w:separator/>
      </w:r>
    </w:p>
  </w:endnote>
  <w:endnote w:type="continuationSeparator" w:id="0">
    <w:p w:rsidR="00431FEB" w:rsidRDefault="00D9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EB" w:rsidRDefault="00D97614">
      <w:r>
        <w:separator/>
      </w:r>
    </w:p>
  </w:footnote>
  <w:footnote w:type="continuationSeparator" w:id="0">
    <w:p w:rsidR="00431FEB" w:rsidRDefault="00D97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EB"/>
    <w:rsid w:val="00431FEB"/>
    <w:rsid w:val="00D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A421-4055-4AA3-83F8-6110DBC9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333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990941/27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73972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Княжева Светлана Михайловна</cp:lastModifiedBy>
  <cp:revision>8</cp:revision>
  <dcterms:created xsi:type="dcterms:W3CDTF">2023-08-21T03:31:00Z</dcterms:created>
  <dcterms:modified xsi:type="dcterms:W3CDTF">2025-01-23T05:10:00Z</dcterms:modified>
</cp:coreProperties>
</file>