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rStyle w:val="623"/>
          <w:b/>
        </w:rPr>
      </w:pPr>
      <w:r>
        <w:rPr>
          <w:rStyle w:val="623"/>
          <w:b/>
        </w:rPr>
        <w:t xml:space="preserve">Информация</w:t>
      </w:r>
      <w:r>
        <w:rPr>
          <w:rStyle w:val="623"/>
          <w:b/>
        </w:rPr>
      </w:r>
    </w:p>
    <w:p>
      <w:pPr>
        <w:jc w:val="center"/>
        <w:spacing w:line="276" w:lineRule="auto"/>
        <w:rPr>
          <w:rStyle w:val="623"/>
          <w:b/>
        </w:rPr>
      </w:pPr>
      <w:r>
        <w:rPr>
          <w:rStyle w:val="623"/>
          <w:b/>
        </w:rPr>
        <w:t xml:space="preserve"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  <w:r>
        <w:rPr>
          <w:rStyle w:val="623"/>
          <w:b/>
        </w:rPr>
      </w:r>
    </w:p>
    <w:p>
      <w:pPr>
        <w:jc w:val="center"/>
        <w:spacing w:line="276" w:lineRule="auto"/>
        <w:rPr>
          <w:rStyle w:val="623"/>
          <w:b/>
        </w:rPr>
      </w:pPr>
      <w:r>
        <w:rPr>
          <w:b/>
        </w:rPr>
      </w:r>
      <w:r>
        <w:rPr>
          <w:rStyle w:val="623"/>
          <w:b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Региональная служба по тарифам Ханты-Мансийского автономного округа – Югры (далее – РСТ Югры) в соответствии с полномочиями, утвержд</w:t>
      </w:r>
      <w:r>
        <w:rPr>
          <w:rStyle w:val="623"/>
        </w:rPr>
        <w:t xml:space="preserve">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</w:t>
      </w:r>
      <w:r>
        <w:rPr>
          <w:rStyle w:val="623"/>
        </w:rPr>
        <w:t xml:space="preserve">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r>
        <w:rPr>
          <w:rStyle w:val="623"/>
        </w:rPr>
      </w:r>
    </w:p>
    <w:p>
      <w:pPr>
        <w:ind w:firstLine="567"/>
        <w:jc w:val="both"/>
        <w:spacing w:line="276" w:lineRule="auto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</w:t>
      </w:r>
      <w:r>
        <w:t xml:space="preserve">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  <w:r/>
    </w:p>
    <w:p>
      <w:pPr>
        <w:ind w:firstLine="567"/>
        <w:jc w:val="both"/>
        <w:spacing w:line="276" w:lineRule="auto"/>
      </w:pPr>
      <w: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</w:t>
      </w:r>
      <w:r>
        <w:t xml:space="preserve">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r/>
    </w:p>
    <w:p>
      <w:pPr>
        <w:ind w:firstLine="567"/>
        <w:jc w:val="both"/>
        <w:spacing w:line="276" w:lineRule="auto"/>
      </w:pPr>
      <w:r>
        <w:t xml:space="preserve">Одним из принципов тарифного регул</w:t>
      </w:r>
      <w:r>
        <w:t xml:space="preserve">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</w:t>
      </w:r>
      <w:r>
        <w:t xml:space="preserve">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  <w:r/>
    </w:p>
    <w:p>
      <w:pPr>
        <w:ind w:firstLine="567"/>
        <w:jc w:val="both"/>
        <w:spacing w:line="276" w:lineRule="auto"/>
      </w:pPr>
      <w:r>
        <w:t xml:space="preserve">Определение РСТ Юг</w:t>
      </w:r>
      <w:bookmarkStart w:id="21" w:name="_GoBack1"/>
      <w:r/>
      <w:bookmarkEnd w:id="21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  <w:r/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Для информирования граждан на официальном сайте РСТ Югры – www.rst.admhmao.ru размещена информация: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tooltip="http://bptr.eias.admhmao.ru/?reg=RU.5.86" w:history="1">
        <w:r>
          <w:rPr>
            <w:rStyle w:val="621"/>
          </w:rPr>
          <w:t xml:space="preserve">http://bptr.eias.admhmao.ru/?reg=RU.5.86</w:t>
        </w:r>
      </w:hyperlink>
      <w:r>
        <w:rPr>
          <w:rStyle w:val="623"/>
        </w:rPr>
        <w:t xml:space="preserve">);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о принятых РСТ Югры приказах: раздел «Документы» подраздел «Приказы службы» (</w:t>
      </w:r>
      <w:hyperlink r:id="rId9" w:tooltip="https://rst.admhmao.ru/dokumenty/" w:history="1">
        <w:r>
          <w:rPr>
            <w:rStyle w:val="621"/>
          </w:rPr>
          <w:t xml:space="preserve">https://rst.admhmao.ru/dokumenty/</w:t>
        </w:r>
      </w:hyperlink>
      <w:r>
        <w:rPr>
          <w:rStyle w:val="623"/>
        </w:rPr>
        <w:t xml:space="preserve">);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623"/>
        </w:rPr>
        <w:t xml:space="preserve">раздел «Документы» подраздел «Законодательство»</w:t>
      </w:r>
      <w:r>
        <w:t xml:space="preserve"> (</w:t>
      </w:r>
      <w:hyperlink r:id="rId10" w:tooltip="https://rst.admhmao.ru/dokumenty/" w:history="1">
        <w:r>
          <w:rPr>
            <w:rStyle w:val="621"/>
          </w:rPr>
          <w:t xml:space="preserve">https://rst.admhmao.ru/dokumenty/</w:t>
        </w:r>
      </w:hyperlink>
      <w:r>
        <w:t xml:space="preserve">)</w:t>
      </w:r>
      <w:r>
        <w:rPr>
          <w:rStyle w:val="623"/>
        </w:rPr>
        <w:t xml:space="preserve">;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t xml:space="preserve">о расходах и производственных показателях, принятых в тарифах, отраженных в протоколах заседаний правления (</w:t>
      </w:r>
      <w:hyperlink r:id="rId11" w:tooltip="https://rst.admhmao.ru/raskrytie-informatsii/" w:history="1">
        <w:r>
          <w:rPr>
            <w:rStyle w:val="621"/>
          </w:rPr>
          <w:t xml:space="preserve">https://rst.admhmao.ru/raskrytie-informatsii/</w:t>
        </w:r>
      </w:hyperlink>
      <w:r>
        <w:rPr>
          <w:u w:val="single"/>
        </w:rPr>
        <w:t xml:space="preserve">)</w:t>
      </w:r>
      <w:r>
        <w:t xml:space="preserve">.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Повышение тарифов в автономном округе – Югре сопровождается социальной защитой граждан с низким уровнем доходов.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</w:t>
      </w:r>
      <w:r>
        <w:rPr>
          <w:rFonts w:eastAsia="Calibri"/>
        </w:rPr>
        <w:t xml:space="preserve">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 xml:space="preserve"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12" w:tooltip="http://www.depsr.admhmao.ru/" w:history="1">
        <w:r>
          <w:rPr>
            <w:rStyle w:val="621"/>
          </w:rPr>
          <w:t xml:space="preserve">http://www.depsr.admhmao.ru/</w:t>
        </w:r>
      </w:hyperlink>
      <w:r>
        <w:t xml:space="preserve"> </w:t>
      </w:r>
      <w:r>
        <w:rPr>
          <w:rFonts w:eastAsia="Calibri"/>
        </w:rPr>
        <w:t xml:space="preserve"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13" w:tooltip="https://depsr.admhmao.ru/kontakty/" w:history="1">
        <w:r>
          <w:rPr>
            <w:rStyle w:val="621"/>
            <w:rFonts w:eastAsia="Calibri"/>
          </w:rPr>
          <w:t xml:space="preserve">https://depsr.admhmao.ru/kontakty/</w:t>
        </w:r>
      </w:hyperlink>
      <w:r>
        <w:rPr>
          <w:rFonts w:eastAsia="Calibri"/>
        </w:rPr>
        <w:t xml:space="preserve">).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Style w:val="623"/>
        </w:rPr>
      </w:pPr>
      <w:r>
        <w:rPr>
          <w:rStyle w:val="623"/>
        </w:rPr>
        <w:t xml:space="preserve">В соответствии с Жилищным кодексом РФ </w:t>
      </w:r>
      <w:r>
        <w:rPr>
          <w:rStyle w:val="623"/>
          <w:b/>
        </w:rPr>
        <w:t xml:space="preserve">размер платы за коммунальные услуги</w:t>
      </w:r>
      <w:r>
        <w:rPr>
          <w:rStyle w:val="623"/>
        </w:rPr>
        <w:t xml:space="preserve">, включающей плату за холодн</w:t>
      </w:r>
      <w:r>
        <w:rPr>
          <w:rStyle w:val="623"/>
        </w:rPr>
        <w:t xml:space="preserve">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623"/>
          <w:b/>
        </w:rPr>
        <w:t xml:space="preserve">рассчитывается исходя из объема потребляемых коммунальных услуг</w:t>
      </w:r>
      <w:r>
        <w:rPr>
          <w:rStyle w:val="623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623"/>
          <w:b/>
        </w:rPr>
        <w:t xml:space="preserve">и тарифов на коммунальные услуги</w:t>
      </w:r>
      <w:r>
        <w:rPr>
          <w:rStyle w:val="623"/>
        </w:rPr>
        <w:t xml:space="preserve">, утверждаемых органами государственной власти субъектов РФ в порядке, установленном Правительством РФ.</w:t>
      </w:r>
      <w:r>
        <w:rPr>
          <w:rStyle w:val="623"/>
        </w:rPr>
      </w:r>
    </w:p>
    <w:p>
      <w:pPr>
        <w:ind w:firstLine="567"/>
        <w:jc w:val="both"/>
        <w:spacing w:line="276" w:lineRule="auto"/>
        <w:rPr>
          <w:rStyle w:val="623"/>
        </w:rPr>
      </w:pPr>
      <w:r/>
      <w:r>
        <w:rPr>
          <w:rStyle w:val="623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1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0175" cy="1689247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86" type="#_x0000_t86" style="position:absolute;z-index:251666432;o:allowoverlap:true;o:allowincell:true;mso-position-horizontal-relative:text;margin-left:434.45pt;mso-position-horizontal:absolute;mso-position-vertical-relative:text;margin-top:8.74pt;mso-position-vertical:absolute;width:10.25pt;height:133.01pt;mso-wrap-distance-left:9.00pt;mso-wrap-distance-top:0.00pt;mso-wrap-distance-right:9.00pt;mso-wrap-distance-bottom:0.00pt;visibility:visible;" filled="f" strokecolor="#5B9BD5" strokeweight="0.50pt">
                <v:stroke dashstyle="solid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0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 xml:space="preserve">Совокупный платеж за коммунальные услуги</w:t>
                                </w: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 xml:space="preserve">Т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(тариф)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3" name="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5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 xml:space="preserve"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КУ, норматив накопления ТКО)</w:t>
                                </w: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  <w:r/>
                                <w:r/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t xml:space="preserve">)</w:t>
                                </w:r>
                                <w:r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 xml:space="preserve"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(объем потребления коммунального ресурса по приборам учета)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или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0000" style="position:absolute;z-index:251659264;o:allowoverlap:true;o:allowincell:true;mso-position-horizontal-relative:margin;margin-left:3.57pt;mso-position-horizontal:absolute;mso-position-vertical-relative:text;margin-top:5.83pt;mso-position-vertical:absolute;width:427.22pt;height:163.60pt;mso-wrap-distance-left:9.00pt;mso-wrap-distance-top:0.00pt;mso-wrap-distance-right:9.00pt;mso-wrap-distance-bottom:0.00pt;" coordorigin="0,0" coordsize="51,21">
                <v:group id="group 2" o:spid="_x0000_s0000" style="position:absolute;left:0;top:6;width:41;height:7;" coordorigin="0,6" coordsize="41,7">
                  <v:shape id="shape 3" o:spid="_x0000_s3" o:spt="1" type="#_x0000_t1" style="position:absolute;left:0;top:6;width:16;height:7;v-text-anchor:top;visibility:visible;" fillcolor="#E5DFEC" strokecolor="#8064A2" strokeweight="5.00pt"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 xml:space="preserve">Совокупный платеж за коммунальные услуги</w:t>
                          </w: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r>
                        </w:p>
                      </w:txbxContent>
                    </v:textbox>
                  </v:shape>
                  <v:shape id="shape 4" o:spid="_x0000_s4" o:spt="1" type="#_x0000_t1" style="position:absolute;left:28;top:7;width:8;height:6;v-text-anchor:top;visibility:visible;" fillcolor="#F2DBDB" strokecolor="#C0504D" strokeweight="2.50pt"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 xml:space="preserve"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(тариф)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</w:r>
                        </w:p>
                      </w:txbxContent>
                    </v:textbox>
                  </v:shape>
                  <v:shape id="shape 5" o:spid="_x0000_s5" o:spt="11" type="#_x0000_t11" style="position:absolute;left:39;top:9;width:2;height:2;rotation:43;visibility:visible;" fillcolor="#F79646" stroked="f"/>
                  <v:group id="group 6" o:spid="_x0000_s0000" style="position:absolute;left:18;top:10;width:3;height:1;" coordorigin="18,10" coordsize="3,1">
                    <v:shape id="shape 7" o:spid="_x0000_s7" o:spt="1" type="#_x0000_t1" style="position:absolute;left:18;top:10;width:3;height:0;flip:y;visibility:visible;" fillcolor="#F79646" stroked="f"/>
                    <v:shape id="shape 8" o:spid="_x0000_s8" o:spt="1" type="#_x0000_t1" style="position:absolute;left:18;top:11;width:3;height:0;flip:y;visibility:visible;" fillcolor="#F79646" stroked="f"/>
                  </v:group>
                </v:group>
                <v:group id="group 9" o:spid="_x0000_s0000" style="position:absolute;left:27;top:0;width:24;height:21;" coordorigin="27,0" coordsize="24,21">
                  <v:shape id="shape 10" o:spid="_x0000_s10" o:spt="1" type="#_x0000_t1" style="position:absolute;left:27;top:0;width:23;height:5;v-text-anchor:top;visibility:visible;" fillcolor="#C6D9F1" strokecolor="#4F81BD" strokeweight="1.00pt">
                    <v:stroke dashstyle="dash"/>
                    <v:textbox inset="0,0,0,0">
                      <w:txbxContent>
                        <w:p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 xml:space="preserve"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КУ, норматив накопления ТКО)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  <w:p>
                          <w:pPr>
                            <w:jc w:val="center"/>
                          </w:pPr>
                          <w:r>
                            <w:t xml:space="preserve">)</w:t>
                          </w:r>
                          <w:r/>
                        </w:p>
                      </w:txbxContent>
                    </v:textbox>
                  </v:shape>
                  <v:shape id="shape 11" o:spid="_x0000_s11" o:spt="1" type="#_x0000_t1" style="position:absolute;left:27;top:14;width:24;height:6;v-text-anchor:top;visibility:visible;" fillcolor="#C6D9F1" strokecolor="#4F81BD" strokeweight="1.00pt">
                    <v:stroke dashstyle="dash"/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 xml:space="preserve"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(объем потребления коммунального ресурса по приборам учета)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r>
                        </w:p>
                      </w:txbxContent>
                    </v:textbox>
                  </v:shape>
                  <v:shape id="shape 12" o:spid="_x0000_s12" o:spt="1" type="#_x0000_t1" style="position:absolute;left:43;top:8;width:7;height:3;v-text-anchor:top;visibility:visible;" fillcolor="#FFFFFF" strokecolor="#95B3D7" strokeweight="1.00pt">
                    <v:textbox inset="0,0,0,0"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или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r>
                        </w:p>
                      </w:txbxContent>
                    </v:textbox>
                  </v:shape>
                  <v:shape id="shape 13" o:spid="_x0000_s13" o:spt="68" type="#_x0000_t68" style="position:absolute;left:45;top:5;width:1;height:2;visibility:visible;" fillcolor="#4F81BD" strokecolor="#F2F2F2" strokeweight="1.00pt"/>
                  <v:shape id="shape 14" o:spid="_x0000_s14" o:spt="67" type="#_x0000_t67" style="position:absolute;left:45;top:12;width:1;height:2;visibility:visible;" fillcolor="#4F81BD" strokecolor="#F2F2F2" strokeweight="1.00pt"/>
                </v:group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3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5" o:spid="_x0000_s15" o:spt="85" type="#_x0000_t85" style="position:absolute;z-index:251665408;o:allowoverlap:true;o:allowincell:true;mso-position-horizontal-relative:text;margin-left:217.98pt;mso-position-horizontal:absolute;mso-position-vertical-relative:text;margin-top:9.06pt;mso-position-vertical:absolute;width:8.67pt;height:137.65pt;mso-wrap-distance-left:9.00pt;mso-wrap-distance-top:0.00pt;mso-wrap-distance-right:9.00pt;mso-wrap-distance-bottom:0.00pt;visibility:visible;" filled="f" strokecolor="#5B9BD5" strokeweight="0.50pt">
                <v:stroke dashstyle="solid"/>
              </v:shape>
            </w:pict>
          </mc:Fallback>
        </mc:AlternateContent>
      </w:r>
      <w:r/>
    </w:p>
    <w:p>
      <w:pPr>
        <w:tabs>
          <w:tab w:val="right" w:pos="9355" w:leader="none"/>
        </w:tabs>
      </w:pPr>
      <w:r>
        <w:tab/>
      </w:r>
      <w:r/>
    </w:p>
    <w:tbl>
      <w:tblPr>
        <w:tblpPr w:horzAnchor="page" w:tblpX="4993" w:vertAnchor="text" w:tblpY="130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99"/>
      </w:tblGrid>
      <w:tr>
        <w:tblPrEx/>
        <w:trPr>
          <w:trHeight w:val="1053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99" w:type="dxa"/>
            <w:textDirection w:val="lrTb"/>
            <w:noWrap w:val="false"/>
          </w:tcPr>
          <w:p>
            <w:pPr>
              <w:tabs>
                <w:tab w:val="left" w:pos="3795" w:leader="none"/>
              </w:tabs>
              <w:rPr>
                <w:rStyle w:val="624"/>
                <w:rFonts w:ascii="Calibri" w:hAnsi="Calibri" w:eastAsia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4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tabs>
                                      <w:tab w:val="left" w:pos="3795" w:leader="none"/>
                                    </w:tabs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624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 xml:space="preserve">∑</w:t>
                                  </w:r>
                                  <w:r>
                                    <w:rPr>
                                      <w:rStyle w:val="624"/>
                                      <w:b/>
                                      <w:color w:val="1f497d"/>
                                      <w:szCs w:val="28"/>
                                    </w:rPr>
                                    <w:t xml:space="preserve">ку</w:t>
                                  </w:r>
                                  <w:r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r>
                                </w:p>
                                <w:p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6" o:spid="_x0000_s16" o:spt="202" type="#_x0000_t202" style="position:absolute;z-index:251660288;o:allowoverlap:true;o:allowincell:true;mso-position-horizontal-relative:text;margin-left:5.29pt;mso-position-horizontal:absolute;mso-position-vertical-relative:text;margin-top:32.24pt;mso-position-vertical:absolute;width:28.50pt;height:48.25pt;mso-wrap-distance-left:9.00pt;mso-wrap-distance-top:0.00pt;mso-wrap-distance-right:9.00pt;mso-wrap-distance-bottom:0.00pt;v-text-anchor:top;visibility:visible;" filled="f" stroked="f">
                      <w10:wrap type="square"/>
                      <v:textbox inset="0,0,0,0">
                        <w:txbxContent>
                          <w:p>
                            <w:pPr>
                              <w:jc w:val="center"/>
                              <w:tabs>
                                <w:tab w:val="left" w:pos="3795" w:leader="none"/>
                              </w:tabs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624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 xml:space="preserve">∑</w:t>
                            </w:r>
                            <w:r>
                              <w:rPr>
                                <w:rStyle w:val="624"/>
                                <w:b/>
                                <w:color w:val="1f497d"/>
                                <w:szCs w:val="28"/>
                              </w:rPr>
                              <w:t xml:space="preserve">ку</w:t>
                            </w:r>
                            <w:r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624"/>
                <w:rFonts w:ascii="Calibri" w:hAnsi="Calibri" w:eastAsia="Calibri"/>
                <w:i w:val="0"/>
                <w:sz w:val="56"/>
                <w:szCs w:val="56"/>
                <w:lang w:eastAsia="en-US"/>
              </w:rPr>
            </w:r>
          </w:p>
        </w:tc>
      </w:tr>
    </w:tbl>
    <w:p>
      <w:pPr>
        <w:tabs>
          <w:tab w:val="left" w:pos="3795" w:leader="none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sz w:val="22"/>
          <w:szCs w:val="22"/>
          <w:lang w:eastAsia="en-US"/>
        </w:rPr>
      </w:r>
    </w:p>
    <w:p>
      <w:pPr>
        <w:tabs>
          <w:tab w:val="left" w:pos="3795" w:leader="none"/>
        </w:tabs>
        <w:rPr>
          <w:b/>
        </w:rPr>
      </w:pPr>
      <w:r>
        <w:rPr>
          <w:b/>
        </w:rPr>
        <w:tab/>
      </w:r>
      <w:r>
        <w:rPr>
          <w:b/>
        </w:rPr>
      </w:r>
    </w:p>
    <w:p>
      <w:pPr>
        <w:tabs>
          <w:tab w:val="left" w:pos="3795" w:leader="none"/>
        </w:tabs>
        <w:rPr>
          <w:b/>
        </w:rPr>
      </w:pPr>
      <w:r>
        <w:rPr>
          <w:b/>
        </w:rPr>
      </w:r>
      <w:r>
        <w:rPr>
          <w:b/>
        </w:rPr>
      </w:r>
    </w:p>
    <w:p>
      <w:pPr>
        <w:tabs>
          <w:tab w:val="left" w:pos="3795" w:leader="none"/>
        </w:tabs>
        <w:rPr>
          <w:b/>
        </w:rPr>
      </w:pPr>
      <w:r>
        <w:rPr>
          <w:b/>
        </w:rPr>
      </w:r>
      <w:r>
        <w:rPr>
          <w:b/>
        </w:rPr>
      </w:r>
    </w:p>
    <w:p>
      <w:pPr>
        <w:ind w:firstLine="567"/>
        <w:jc w:val="both"/>
        <w:spacing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>
        <w:rPr>
          <w:color w:val="ff0000"/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</w:pPr>
      <w:r/>
      <w:r/>
    </w:p>
    <w:p>
      <w:pPr>
        <w:ind w:firstLine="567"/>
        <w:jc w:val="both"/>
        <w:spacing w:line="276" w:lineRule="auto"/>
      </w:pPr>
      <w:r/>
      <w:r/>
    </w:p>
    <w:p>
      <w:pPr>
        <w:ind w:firstLine="567"/>
        <w:jc w:val="both"/>
        <w:spacing w:line="276" w:lineRule="auto"/>
      </w:pPr>
      <w:r>
        <w:t xml:space="preserve">Информационный инструмент «Калькулят</w:t>
      </w:r>
      <w:r>
        <w:t xml:space="preserve">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tooltip="http://eias.fas.gov.ru/calc_ku/map/" w:history="1">
        <w:r>
          <w:rPr>
            <w:rStyle w:val="621"/>
          </w:rPr>
          <w:t xml:space="preserve">http://eias.fas.gov.ru/calc_ku/map/</w:t>
        </w:r>
      </w:hyperlink>
      <w:r>
        <w:t xml:space="preserve">).</w:t>
      </w:r>
      <w:r/>
    </w:p>
    <w:p>
      <w:pPr>
        <w:ind w:firstLine="567"/>
        <w:jc w:val="both"/>
        <w:spacing w:line="276" w:lineRule="auto"/>
      </w:pPr>
      <w:r>
        <w:t xml:space="preserve"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  <w:r/>
    </w:p>
    <w:p>
      <w:pPr>
        <w:ind w:firstLine="567"/>
        <w:jc w:val="both"/>
        <w:spacing w:line="276" w:lineRule="auto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 xml:space="preserve">c</w:t>
      </w:r>
      <w:r>
        <w:rPr>
          <w:lang w:eastAsia="en-US"/>
        </w:rPr>
        <w:t xml:space="preserve"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 xml:space="preserve"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 xml:space="preserve"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15" w:tooltip="https://admhmao.ru/dokumenty/pravovye-akty-gubernatora/postanovleniya/9559393/" w:history="1">
        <w:r>
          <w:rPr>
            <w:rStyle w:val="621"/>
          </w:rPr>
          <w:t xml:space="preserve"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</w:t>
      </w:r>
      <w:r>
        <w:rPr>
          <w:rFonts w:eastAsia="Calibri"/>
          <w:lang w:eastAsia="en-US"/>
        </w:rPr>
        <w:t xml:space="preserve">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  <w:r/>
    </w:p>
    <w:p>
      <w:pPr>
        <w:ind w:firstLine="567"/>
        <w:jc w:val="both"/>
        <w:spacing w:line="276" w:lineRule="auto"/>
        <w:rPr>
          <w:rFonts w:eastAsia="Calibri"/>
          <w:bCs/>
        </w:rPr>
      </w:pPr>
      <w:r>
        <w:rPr>
          <w:rFonts w:eastAsia="Calibri"/>
          <w:bCs/>
          <w:lang w:eastAsia="en-US"/>
        </w:rPr>
        <w:t xml:space="preserve">На 2024 год распоряжением Правительства Российской Федерации от 10.11.2023 № 3147-р утверждены:</w:t>
      </w:r>
      <w:r>
        <w:rPr>
          <w:rFonts w:eastAsia="Calibri"/>
          <w:bCs/>
        </w:rPr>
      </w:r>
    </w:p>
    <w:p>
      <w:pPr>
        <w:ind w:firstLine="567"/>
        <w:jc w:val="both"/>
        <w:spacing w:line="276" w:lineRule="auto"/>
        <w:rPr>
          <w:rFonts w:eastAsia="Calibri"/>
          <w:bCs/>
        </w:rPr>
      </w:pPr>
      <w:r>
        <w:rPr>
          <w:rFonts w:eastAsia="Calibri"/>
          <w:bCs/>
          <w:lang w:eastAsia="en-US"/>
        </w:rPr>
        <w:t xml:space="preserve"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  <w:r>
        <w:rPr>
          <w:rFonts w:eastAsia="Calibri"/>
          <w:bCs/>
        </w:rPr>
      </w:r>
    </w:p>
    <w:p>
      <w:pPr>
        <w:ind w:firstLine="567"/>
        <w:jc w:val="both"/>
        <w:spacing w:line="276" w:lineRule="auto"/>
        <w:rPr>
          <w:rFonts w:eastAsia="Calibri"/>
          <w:bCs/>
        </w:rPr>
      </w:pPr>
      <w:r>
        <w:rPr>
          <w:rFonts w:eastAsia="Calibri"/>
          <w:bCs/>
          <w:lang w:eastAsia="en-US"/>
        </w:rPr>
        <w:t xml:space="preserve"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  <w:r>
        <w:rPr>
          <w:rFonts w:eastAsia="Calibri"/>
          <w:bCs/>
        </w:rPr>
      </w:r>
    </w:p>
    <w:p>
      <w:pPr>
        <w:ind w:firstLine="567"/>
        <w:jc w:val="both"/>
        <w:spacing w:line="276" w:lineRule="auto"/>
        <w:rPr>
          <w:rFonts w:eastAsia="Calibri"/>
          <w:bCs/>
        </w:rPr>
      </w:pPr>
      <w:r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</w:t>
      </w:r>
      <w:r>
        <w:rPr>
          <w:rFonts w:eastAsia="Calibri"/>
          <w:bCs/>
          <w:lang w:eastAsia="en-US"/>
        </w:rPr>
        <w:t xml:space="preserve">в муниципальных образованиях автономного округа (далее – предельные индексы) с 1 июля 2024 года не должен превышать 11,6 % (к декабрю 2023 года).</w:t>
      </w:r>
      <w:r>
        <w:rPr>
          <w:rFonts w:eastAsia="Calibri"/>
          <w:bCs/>
        </w:rPr>
      </w:r>
    </w:p>
    <w:p>
      <w:pPr>
        <w:ind w:firstLine="567"/>
        <w:jc w:val="both"/>
        <w:spacing w:line="276" w:lineRule="auto"/>
      </w:pPr>
      <w:r>
        <w:t xml:space="preserve"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</w:t>
      </w:r>
      <w:r>
        <w:t xml:space="preserve">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  <w:r/>
    </w:p>
    <w:p>
      <w:pPr>
        <w:ind w:firstLine="567"/>
        <w:jc w:val="both"/>
        <w:spacing w:line="276" w:lineRule="auto"/>
      </w:pPr>
      <w:r>
        <w:t xml:space="preserve">Для остальных граждан рост платы с 1 июля 2024 года не превысит 9,6%.</w:t>
      </w:r>
      <w:r/>
    </w:p>
    <w:p>
      <w:pPr>
        <w:ind w:firstLine="567"/>
        <w:jc w:val="both"/>
        <w:spacing w:line="276" w:lineRule="auto"/>
        <w:rPr>
          <w:rStyle w:val="623"/>
        </w:rPr>
      </w:pPr>
      <w:r>
        <w:t xml:space="preserve"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  <w:r>
        <w:rPr>
          <w:rStyle w:val="623"/>
        </w:rPr>
      </w:r>
    </w:p>
    <w:p>
      <w:pPr>
        <w:ind w:firstLine="567"/>
        <w:jc w:val="both"/>
        <w:spacing w:line="276" w:lineRule="auto"/>
      </w:pPr>
      <w:r>
        <w:rPr>
          <w:rStyle w:val="623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623"/>
          <w:b/>
        </w:rPr>
        <w:t xml:space="preserve">с 1 июля 2024 года</w:t>
      </w:r>
      <w:r>
        <w:rPr>
          <w:rStyle w:val="623"/>
        </w:rPr>
        <w:t xml:space="preserve">, новые значения в платёжных документах мы увидим </w:t>
      </w:r>
      <w:r>
        <w:rPr>
          <w:rStyle w:val="623"/>
          <w:b/>
        </w:rPr>
        <w:t xml:space="preserve">в августе</w:t>
      </w:r>
      <w:r>
        <w:rPr>
          <w:rStyle w:val="623"/>
        </w:rPr>
        <w:t xml:space="preserve">.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а) найти используемый в расчете объем коммунальной услуги: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если плата за услугу расс</w:t>
      </w:r>
      <w:r>
        <w:rPr>
          <w:rFonts w:eastAsia="Calibri"/>
        </w:rPr>
        <w:t xml:space="preserve">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декабря 2023 года;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  <w:r/>
    </w:p>
    <w:p>
      <w:pPr>
        <w:ind w:firstLine="567"/>
        <w:jc w:val="both"/>
        <w:spacing w:line="276" w:lineRule="auto"/>
      </w:pPr>
      <w:r>
        <w:rPr>
          <w:rFonts w:eastAsia="Calibri"/>
        </w:rPr>
        <w:t xml:space="preserve"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  <w:r/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3) рассчи</w:t>
      </w:r>
      <w:r>
        <w:rPr>
          <w:rFonts w:eastAsia="Calibri"/>
        </w:rPr>
        <w:t xml:space="preserve">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lang w:val="en-US"/>
        </w:rPr>
        <w:t xml:space="preserve"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</w:t>
      </w:r>
      <w:r>
        <w:rPr>
          <w:rFonts w:eastAsia="Calibri"/>
        </w:rPr>
        <w:t xml:space="preserve">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  <w:r>
        <w:rPr>
          <w:rFonts w:eastAsia="Calibri"/>
        </w:rPr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</w:r>
      <w:r>
        <w:rPr>
          <w:rFonts w:eastAsia="Calibri"/>
          <w:b/>
        </w:rPr>
      </w:r>
    </w:p>
    <w:p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</w:r>
      <w:r>
        <w:rPr>
          <w:rFonts w:eastAsia="Calibri"/>
          <w:b/>
          <w:bCs/>
        </w:rPr>
      </w:r>
    </w:p>
    <w:p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 xml:space="preserve">Пример расчета изменения размера платы</w:t>
      </w:r>
      <w:r>
        <w:rPr>
          <w:rFonts w:eastAsia="Calibri"/>
          <w:b/>
          <w:bCs/>
        </w:rPr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  <w:r>
        <w:rPr>
          <w:rFonts w:eastAsia="Calibri"/>
          <w:b/>
        </w:rPr>
      </w:r>
    </w:p>
    <w:p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 случае, когда выбран способ управления управляющей организацией, ТСЖ, жилищным или иным специализированным кооперативом</w:t>
      </w:r>
      <w:r>
        <w:rPr>
          <w:rFonts w:eastAsia="Calibri"/>
          <w:b/>
        </w:rPr>
      </w:r>
    </w:p>
    <w:p>
      <w:pPr>
        <w:tabs>
          <w:tab w:val="left" w:pos="8100" w:leader="none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</w:r>
      <w:r>
        <w:rPr>
          <w:rFonts w:eastAsia="Calibri"/>
          <w:b/>
          <w:bCs/>
          <w:sz w:val="20"/>
          <w:szCs w:val="20"/>
          <w:lang w:eastAsia="en-US"/>
        </w:rPr>
      </w:r>
    </w:p>
    <w:p>
      <w:pPr>
        <w:tabs>
          <w:tab w:val="left" w:pos="8100" w:leader="none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</w:r>
      <w:r>
        <w:rPr>
          <w:rFonts w:eastAsia="Calibri"/>
          <w:b/>
          <w:bCs/>
          <w:sz w:val="20"/>
          <w:szCs w:val="20"/>
          <w:lang w:eastAsia="en-US"/>
        </w:rPr>
      </w:r>
    </w:p>
    <w:p>
      <w:pPr>
        <w:tabs>
          <w:tab w:val="left" w:pos="8100" w:leader="none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 xml:space="preserve"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  <w:r>
        <w:rPr>
          <w:rFonts w:eastAsia="Calibri"/>
          <w:b/>
          <w:bCs/>
          <w:sz w:val="20"/>
          <w:szCs w:val="20"/>
          <w:lang w:eastAsia="en-US"/>
        </w:rPr>
      </w:r>
    </w:p>
    <w:p>
      <w:r>
        <w:rPr>
          <w:rFonts w:eastAsia="Calibri"/>
          <w:sz w:val="20"/>
          <w:szCs w:val="18"/>
          <w:lang w:eastAsia="en-US"/>
        </w:rPr>
        <w:t xml:space="preserve">ФИО плательщика: Иванов Иван Иванович</w:t>
      </w:r>
      <w:r/>
    </w:p>
    <w:p>
      <w:r>
        <w:rPr>
          <w:rFonts w:eastAsia="Calibri"/>
          <w:sz w:val="20"/>
          <w:szCs w:val="18"/>
          <w:lang w:eastAsia="en-US"/>
        </w:rPr>
        <w:t xml:space="preserve"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 xml:space="preserve">2</w:t>
      </w:r>
      <w:r>
        <w:rPr>
          <w:rFonts w:eastAsia="Calibri"/>
          <w:sz w:val="20"/>
          <w:szCs w:val="18"/>
          <w:lang w:eastAsia="en-US"/>
        </w:rPr>
        <w:t xml:space="preserve"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 xml:space="preserve"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  <w:r/>
    </w:p>
    <w:p>
      <w:pPr>
        <w:rPr>
          <w:rFonts w:eastAsia="Calibri"/>
          <w:b/>
          <w:bCs/>
          <w:szCs w:val="20"/>
          <w:lang w:eastAsia="en-US"/>
        </w:rPr>
      </w:pPr>
      <w:r>
        <w:rPr>
          <w:color w:val="ff0000"/>
          <w:sz w:val="20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5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88" type="#_x0000_t88" style="position:absolute;z-index:251667456;o:allowoverlap:true;o:allowincell:true;mso-position-horizontal-relative:text;margin-left:370.90pt;mso-position-horizontal:absolute;mso-position-vertical-relative:text;margin-top:64.52pt;mso-position-vertical:absolute;width:28.39pt;height:183.23pt;mso-wrap-distance-left:9.00pt;mso-wrap-distance-top:0.00pt;mso-wrap-distance-right:9.00pt;mso-wrap-distance-bottom:0.00pt;v-text-anchor:middle;visibility:visible;" filled="f" strokecolor="#5B9BD5" strokeweight="0.50pt">
                <v:stroke dashstyle="solid"/>
                <v:textbox inset="0,0,0,0"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 xml:space="preserve">Расчет размера платы за жилищные и коммунальные услуги</w:t>
      </w:r>
      <w:r>
        <w:rPr>
          <w:rFonts w:eastAsia="Calibri"/>
          <w:b/>
          <w:bCs/>
          <w:szCs w:val="20"/>
          <w:lang w:eastAsia="en-US"/>
        </w:rPr>
      </w:r>
    </w:p>
    <w:tbl>
      <w:tblPr>
        <w:tblpPr w:horzAnchor="text" w:tblpXSpec="left" w:vertAnchor="text" w:tblpY="1" w:leftFromText="180" w:topFromText="0" w:rightFromText="180" w:bottomFromText="0"/>
        <w:tblW w:w="73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>
        <w:tblPrEx/>
        <w:trPr>
          <w:trHeight w:val="416"/>
        </w:trPr>
        <w:tc>
          <w:tcPr>
            <w:shd w:val="clear" w:color="ffffff" w:fill="ffffff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Вид платы*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0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Ед.изм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Объем*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979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Тариф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Итого*, руб.</w:t>
            </w:r>
            <w:r>
              <w:rPr>
                <w:color w:val="000000"/>
              </w:rPr>
            </w:r>
          </w:p>
        </w:tc>
      </w:tr>
      <w:tr>
        <w:tblPrEx/>
        <w:trPr>
          <w:trHeight w:val="267"/>
        </w:trPr>
        <w:tc>
          <w:tcPr>
            <w:shd w:val="clear" w:color="ffffff" w:fill="ffffff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тек. ремонт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м2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34,33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1 854,09</w:t>
            </w:r>
            <w:r>
              <w:rPr>
                <w:color w:val="000000"/>
              </w:rPr>
            </w:r>
          </w:p>
        </w:tc>
      </w:tr>
      <w:tr>
        <w:tblPrEx/>
        <w:trPr>
          <w:trHeight w:val="300"/>
        </w:trPr>
        <w:tc>
          <w:tcPr>
            <w:shd w:val="clear" w:color="ffffff" w:fill="ffffff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м2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15,25</w:t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823,5</w:t>
            </w:r>
            <w:r>
              <w:rPr>
                <w:color w:val="000000"/>
              </w:rPr>
            </w:r>
          </w:p>
        </w:tc>
      </w:tr>
      <w:tr>
        <w:tblPrEx/>
        <w:trPr>
          <w:trHeight w:val="261"/>
        </w:trPr>
        <w:tc>
          <w:tcPr>
            <w:shd w:val="clear" w:color="ffffff" w:fill="deeaf6" w:themeFill="accent1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r>
              <w:rPr>
                <w:color w:val="000000"/>
                <w:sz w:val="20"/>
                <w:szCs w:val="20"/>
              </w:rPr>
              <w:t xml:space="preserve">водоснабжение  (</w:t>
            </w:r>
            <w:r>
              <w:rPr>
                <w:color w:val="000000"/>
                <w:sz w:val="20"/>
                <w:szCs w:val="20"/>
              </w:rPr>
              <w:t xml:space="preserve">ОДН)**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м3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</w:tr>
      <w:tr>
        <w:tblPrEx/>
        <w:trPr>
          <w:trHeight w:val="314"/>
        </w:trPr>
        <w:tc>
          <w:tcPr>
            <w:shd w:val="clear" w:color="ffffff" w:fill="deeaf6" w:themeFill="accent1" w:themeFillTint="33"/>
            <w:tcW w:w="3551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тепловая энергия на подогрев ХВС (ОДН)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Гкал.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0,0295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1 893,76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55,87</w:t>
            </w:r>
            <w:r>
              <w:rPr>
                <w:color w:val="000000"/>
              </w:rPr>
            </w:r>
          </w:p>
        </w:tc>
      </w:tr>
      <w:tr>
        <w:tblPrEx/>
        <w:trPr>
          <w:trHeight w:val="214"/>
        </w:trPr>
        <w:tc>
          <w:tcPr>
            <w:shd w:val="clear" w:color="ffffff" w:fill="deeaf6" w:themeFill="accent1" w:themeFillTint="33"/>
            <w:tcW w:w="3551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холодная вода для ГВС (ОДН)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м3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0,50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33,94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16,97</w:t>
            </w:r>
            <w:r>
              <w:rPr>
                <w:color w:val="000000"/>
              </w:rPr>
            </w:r>
          </w:p>
        </w:tc>
      </w:tr>
      <w:tr>
        <w:tblPrEx/>
        <w:trPr>
          <w:trHeight w:val="247"/>
        </w:trPr>
        <w:tc>
          <w:tcPr>
            <w:shd w:val="clear" w:color="ffffff" w:fill="deeaf6" w:themeFill="accent1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r>
              <w:rPr>
                <w:color w:val="000000"/>
                <w:sz w:val="20"/>
                <w:szCs w:val="20"/>
              </w:rPr>
              <w:t xml:space="preserve">водоснабжение  (</w:t>
            </w:r>
            <w:r>
              <w:rPr>
                <w:color w:val="000000"/>
                <w:sz w:val="20"/>
                <w:szCs w:val="20"/>
              </w:rPr>
              <w:t xml:space="preserve">ОДН)**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м3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0,50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67,87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33,94</w:t>
            </w:r>
            <w:r>
              <w:rPr>
                <w:color w:val="000000"/>
              </w:rPr>
            </w:r>
          </w:p>
        </w:tc>
      </w:tr>
      <w:tr>
        <w:tblPrEx/>
        <w:trPr>
          <w:trHeight w:val="166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9,00</w:t>
            </w:r>
            <w:r/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67,87</w:t>
            </w:r>
            <w:r/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610,83</w:t>
            </w:r>
            <w:r/>
          </w:p>
        </w:tc>
      </w:tr>
      <w:tr>
        <w:tblPrEx/>
        <w:trPr>
          <w:trHeight w:val="210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Электроснабжение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кВтч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3,45</w:t>
            </w:r>
            <w:r/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1 035,00</w:t>
            </w:r>
            <w:r/>
          </w:p>
        </w:tc>
      </w:tr>
      <w:tr>
        <w:tblPrEx/>
        <w:trPr>
          <w:trHeight w:val="273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Газоснабжение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20,68</w:t>
            </w:r>
            <w:r/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7,24</w:t>
            </w:r>
            <w:r/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149,77</w:t>
            </w:r>
            <w:r/>
          </w:p>
        </w:tc>
      </w:tr>
      <w:tr>
        <w:tblPrEx/>
        <w:trPr>
          <w:trHeight w:val="253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r>
              <w:rPr>
                <w:b/>
                <w:sz w:val="20"/>
                <w:szCs w:val="20"/>
              </w:rPr>
              <w:t xml:space="preserve">т.ч</w:t>
            </w:r>
            <w:r>
              <w:rPr>
                <w:b/>
                <w:sz w:val="20"/>
                <w:szCs w:val="20"/>
              </w:rPr>
              <w:t xml:space="preserve">.: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</w:rPr>
            </w:r>
          </w:p>
        </w:tc>
      </w:tr>
      <w:tr>
        <w:tblPrEx/>
        <w:trPr>
          <w:trHeight w:val="273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тепловая энергия на подогрев ХВС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Гкал.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0,354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1 893,76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670,39</w:t>
            </w:r>
            <w:r>
              <w:rPr>
                <w:color w:val="ff0000"/>
              </w:rPr>
            </w:r>
          </w:p>
        </w:tc>
      </w:tr>
      <w:tr>
        <w:tblPrEx/>
        <w:trPr>
          <w:trHeight w:val="300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холодная вода для ГВС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3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67,87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203,61</w:t>
            </w:r>
            <w:r>
              <w:rPr>
                <w:color w:val="ff0000"/>
              </w:rPr>
            </w:r>
          </w:p>
        </w:tc>
      </w:tr>
      <w:tr>
        <w:tblPrEx/>
        <w:trPr>
          <w:trHeight w:val="247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Водоотведение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79,21</w:t>
            </w:r>
            <w:r/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950,52</w:t>
            </w:r>
            <w:r/>
          </w:p>
        </w:tc>
      </w:tr>
      <w:tr>
        <w:tblPrEx/>
        <w:trPr>
          <w:trHeight w:val="273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Отопление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Гкал.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1,377</w:t>
            </w:r>
            <w:r/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1 893,76</w:t>
            </w:r>
            <w:r/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2607,71</w:t>
            </w:r>
            <w:r/>
          </w:p>
        </w:tc>
      </w:tr>
      <w:tr>
        <w:tblPrEx/>
        <w:trPr>
          <w:trHeight w:val="132"/>
        </w:trPr>
        <w:tc>
          <w:tcPr>
            <w:shd w:val="clear" w:color="ffffff" w:fill="d9e2f3" w:themeFill="accent5" w:themeFillTint="33"/>
            <w:tcW w:w="3551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Обращение с ТКО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W w:w="8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0,399</w:t>
            </w:r>
            <w:r/>
          </w:p>
        </w:tc>
        <w:tc>
          <w:tcPr>
            <w:shd w:val="clear" w:color="000000" w:fill="dce6f1"/>
            <w:tcW w:w="97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832,19</w:t>
            </w:r>
            <w:r/>
          </w:p>
        </w:tc>
        <w:tc>
          <w:tcPr>
            <w:shd w:val="clear" w:color="000000" w:fill="dce6f1"/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332,04</w:t>
            </w:r>
            <w:r/>
          </w:p>
        </w:tc>
      </w:tr>
      <w:tr>
        <w:tblPrEx/>
        <w:trPr>
          <w:trHeight w:val="175"/>
        </w:trPr>
        <w:tc>
          <w:tcPr>
            <w:shd w:val="clear" w:color="ffffff" w:fill="ffffff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Домофон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71,81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71,81</w:t>
            </w:r>
            <w:r>
              <w:rPr>
                <w:color w:val="000000"/>
              </w:rPr>
            </w:r>
          </w:p>
        </w:tc>
      </w:tr>
      <w:tr>
        <w:tblPrEx/>
        <w:trPr>
          <w:trHeight w:val="219"/>
        </w:trPr>
        <w:tc>
          <w:tcPr>
            <w:shd w:val="clear" w:color="ffffff" w:fill="ffffff"/>
            <w:tcW w:w="35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расходы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97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</w:tr>
      <w:tr>
        <w:tblPrEx/>
        <w:trPr>
          <w:trHeight w:val="262"/>
        </w:trPr>
        <w:tc>
          <w:tcPr>
            <w:shd w:val="clear" w:color="ffffff" w:fill="ffffff"/>
            <w:tcW w:w="3551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979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9 416,04</w:t>
            </w:r>
            <w:r>
              <w:rPr>
                <w:color w:val="000000"/>
              </w:rPr>
            </w:r>
          </w:p>
        </w:tc>
      </w:tr>
    </w:tbl>
    <w:p>
      <w:pPr>
        <w:ind w:firstLine="56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  <w:r>
        <w:rPr>
          <w:rFonts w:eastAsia="Calibri"/>
          <w:b/>
          <w:sz w:val="26"/>
          <w:szCs w:val="26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r/>
      <w:r/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6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 xml:space="preserve"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8" o:spid="_x0000_s18" o:spt="1" type="#_x0000_t1" style="position:absolute;z-index:251662336;o:allowoverlap:true;o:allowincell:true;mso-position-horizontal-relative:margin;margin-left:406.87pt;mso-position-horizontal:absolute;mso-position-vertical-relative:text;margin-top:15.48pt;mso-position-vertical:absolute;width:61.60pt;height:82.45pt;mso-wrap-distance-left:9.00pt;mso-wrap-distance-top:0.00pt;mso-wrap-distance-right:9.00pt;mso-wrap-distance-bottom:0.00pt;v-text-anchor:top;visibility:visible;" fillcolor="#F2DBDB" strokecolor="#C00000" strokeweight="1.00pt">
                <v:stroke dashstyle="longdash"/>
                <v:textbox inset="0,0,0,0"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 xml:space="preserve"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  <w:r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shd w:val="nil"/>
        <w:rPr>
          <w:rFonts w:eastAsia="Calibri"/>
          <w:b/>
          <w:bCs/>
          <w:lang w:eastAsia="en-US"/>
        </w:rPr>
      </w:pPr>
      <w:r>
        <w:rPr>
          <w:rFonts w:eastAsia="Calibri"/>
          <w:b/>
          <w:highlight w:val="none"/>
          <w:lang w:eastAsia="en-US"/>
        </w:rPr>
        <w:br w:type="page" w:clear="all"/>
      </w:r>
      <w:r>
        <w:rPr>
          <w:rFonts w:eastAsia="Calibri"/>
          <w:b/>
          <w:highlight w:val="none"/>
          <w:lang w:eastAsia="en-US"/>
        </w:rPr>
      </w:r>
    </w:p>
    <w:p>
      <w:pPr>
        <w:jc w:val="center"/>
        <w:rPr>
          <w:rFonts w:eastAsia="Calibri"/>
          <w:b/>
          <w:bCs/>
          <w:highlight w:val="none"/>
          <w:lang w:eastAsia="en-US"/>
        </w:rPr>
      </w:pPr>
      <w:r>
        <w:rPr>
          <w:rFonts w:eastAsia="Calibri"/>
          <w:b/>
          <w:lang w:eastAsia="en-US"/>
        </w:rPr>
        <w:t xml:space="preserve">Расчет платы</w:t>
      </w:r>
      <w:r>
        <w:rPr>
          <w:rFonts w:eastAsia="Calibri"/>
          <w:b/>
          <w:bCs/>
          <w:highlight w:val="none"/>
          <w:lang w:eastAsia="en-US"/>
        </w:rPr>
      </w:r>
    </w:p>
    <w:p>
      <w:pPr>
        <w:pStyle w:val="622"/>
        <w:jc w:val="center"/>
      </w:pPr>
      <w:r>
        <w:rPr>
          <w:rFonts w:eastAsia="Calibri"/>
          <w:b/>
          <w:lang w:eastAsia="en-US"/>
        </w:rPr>
        <w:t xml:space="preserve">за июль 2024 года в сопоставимых условиях</w:t>
      </w:r>
      <w:r/>
    </w:p>
    <w:p>
      <w:pPr>
        <w:pStyle w:val="622"/>
        <w:jc w:val="center"/>
      </w:pPr>
      <w:r>
        <w:rPr>
          <w:rFonts w:eastAsia="Calibri"/>
          <w:b/>
          <w:lang w:eastAsia="en-US"/>
        </w:rPr>
        <w:t xml:space="preserve">(объемы декабрь 2023 года, тарифы с 1 июля 2024 года)</w:t>
      </w:r>
      <w:r/>
    </w:p>
    <w:p>
      <w:pPr>
        <w:pStyle w:val="622"/>
        <w:jc w:val="center"/>
      </w:pPr>
      <w:r/>
      <w:r/>
    </w:p>
    <w:p>
      <w:pPr>
        <w:tabs>
          <w:tab w:val="left" w:pos="8100" w:leader="none"/>
        </w:tabs>
      </w:pPr>
      <w:r>
        <w:rPr>
          <w:rFonts w:eastAsia="Calibri"/>
          <w:b/>
          <w:sz w:val="20"/>
          <w:szCs w:val="18"/>
          <w:lang w:eastAsia="en-US"/>
        </w:rPr>
        <w:t xml:space="preserve"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  <w:r/>
    </w:p>
    <w:p>
      <w:r>
        <w:rPr>
          <w:rFonts w:eastAsia="Calibri"/>
          <w:sz w:val="20"/>
          <w:szCs w:val="18"/>
          <w:lang w:eastAsia="en-US"/>
        </w:rPr>
        <w:t xml:space="preserve">ФИО плательщика: Иванов Иван Иванович</w:t>
      </w:r>
      <w:r/>
    </w:p>
    <w:p>
      <w:r>
        <w:rPr>
          <w:rFonts w:eastAsia="Calibri"/>
          <w:sz w:val="20"/>
          <w:szCs w:val="18"/>
          <w:lang w:eastAsia="en-US"/>
        </w:rPr>
        <w:t xml:space="preserve"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 xml:space="preserve">2</w:t>
      </w:r>
      <w:r>
        <w:rPr>
          <w:rFonts w:eastAsia="Calibri"/>
          <w:sz w:val="20"/>
          <w:szCs w:val="18"/>
          <w:lang w:eastAsia="en-US"/>
        </w:rPr>
        <w:t xml:space="preserve"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 xml:space="preserve">2</w: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7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88" type="#_x0000_t88" style="position:absolute;z-index:251664384;o:allowoverlap:true;o:allowincell:true;mso-position-horizontal-relative:text;margin-left:377.00pt;mso-position-horizontal:absolute;mso-position-vertical-relative:text;margin-top:66.71pt;mso-position-vertical:absolute;width:29.87pt;height:189.54pt;mso-wrap-distance-left:9.00pt;mso-wrap-distance-top:0.00pt;mso-wrap-distance-right:9.00pt;mso-wrap-distance-bottom:0.00pt;visibility:visible;" filled="f" strokecolor="#5B9BD5" strokeweight="0.50pt">
                <v:stroke dashstyle="solid"/>
              </v:shape>
            </w:pict>
          </mc:Fallback>
        </mc:AlternateContent>
      </w:r>
      <w:r>
        <w:rPr>
          <w:rFonts w:eastAsia="Calibri"/>
          <w:sz w:val="20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2024 года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20" o:spt="1" type="#_x0000_t1" style="position:absolute;z-index:251663360;o:allowoverlap:true;o:allowincell:true;mso-position-horizontal-relative:margin;margin-left:413.46pt;mso-position-horizontal:absolute;mso-position-vertical-relative:text;margin-top:128.15pt;mso-position-vertical:absolute;width:58.55pt;height:79.91pt;mso-wrap-distance-left:9.00pt;mso-wrap-distance-top:0.00pt;mso-wrap-distance-right:9.00pt;mso-wrap-distance-bottom:0.00pt;v-text-anchor:top;visibility:visible;" fillcolor="#F2DBDB" strokecolor="#C00000" strokeweight="1.00pt">
                <v:stroke dashstyle="longdash"/>
                <v:textbox inset="0,0,0,0"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2024 года</w:t>
                      </w:r>
                      <w:r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 xml:space="preserve">Расчет размера платы за жилищные и коммунальные услуги</w:t>
      </w:r>
      <w:r/>
    </w:p>
    <w:tbl>
      <w:tblPr>
        <w:tblpPr w:horzAnchor="text" w:tblpXSpec="left" w:vertAnchor="text" w:tblpY="1" w:leftFromText="180" w:topFromText="0" w:rightFromText="180" w:bottomFromText="0"/>
        <w:tblW w:w="73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>
        <w:tblPrEx/>
        <w:trPr>
          <w:trHeight w:val="411"/>
        </w:trPr>
        <w:tc>
          <w:tcPr>
            <w:shd w:val="clear" w:color="ffffff" w:fill="ffffff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Вид платы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r>
              <w:rPr>
                <w:color w:val="000000"/>
                <w:sz w:val="20"/>
                <w:szCs w:val="20"/>
              </w:rPr>
              <w:t xml:space="preserve">изм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Объем*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Тариф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Итого*, руб.</w:t>
            </w:r>
            <w:r>
              <w:rPr>
                <w:color w:val="000000"/>
              </w:rPr>
            </w:r>
          </w:p>
        </w:tc>
      </w:tr>
      <w:tr>
        <w:tblPrEx/>
        <w:trPr>
          <w:trHeight w:val="278"/>
        </w:trPr>
        <w:tc>
          <w:tcPr>
            <w:shd w:val="clear" w:color="ffffff" w:fill="ffffff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тек. ремонт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м2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36,81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1987,58</w:t>
            </w:r>
            <w:r>
              <w:rPr>
                <w:color w:val="000000"/>
              </w:rPr>
            </w:r>
          </w:p>
        </w:tc>
      </w:tr>
      <w:tr>
        <w:tblPrEx/>
        <w:trPr>
          <w:trHeight w:val="300"/>
        </w:trPr>
        <w:tc>
          <w:tcPr>
            <w:shd w:val="clear" w:color="ffffff" w:fill="ffffff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м2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16,06</w:t>
            </w:r>
            <w:r>
              <w:rPr>
                <w:color w:val="ff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867,24</w:t>
            </w:r>
            <w:r>
              <w:rPr>
                <w:color w:val="000000"/>
              </w:rPr>
            </w:r>
          </w:p>
        </w:tc>
      </w:tr>
      <w:tr>
        <w:tblPrEx/>
        <w:trPr>
          <w:trHeight w:val="244"/>
        </w:trPr>
        <w:tc>
          <w:tcPr>
            <w:shd w:val="clear" w:color="ffffff" w:fill="deeaf6" w:themeFill="accent1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r>
              <w:rPr>
                <w:color w:val="000000"/>
                <w:sz w:val="20"/>
                <w:szCs w:val="20"/>
              </w:rPr>
              <w:t xml:space="preserve">водоснабжение  (</w:t>
            </w:r>
            <w:r>
              <w:rPr>
                <w:color w:val="000000"/>
                <w:sz w:val="20"/>
                <w:szCs w:val="20"/>
              </w:rPr>
              <w:t xml:space="preserve">ОДН)**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м3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</w:tr>
      <w:tr>
        <w:tblPrEx/>
        <w:trPr>
          <w:trHeight w:val="310"/>
        </w:trPr>
        <w:tc>
          <w:tcPr>
            <w:shd w:val="clear" w:color="ffffff" w:fill="deeaf6" w:themeFill="accent1" w:themeFillTint="33"/>
            <w:tcW w:w="346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тепловая энергия на подогрев ХВС (ОДН)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Гкал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0,0295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2075,56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61,23</w:t>
            </w:r>
            <w:r>
              <w:rPr>
                <w:color w:val="000000"/>
              </w:rPr>
            </w:r>
          </w:p>
        </w:tc>
      </w:tr>
      <w:tr>
        <w:tblPrEx/>
        <w:trPr>
          <w:trHeight w:val="238"/>
        </w:trPr>
        <w:tc>
          <w:tcPr>
            <w:shd w:val="clear" w:color="ffffff" w:fill="deeaf6" w:themeFill="accent1" w:themeFillTint="33"/>
            <w:tcW w:w="346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холодная вода для ГВС (ОДН)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м3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0,50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37,19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18,60</w:t>
            </w:r>
            <w:r>
              <w:rPr>
                <w:color w:val="000000"/>
              </w:rPr>
            </w:r>
          </w:p>
        </w:tc>
      </w:tr>
      <w:tr>
        <w:tblPrEx/>
        <w:trPr>
          <w:trHeight w:val="322"/>
        </w:trPr>
        <w:tc>
          <w:tcPr>
            <w:shd w:val="clear" w:color="ffffff" w:fill="deeaf6" w:themeFill="accent1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r>
              <w:rPr>
                <w:color w:val="000000"/>
                <w:sz w:val="20"/>
                <w:szCs w:val="20"/>
              </w:rPr>
              <w:t xml:space="preserve">водоснабжение  (</w:t>
            </w:r>
            <w:r>
              <w:rPr>
                <w:color w:val="000000"/>
                <w:sz w:val="20"/>
                <w:szCs w:val="20"/>
              </w:rPr>
              <w:t xml:space="preserve">ОДН)**</w:t>
            </w:r>
            <w:r>
              <w:rPr>
                <w:color w:val="000000"/>
              </w:rPr>
            </w:r>
          </w:p>
        </w:tc>
        <w:tc>
          <w:tcPr>
            <w:shd w:val="clear" w:color="ffffff" w:fill="deeaf6" w:themeFill="accent1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м3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0,50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74,39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37,19</w:t>
            </w:r>
            <w:r>
              <w:rPr>
                <w:color w:val="000000"/>
              </w:rPr>
            </w:r>
          </w:p>
        </w:tc>
      </w:tr>
      <w:tr>
        <w:tblPrEx/>
        <w:trPr>
          <w:trHeight w:val="174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9,00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74,39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669,47</w:t>
            </w:r>
            <w:r/>
          </w:p>
        </w:tc>
      </w:tr>
      <w:tr>
        <w:tblPrEx/>
        <w:trPr>
          <w:trHeight w:val="218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Электроснабжение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кВтч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3,78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1 134,36</w:t>
            </w:r>
            <w:r/>
          </w:p>
        </w:tc>
      </w:tr>
      <w:tr>
        <w:tblPrEx/>
        <w:trPr>
          <w:trHeight w:val="261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Газоснабжение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20,68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7,94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164,15</w:t>
            </w:r>
            <w:r/>
          </w:p>
        </w:tc>
      </w:tr>
      <w:tr>
        <w:tblPrEx/>
        <w:trPr>
          <w:trHeight w:val="273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r>
              <w:rPr>
                <w:b/>
                <w:sz w:val="20"/>
                <w:szCs w:val="20"/>
              </w:rPr>
              <w:t xml:space="preserve">т.ч</w:t>
            </w:r>
            <w:r>
              <w:rPr>
                <w:b/>
                <w:sz w:val="20"/>
                <w:szCs w:val="20"/>
              </w:rPr>
              <w:t xml:space="preserve">.: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</w:rPr>
            </w:r>
          </w:p>
        </w:tc>
      </w:tr>
      <w:tr>
        <w:tblPrEx/>
        <w:trPr>
          <w:trHeight w:val="259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тепловая энергия на подогрев ХВС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Гкал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0,354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2 075,56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734,75</w:t>
            </w:r>
            <w:r>
              <w:rPr>
                <w:color w:val="ff0000"/>
              </w:rPr>
            </w:r>
          </w:p>
        </w:tc>
      </w:tr>
      <w:tr>
        <w:tblPrEx/>
        <w:trPr>
          <w:trHeight w:val="300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холодная вода для ГВС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3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74,39</w:t>
            </w:r>
            <w:r>
              <w:rPr>
                <w:color w:val="ff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223,16</w:t>
            </w:r>
            <w:r>
              <w:rPr>
                <w:color w:val="ff0000"/>
              </w:rPr>
            </w:r>
          </w:p>
        </w:tc>
      </w:tr>
      <w:tr>
        <w:tblPrEx/>
        <w:trPr>
          <w:trHeight w:val="260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Водоотведение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86,81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1 041,77</w:t>
            </w:r>
            <w:r/>
          </w:p>
        </w:tc>
      </w:tr>
      <w:tr>
        <w:tblPrEx/>
        <w:trPr>
          <w:trHeight w:val="300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Отопление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Гкал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1,377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2 075,56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2 858,05</w:t>
            </w:r>
            <w:r/>
          </w:p>
        </w:tc>
      </w:tr>
      <w:tr>
        <w:tblPrEx/>
        <w:trPr>
          <w:trHeight w:val="271"/>
        </w:trPr>
        <w:tc>
          <w:tcPr>
            <w:shd w:val="clear" w:color="ffffff" w:fill="d9e2f3" w:themeFill="accent5" w:themeFillTint="33"/>
            <w:tcW w:w="346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Обращение с ТКО</w:t>
            </w:r>
            <w:r>
              <w:rPr>
                <w:bCs/>
              </w:rPr>
            </w:r>
          </w:p>
        </w:tc>
        <w:tc>
          <w:tcPr>
            <w:shd w:val="clear" w:color="ffffff" w:fill="d9e2f3" w:themeFill="accent5" w:themeFillTint="33"/>
            <w:tcW w:w="8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0,399</w:t>
            </w:r>
            <w:r/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912,08</w:t>
            </w:r>
            <w:r>
              <w:rPr>
                <w:color w:val="000000"/>
              </w:rPr>
            </w:r>
          </w:p>
        </w:tc>
        <w:tc>
          <w:tcPr>
            <w:shd w:val="clear" w:color="000000" w:fill="dce6f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363,92</w:t>
            </w:r>
            <w:r/>
          </w:p>
        </w:tc>
      </w:tr>
      <w:tr>
        <w:tblPrEx/>
        <w:trPr>
          <w:trHeight w:val="251"/>
        </w:trPr>
        <w:tc>
          <w:tcPr>
            <w:shd w:val="clear" w:color="ffffff" w:fill="ffffff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Домофон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78,70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78,70</w:t>
            </w:r>
            <w:r>
              <w:rPr>
                <w:color w:val="000000"/>
              </w:rPr>
            </w:r>
          </w:p>
        </w:tc>
      </w:tr>
      <w:tr>
        <w:tblPrEx/>
        <w:trPr>
          <w:trHeight w:val="273"/>
        </w:trPr>
        <w:tc>
          <w:tcPr>
            <w:shd w:val="clear" w:color="ffffff" w:fill="ffffff"/>
            <w:tcW w:w="346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расходы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</w:rPr>
            </w:r>
          </w:p>
        </w:tc>
      </w:tr>
      <w:tr>
        <w:tblPrEx/>
        <w:trPr>
          <w:trHeight w:val="273"/>
        </w:trPr>
        <w:tc>
          <w:tcPr>
            <w:shd w:val="clear" w:color="ffffff" w:fill="ffffff"/>
            <w:tcW w:w="3460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W w:w="84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10 240,16</w:t>
            </w:r>
            <w:r>
              <w:rPr>
                <w:color w:val="000000"/>
              </w:rPr>
            </w:r>
          </w:p>
        </w:tc>
      </w:tr>
    </w:tbl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rPr>
          <w:sz w:val="18"/>
          <w:szCs w:val="18"/>
        </w:rPr>
      </w:pPr>
      <w:r>
        <w:rPr>
          <w:sz w:val="18"/>
          <w:szCs w:val="16"/>
        </w:rPr>
        <w:t xml:space="preserve">* Расчет производится при неизменном наборе и объеме коммунальных услуг</w:t>
      </w:r>
      <w:r>
        <w:rPr>
          <w:sz w:val="18"/>
          <w:szCs w:val="18"/>
        </w:rPr>
      </w:r>
    </w:p>
    <w:p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 xml:space="preserve">**При наличии прямых договоров с </w:t>
      </w:r>
      <w:r>
        <w:rPr>
          <w:sz w:val="18"/>
          <w:szCs w:val="16"/>
        </w:rPr>
        <w:t xml:space="preserve">ресурсоснабжающей</w:t>
      </w:r>
      <w:r>
        <w:rPr>
          <w:sz w:val="18"/>
          <w:szCs w:val="16"/>
        </w:rPr>
        <w:t xml:space="preserve"> организацией, услуга относится к коммунальной услуге</w:t>
      </w:r>
      <w:r>
        <w:rPr>
          <w:rFonts w:eastAsia="Calibri"/>
          <w:b/>
          <w:bCs/>
          <w:sz w:val="18"/>
          <w:szCs w:val="18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r>
        <w:rPr>
          <w:color w:val="ff0000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9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Индекс роста платы граждан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  <w:r/>
                          </w:p>
                          <w:p>
                            <w:pPr>
                              <w:jc w:val="center"/>
                              <w:spacing w:line="276" w:lineRule="auto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 xml:space="preserve"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 xml:space="preserve">х 100% - 100% = 9,6 %</w:t>
                            </w:r>
                            <w:r>
                              <w:rPr>
                                <w:rFonts w:eastAsia="Calibri"/>
                                <w:bCs/>
                                <w:color w:val="00206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type="#_x0000_t1" style="position:absolute;z-index:251661312;o:allowoverlap:true;o:allowincell:true;mso-position-horizontal-relative:margin;mso-position-horizontal:right;mso-position-vertical-relative:text;margin-top:1.09pt;mso-position-vertical:absolute;width:449.41pt;height:51.56pt;mso-wrap-distance-left:9.00pt;mso-wrap-distance-top:0.00pt;mso-wrap-distance-right:9.00pt;mso-wrap-distance-bottom:0.00pt;v-text-anchor:top;visibility:visible;" fillcolor="#F2DBDB" strokecolor="#622423" strokeweight="1.00pt">
                <v:stroke dashstyle="longdash"/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Индекс роста платы граждан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  <w:r/>
                    </w:p>
                    <w:p>
                      <w:pPr>
                        <w:jc w:val="center"/>
                        <w:spacing w:line="276" w:lineRule="auto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7 306,65</w:t>
                      </w:r>
                      <w:r>
                        <w:rPr>
                          <w:b/>
                          <w:color w:val="632423"/>
                        </w:rPr>
                        <w:t xml:space="preserve"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 xml:space="preserve">х 100% - 100% = 9,6 %</w:t>
                      </w:r>
                      <w:r>
                        <w:rPr>
                          <w:rFonts w:eastAsia="Calibri"/>
                          <w:bCs/>
                          <w:color w:val="00206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ind w:firstLine="567"/>
        <w:jc w:val="both"/>
        <w:spacing w:line="276" w:lineRule="auto"/>
        <w:tabs>
          <w:tab w:val="left" w:pos="8931" w:leader="none"/>
        </w:tabs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</w:t>
      </w:r>
      <w:r>
        <w:rPr>
          <w:rFonts w:eastAsia="Calibri"/>
        </w:rPr>
        <w:t xml:space="preserve">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В структуру платежного документа помимо комм</w:t>
      </w:r>
      <w:r>
        <w:rPr>
          <w:rFonts w:eastAsia="Calibri"/>
        </w:rPr>
        <w:t xml:space="preserve">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</w:t>
      </w:r>
      <w:r>
        <w:rPr>
          <w:rFonts w:eastAsia="Calibri"/>
        </w:rPr>
        <w:t xml:space="preserve">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</w:t>
      </w:r>
      <w:r>
        <w:rPr>
          <w:rFonts w:eastAsia="Calibri"/>
        </w:rPr>
        <w:t xml:space="preserve">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Контроль за</w:t>
      </w:r>
      <w:r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tooltip="http://www.jsn.admhmao.ru" w:history="1">
        <w:r>
          <w:rPr>
            <w:rStyle w:val="621"/>
            <w:rFonts w:eastAsia="Calibri"/>
          </w:rPr>
          <w:t xml:space="preserve">www.jsn.admhmao.ru</w:t>
        </w:r>
      </w:hyperlink>
      <w:r>
        <w:rPr>
          <w:rFonts w:eastAsia="Calibri"/>
        </w:rPr>
        <w:t xml:space="preserve">.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</w:t>
      </w:r>
      <w:r>
        <w:rPr>
          <w:rFonts w:eastAsia="Calibri"/>
        </w:rPr>
        <w:t xml:space="preserve">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r>
        <w:rPr>
          <w:rFonts w:eastAsia="Calibri"/>
        </w:rPr>
        <w:t xml:space="preserve">/«</w:t>
      </w:r>
      <w:r>
        <w:rPr>
          <w:rFonts w:eastAsia="Calibri"/>
        </w:rPr>
        <w:t xml:space="preserve">Водоснабжение и водоотведение»/ «Обращение с твердыми коммунальными отходами».</w:t>
      </w:r>
      <w:r>
        <w:rPr>
          <w:rFonts w:eastAsia="Calibri"/>
        </w:rPr>
      </w:r>
    </w:p>
    <w:p>
      <w:pPr>
        <w:ind w:right="-111" w:firstLine="567"/>
        <w:jc w:val="both"/>
        <w:spacing w:line="276" w:lineRule="auto"/>
      </w:pPr>
      <w:r>
        <w:rPr>
          <w:rFonts w:eastAsia="Calibri"/>
        </w:rPr>
        <w:t xml:space="preserve">Установление нор</w:t>
      </w:r>
      <w:r>
        <w:rPr>
          <w:rFonts w:eastAsia="Calibri"/>
        </w:rPr>
        <w:t xml:space="preserve">мативов потребления на холодную,</w:t>
      </w:r>
      <w:r>
        <w:rPr>
          <w:rFonts w:eastAsia="Calibri"/>
        </w:rPr>
        <w:t xml:space="preserve"> горячую воду, </w:t>
      </w:r>
      <w:r>
        <w:rPr>
          <w:rFonts w:eastAsia="Calibri"/>
        </w:rPr>
        <w:t xml:space="preserve">в</w:t>
      </w:r>
      <w:r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</w:t>
      </w:r>
      <w:r>
        <w:rPr>
          <w:rFonts w:eastAsia="Calibri"/>
        </w:rPr>
        <w:t xml:space="preserve">осуществляет  </w:t>
      </w:r>
      <w:r>
        <w:t xml:space="preserve">Департамент</w:t>
      </w:r>
      <w:r>
        <w:t xml:space="preserve"> строительства и жилищно-коммунального комплекса</w:t>
      </w:r>
      <w:r>
        <w:t xml:space="preserve"> </w:t>
      </w:r>
      <w:r>
        <w:t xml:space="preserve">Ханты-Мансийского автономного округа – Югры</w:t>
      </w:r>
      <w:r>
        <w:rPr>
          <w:rFonts w:eastAsia="Calibri"/>
        </w:rPr>
        <w:t xml:space="preserve">, сайт:</w:t>
      </w:r>
      <w:hyperlink r:id="rId17" w:tooltip="https://ds.admhmao.ru/deyatelnost/" w:history="1">
        <w:r>
          <w:t xml:space="preserve"> </w:t>
        </w:r>
        <w:r>
          <w:rPr>
            <w:rStyle w:val="625"/>
          </w:rPr>
          <w:t xml:space="preserve">https://ds.admhmao.ru/de</w:t>
        </w:r>
        <w:bookmarkStart w:id="22" w:name="undefined"/>
        <w:r>
          <w:rPr>
            <w:rStyle w:val="625"/>
          </w:rPr>
          <w:t xml:space="preserve">y</w:t>
        </w:r>
        <w:bookmarkEnd w:id="22"/>
        <w:r>
          <w:rPr>
            <w:rStyle w:val="625"/>
          </w:rPr>
          <w:t xml:space="preserve">atelnost/</w:t>
        </w:r>
      </w:hyperlink>
      <w:r>
        <w:rPr>
          <w:rFonts w:eastAsia="Calibri"/>
        </w:rPr>
        <w:t xml:space="preserve">.</w:t>
      </w:r>
      <w:r/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tooltip="https://depprom.admhmao.ru/" w:history="1">
        <w:r>
          <w:rPr>
            <w:rStyle w:val="621"/>
            <w:rFonts w:eastAsia="Calibri"/>
          </w:rPr>
          <w:t xml:space="preserve">https://depprom.admhmao.ru/</w:t>
        </w:r>
      </w:hyperlink>
      <w:r>
        <w:rPr>
          <w:rFonts w:eastAsia="Calibri"/>
        </w:rPr>
        <w:t xml:space="preserve">. </w:t>
      </w:r>
      <w:r>
        <w:rPr>
          <w:rFonts w:eastAsia="Calibri"/>
        </w:rPr>
      </w:r>
    </w:p>
    <w:p>
      <w:pPr>
        <w:ind w:firstLine="567"/>
        <w:jc w:val="both"/>
        <w:spacing w:line="276" w:lineRule="auto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9" w:tooltip="https://rst.admhmao.ru/dlya-grazhdan/informatsiya-o-realizatsii-obshchestvennogo-i-gosudarstvennogo-kontrolya-za-rostom-platy-za-kommunal/8409335/2023-god/" w:history="1">
        <w:r>
          <w:rPr>
            <w:rStyle w:val="621"/>
            <w:rFonts w:eastAsia="Calibri"/>
          </w:rPr>
          <w:t xml:space="preserve"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 xml:space="preserve">.</w:t>
      </w:r>
      <w:r>
        <w:rPr>
          <w:rFonts w:eastAsia="Calibri"/>
        </w:rPr>
      </w:r>
    </w:p>
    <w:p>
      <w:pPr>
        <w:ind w:firstLine="567"/>
        <w:jc w:val="both"/>
        <w:spacing w:line="276" w:lineRule="auto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623"/>
        </w:rPr>
        <w:t xml:space="preserve"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20" w:tooltip="https://rst.admhmao.ru/dlya-grazhdan/informatsiya-o-realizatsii-obshchestvennogo-i-gosudarstvennogo-kontrolya-za-rostom-platy-za-kommunal/4369462/2020)." w:history="1">
        <w:r>
          <w:rPr>
            <w:rStyle w:val="621"/>
            <w:rFonts w:eastAsia="Calibri"/>
          </w:rPr>
          <w:t xml:space="preserve">https://rst.admhmao.ru/dlya-grazhdan/</w:t>
        </w:r>
        <w:r>
          <w:rPr>
            <w:rStyle w:val="621"/>
            <w:rFonts w:eastAsia="Calibri"/>
            <w:color w:val="000000" w:themeColor="text1"/>
          </w:rPr>
          <w:t xml:space="preserve">).</w:t>
        </w:r>
      </w:hyperlink>
      <w:r/>
      <w:r/>
    </w:p>
    <w:p>
      <w:pPr>
        <w:ind w:firstLine="567"/>
        <w:spacing w:line="276" w:lineRule="auto"/>
        <w:rPr>
          <w:rStyle w:val="623"/>
          <w:b/>
        </w:rPr>
      </w:pPr>
      <w:r>
        <w:rPr>
          <w:b/>
        </w:rPr>
      </w:r>
      <w:r>
        <w:rPr>
          <w:rStyle w:val="623"/>
          <w:b/>
        </w:rPr>
      </w:r>
    </w:p>
    <w:sectPr>
      <w:footnotePr/>
      <w:endnotePr/>
      <w:type w:val="nextPage"/>
      <w:pgSz w:w="11906" w:h="16838" w:orient="portrait"/>
      <w:pgMar w:top="1276" w:right="1558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rPr>
      <w:color w:val="0000ff"/>
      <w:u w:val="single"/>
    </w:rPr>
  </w:style>
  <w:style w:type="paragraph" w:styleId="622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3" w:customStyle="1">
    <w:name w:val="title_razdel"/>
  </w:style>
  <w:style w:type="character" w:styleId="624">
    <w:name w:val="Emphasis"/>
    <w:uiPriority w:val="20"/>
    <w:qFormat/>
    <w:rPr>
      <w:i/>
      <w:iCs/>
    </w:rPr>
  </w:style>
  <w:style w:type="character" w:styleId="625" w:customStyle="1">
    <w:name w:val="Гиперссылка1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bptr.eias.admhmao.ru/?reg=RU.5.86" TargetMode="External"/><Relationship Id="rId9" Type="http://schemas.openxmlformats.org/officeDocument/2006/relationships/hyperlink" Target="https://rst.admhmao.ru/dokumenty/" TargetMode="External"/><Relationship Id="rId10" Type="http://schemas.openxmlformats.org/officeDocument/2006/relationships/hyperlink" Target="https://rst.admhmao.ru/dokumenty/" TargetMode="External"/><Relationship Id="rId11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://www.depsr.admhmao.ru/" TargetMode="External"/><Relationship Id="rId13" Type="http://schemas.openxmlformats.org/officeDocument/2006/relationships/hyperlink" Target="https://depsr.admhmao.ru/kontakty/" TargetMode="External"/><Relationship Id="rId14" Type="http://schemas.openxmlformats.org/officeDocument/2006/relationships/hyperlink" Target="http://eias.fas.gov.ru/calc_ku/map/" TargetMode="External"/><Relationship Id="rId15" Type="http://schemas.openxmlformats.org/officeDocument/2006/relationships/hyperlink" Target="https://admhmao.ru/dokumenty/pravovye-akty-gubernatora/postanovleniya/9559393/" TargetMode="External"/><Relationship Id="rId16" Type="http://schemas.openxmlformats.org/officeDocument/2006/relationships/hyperlink" Target="http://www.jsn.admhmao.ru" TargetMode="External"/><Relationship Id="rId17" Type="http://schemas.openxmlformats.org/officeDocument/2006/relationships/hyperlink" Target="https://ds.admhmao.ru/deyatelnost/" TargetMode="External"/><Relationship Id="rId18" Type="http://schemas.openxmlformats.org/officeDocument/2006/relationships/hyperlink" Target="https://depprom.admhmao.ru/" TargetMode="External"/><Relationship Id="rId19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Богославский Денис Александрович</dc:creator>
  <cp:keywords/>
  <dc:description/>
  <cp:revision>4</cp:revision>
  <dcterms:created xsi:type="dcterms:W3CDTF">2024-06-25T09:50:00Z</dcterms:created>
  <dcterms:modified xsi:type="dcterms:W3CDTF">2024-06-26T04:11:07Z</dcterms:modified>
</cp:coreProperties>
</file>