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Постановление Правительства РФ от 03.04.2013 N 290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29.06.2020)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1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2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01.12.2022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54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54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ПРАВИТЕЛЬСТВО РОССИЙСКОЙ ФЕДЕРАЦИИ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ПОСТАНОВЛЕНИЕ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3 апреля 2013 г. N 290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 МИНИМАЛЬНОМ ПЕРЕЧНЕ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УСЛУГ И РАБОТ, НЕОБХОДИМЫХ ДЛЯ ОБЕСПЕЧЕНИЯ НАДЛЕЖАЩЕГО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СОДЕРЖАНИЯ ОБЩЕГО ИМУЩЕСТВА В МНОГОКВАРТИРНОМ ДОМЕ,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ПОРЯДКЕ ИХ ОКАЗАНИЯ И ВЫПОЛНЕНИЯ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РФ от 09.07.2016 </w:t>
            </w:r>
            <w:hyperlink r:id="rId1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649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27.02.2017 </w:t>
            </w:r>
            <w:hyperlink r:id="rId1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232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27.03.2018 </w:t>
            </w:r>
            <w:hyperlink r:id="rId1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331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15.12.2018 </w:t>
            </w:r>
            <w:hyperlink r:id="rId1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1572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29.06.2020 </w:t>
            </w:r>
            <w:hyperlink r:id="rId1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950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</w:t>
      </w:r>
      <w:hyperlink r:id="rId1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1.2 статьи 161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Утвердить прилагаемые: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минимальный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изменения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которые вносятся в акты Правительства Российской Федерации по вопросам содержания общего имущества в многоквартирном доме.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Установить, что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Председатель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Д.МЕДВЕДЕВ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постановлением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3 апреля 2013 г. N 290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35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МИНИМАЛЬНЫЙ ПЕРЕЧЕНЬ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УСЛУГ И РАБОТ, НЕОБХОДИМЫХ ДЛЯ ОБЕСПЕЧЕНИЯ НАДЛЕЖАЩЕГО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СОДЕРЖАНИЯ ОБЩЕГО ИМУЩЕСТВА В МНОГОКВАРТИРНОМ ДОМЕ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РФ от 09.07.2016 </w:t>
            </w:r>
            <w:hyperlink r:id="rId1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649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27.02.2017 </w:t>
            </w:r>
            <w:hyperlink r:id="rId2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232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15.12.2018 </w:t>
            </w:r>
            <w:hyperlink r:id="rId2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1572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29.06.2020 </w:t>
            </w:r>
            <w:hyperlink r:id="rId2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950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bookmarkStart w:id="2" w:name="Par42"/>
      <w:bookmarkEnd w:id="2"/>
      <w:r>
        <w:rPr>
          <w:rFonts w:ascii="Arial" w:hAnsi="Arial" w:eastAsia="Arial" w:cs="Arial"/>
          <w:b/>
          <w:i w:val="0"/>
          <w:strike w:val="0"/>
          <w:sz w:val="24"/>
        </w:rPr>
        <w:t xml:space="preserve">I. Работы, необходимые для надлежащего содержания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несущих конструкций (фундаментов, стен, колонн и столбов,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перекрытий и покрытий, балок, ригелей, лестниц, несущих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элементов крыш) и ненесущих конструкций (перегородок,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внутренней отделки, полов) многоквартирных домов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Работы, выполняемые в отношении всех видов фундаментов: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технического состояния видимых частей конструкций с выявлением: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признаков неравномерных осадок фундаментов всех типов;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поражения гнилью и частичного разрушения деревянного основания в домах со столбчатыми или свайными деревянными фундаментами;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определение и документальное фиксирование температуры вечномерзлых грунтов для фундаментов в условиях вечномерзлых грунтов.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Работы, выполняемые в зданиях с подвалами: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температурно-влажностного режима подвальных помещений и при выявлении нарушений устранение причин его нарушения;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за состоянием дверей подвалов и технических подполий, запорных устройств на них. Устранение выявленных неисправностей.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Работы, выполняемые для надлежащего содержания стен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Работы, выполняемые в целях надлежащего содержания перекрытий и покрытий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состояния утеплителя, гидроизоляции и звукоизоляции, адгезии отделочных слоев к конструкциям перекрытия (покрытия);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Работы, выполняемые в целях надлежащего содержания колонн и столбов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металлических закладных деталей в домах со сборными и монолитными железобетонными колоннами;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Работы, выполняемые в целях надлежащего содержания балок (ригелей) перекрытий и покрытий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Работы, выполняемые в целях надлежащего содержания крыш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кровли на отсутствие протечек;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молниезащитных устройств, заземления мачт и другого оборудования, расположенного на крыше;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температурно-влажностного режима и воздухообмена на чердаке;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оборудования или устройств, предотвращающих образование наледи и сосулек;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 при необходимости очистка кровли от скопления снега и наледи;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Работы, выполняемые в целях надлежащего содержания лестниц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деформации и повреждений в несущих конструкциях, надежности крепления ограждений, выбоин и сколов в ступенях;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 Работы, выполняемые в целях надлежащего содержания фасадов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работоспособности подсветки информационных знаков, входов в подъезды (домовые знаки и т.д.);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10. Работы, выполняемые в целях надлежащего содержания перегородок в многоквартирных домах: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звукоизоляции и огнезащиты;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12. Работы, выполняемые в целях надлежащего содержания полов помещений, относящихся к общему имуществу в многоквартирном доме: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состояния основания, поверхностного слоя и работоспособности системы вентиляции (для деревянных полов);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54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54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КонсультантПлюс: примечание.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Постановлением Правительства РФ от 14.05.2013 N 410 утвержден минимальный </w:t>
            </w:r>
            <w:hyperlink r:id="rId2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перечень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2"/>
        <w:spacing w:before="30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bookmarkStart w:id="3" w:name="Par132"/>
      <w:bookmarkEnd w:id="3"/>
      <w:r>
        <w:rPr>
          <w:rFonts w:ascii="Arial" w:hAnsi="Arial" w:eastAsia="Arial" w:cs="Arial"/>
          <w:b/>
          <w:i w:val="0"/>
          <w:strike w:val="0"/>
          <w:sz w:val="24"/>
        </w:rPr>
        <w:t xml:space="preserve">II. Работы, необходимые для надлежащего содержания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оборудования и систем инженерно-технического обеспечения,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входящих в состав общего имущества в многоквартирном доме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14. Работы, выполняемые в целях надлежащего содержания мусоропроводов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технического состояния и работоспособности элементов мусоропровода;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засоров - незамедлительное их устранение;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чистка, промывка и дезинфекция загрузочных клапанов стволов мусоропроводов, мусоросборной камеры и ее оборудования;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15. Работы, выполняемые в целях надлежащего содержания систем вентиляции и дымоудаления многоквартирных домов: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состояния, выявление и устранение причин недопустимых вибраций и шума при работе вентиляционной установки;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утепления теплых чердаков, плотности закрытия входов на них;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исправности, техническое обслуживание и ремонт оборудования системы холодоснабжения;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и обеспечение исправного состояния систем автоматического дымоудаления;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сезонное открытие и закрытие калорифера со стороны подвода воздуха;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восстановление антикоррозионной окраски металлических вытяжных каналов, труб, поддонов и дефлекторов;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16. Работы, выполняемые в целях надлежащего содержания печей, каминов и очагов в многоквартирных домах: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определение целостности конструкций и проверка работоспособности дымоходов печей, каминов и очагов;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очистка от сажи дымоходов и труб печей;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устранение завалов в дымовых каналах.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17. Работы, выполняемые в целях надлежащего содержания индивидуальных тепловых пунктов и водоподкачек в многоквартирных домах: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гидравлические и тепловые испытания оборудования индивидуальных тепловых пунктов и водоподкачек;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работы по очистке теплообменного оборудования для удаления накипно-коррозионных отложений;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замена неисправных контрольно-измерительных приборов (манометров, термометров и т.п.);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промывка участков водопровода после выполнения ремонтно-строительных работ на водопроводе;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очистка и промывка водонапорных баков;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 обеспечение работоспособности местных локальных очистных сооружений (септики) и дворовых туалетов;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промывка систем водоснабжения для удаления накипно-коррозионных отложений.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проведение пробных пусконаладочных работ (пробные топки);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удаление воздуха из системы отопления;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промывка централизованных систем теплоснабжения для удаления накипно-коррозионных отложений.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проверка и обеспечение работоспособности устройств защитного отключения;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контроль состояния и замена вышедших из строя датчиков, проводки и оборудования пожарной и охранной сигнализации;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(абзац введен </w:t>
      </w:r>
      <w:hyperlink r:id="rId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29.06.2020 N 950)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21. Работы, выполняемые в целях надлежащего содержания систем внутридомового газового оборудования в многоквартирном доме: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организация проверки состояния системы внутридомового газового оборудования и ее отдельных элементов;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организация технического обслуживания и ремонта систем контроля загазованности помещений;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22. Работы, выполняемые в целях надлежащего содержания и ремонта лифта (лифтов) в многоквартирном доме: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организация системы диспетчерского контроля и обеспечение диспетчерской связи с кабиной лифта;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обеспечение проведения осмотров, технического обслуживания и ремонт лифта (лифтов);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обеспечение проведения аварийного обслуживания лифта (лифтов);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обеспечение проведения технического освидетельствования лифта (лифтов), в том числе после замены элементов оборудования.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1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III. Работы и услуги по содержанию иного общего имущества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многоквартирном доме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23. Работы по содержанию помещений, входящих в состав общего имущества в многоквартирном доме: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мытье окон;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очистка систем защиты от грязи (металлических решеток, ячеистых покрытий, приямков, текстильных матов);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очистка крышек люков колодцев и пожарных гидрантов от снега и льда толщиной слоя свыше 5 см;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сдвигание свежевыпавшего снега и очистка придомовой территории от снега и льда при наличии колейности свыше 5 см;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очистка придомовой территории от снега наносного происхождения (или подметание такой территории, свободной от снежного покрова);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очистка придомовой территории от наледи и льда;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очистка от мусора урн, установленных возле подъездов, и их промывка;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15.12.2018 N 1572)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уборка крыльца и площадки перед входом в подъезд.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25. Работы по содержанию придомовой территории в теплый период года: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подметание и уборка придомовой территории;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очистка от мусора и промывка урн, установленных возле подъездов;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15.12.2018 N 1572)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уборка и выкашивание газонов;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прочистка ливневой канализации;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уборка крыльца и площадки перед входом в подъезд, очистка металлической решетки и приямка.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26. Работы по обеспечению вывоза, в том числе откачке, жидких бытовых отходов: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вывоз жидких бытовых отходов из дворовых туалетов, находящихся на придомовой территории;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вывоз бытовых сточных вод из септиков, находящихся на придомовой территории.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26 в ред.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27.02.2017 N 232)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26(1) в ред. </w:t>
      </w:r>
      <w:hyperlink r:id="rId2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15.12.2018 N 1572)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26(2) введен </w:t>
      </w:r>
      <w:hyperlink r:id="rId3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15.12.2018 N 1572)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29 введен </w:t>
      </w:r>
      <w:hyperlink r:id="rId3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09.07.2016 N 649)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30. Работы и услуги, предусмотренные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разделами I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и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II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(п. 30 введен </w:t>
      </w:r>
      <w:hyperlink r:id="rId3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09.07.2016 N 649)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постановлением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3 апреля 2013 г. N 290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4" w:name="Par246"/>
      <w:bookmarkEnd w:id="4"/>
      <w:r>
        <w:rPr>
          <w:rFonts w:ascii="Arial" w:hAnsi="Arial" w:eastAsia="Arial" w:cs="Arial"/>
          <w:b/>
          <w:i w:val="0"/>
          <w:strike w:val="0"/>
          <w:sz w:val="24"/>
        </w:rPr>
        <w:t xml:space="preserve">ПРАВИЛА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ОКАЗАНИЯ УСЛУГ И ВЫПОЛНЕНИЯ РАБОТ, НЕОБХОДИМЫХ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ДЛЯ ОБЕСПЕЧЕНИЯ НАДЛЕЖАЩЕГО СОДЕРЖАНИЯ ОБЩЕГО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ИМУЩЕСТВА В МНОГОКВАРТИРНОМ ДОМЕ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Постановлений Правительства РФ от 09.07.2016 </w:t>
            </w:r>
            <w:hyperlink r:id="rId3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649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27.03.2018 </w:t>
            </w:r>
            <w:hyperlink r:id="rId3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331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5" w:name="Par255"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Перечень услуг и работ из числа включенных в минимальный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3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1.1 статьи 164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д) в решении застройщика - в случае, предусмотренном </w:t>
      </w:r>
      <w:hyperlink r:id="rId3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частью 14 статьи 161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Перечень услуг и работ в отношении каждого многоквартирного дома определяется с учетом: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09.07.2016 N 649)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г) геодезических и природно-климатических условий расположения многоквартирного дома.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настоящих Правил, но без изменения цели и результата оказания таких услуг и выполнения таких работ.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обеспечить работу аварийно-диспетчерской службы;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27.03.2018 N 331)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д) организовывать работу по начислению и сбору платы за содержание и ремонт жилых помещений;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е) организовать работу по взысканию задолженности по оплате жилых помещений;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3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РФ от 27.03.2018 N 331)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4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форме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Утверждены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постановлением Правительства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3 апреля 2013 г. N 290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6" w:name="Par292"/>
      <w:bookmarkEnd w:id="6"/>
      <w:r>
        <w:rPr>
          <w:rFonts w:ascii="Arial" w:hAnsi="Arial" w:eastAsia="Arial" w:cs="Arial"/>
          <w:b/>
          <w:i w:val="0"/>
          <w:strike w:val="0"/>
          <w:sz w:val="24"/>
        </w:rPr>
        <w:t xml:space="preserve">ИЗМЕНЕНИЯ,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КОТОРЫЕ ВНОСЯТСЯ В АКТЫ ПРАВИТЕЛЬСТВА РОССИЙСКОЙ ФЕДЕРАЦИИ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 ВОПРОСАМ СОДЕРЖАНИЯ ОБЩЕГО ИМУЩЕСТВА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МНОГОКВАРТИРНОМ ДОМЕ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В </w:t>
      </w:r>
      <w:hyperlink r:id="rId4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Правилах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а) в </w:t>
      </w:r>
      <w:hyperlink r:id="rId4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пункте 41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 r:id="rId4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 4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hyperlink r:id="rId4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подпункт 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признать утратившим силу;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б) </w:t>
      </w:r>
      <w:hyperlink r:id="rId4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приложение N 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указанным Правилам изложить в следующей редакции: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"Приложение N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Правилам проведения органом местного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самоуправления открытого конкурса по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отбору управляющей организации для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управления многоквартирным домом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редакции постановления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Правительства Российской Федерации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3 апреля 2013 г. N 290)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Утверждаю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(должность, ф.и.о. руководителя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органа местного самоуправления,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являющегося организатором конкурса,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почтовый индекс и адрес, телефон,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_______________________________________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факс, адрес электронной почты)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"__" __________________________ 20__ г.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(дата утверждения)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ПЕРЕЧЕНЬ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обязательных работ и услуг по содержанию и ремонту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общего имущества собственников помещений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в многоквартирном доме, являющегося</w:t>
      </w:r>
    </w:p>
    <w:p>
      <w:pPr>
        <w:pStyle w:val="Style_1"/>
        <w:spacing w:before="0" w:after="0" w:line="240" w:lineRule="auto"/>
        <w:ind w:left="0" w:firstLine="0"/>
        <w:jc w:val="both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объектом конкурса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2330"/>
        <w:gridCol w:w="2340"/>
        <w:gridCol w:w="1701"/>
        <w:gridCol w:w="2557"/>
      </w:tblGrid>
      <w:tr>
        <w:trPr>
          <w:jc w:val="left"/>
        </w:trPr>
        <w:tc>
          <w:tcPr>
            <w:tcW w:w="2330" w:type="dxa"/>
            <w:tcBorders>
              <w:top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работ и услуг</w:t>
            </w:r>
          </w:p>
        </w:tc>
        <w:tc>
          <w:tcPr>
            <w:tcW w:w="234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Периодичность выполнения работ и оказания услуг</w:t>
            </w:r>
          </w:p>
        </w:tc>
        <w:tc>
          <w:tcPr>
            <w:tcW w:w="17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Годовая плата (рублей)</w:t>
            </w:r>
          </w:p>
        </w:tc>
        <w:tc>
          <w:tcPr>
            <w:tcW w:w="2557" w:type="dxa"/>
            <w:tcBorders>
              <w:top w:val="single" w:sz="4"/>
              <w:left w:val="single" w:sz="4"/>
              <w:bottom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Стоимость на 1 кв. метр общей площади (рублей в месяц)</w:t>
            </w:r>
          </w:p>
        </w:tc>
      </w:tr>
      <w:tr>
        <w:trPr>
          <w:jc w:val="left"/>
        </w:trPr>
        <w:tc>
          <w:tcPr>
            <w:tcW w:w="2330" w:type="dxa"/>
            <w:tcBorders>
              <w:top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340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701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557" w:type="dxa"/>
            <w:tcBorders>
              <w:top w:val="single" w:sz="4"/>
              <w:lef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в) </w:t>
      </w:r>
      <w:hyperlink r:id="rId4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приложение N 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к указанным Правилам исключить.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</w:t>
      </w:r>
      <w:hyperlink r:id="rId4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дополнить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пунктом 11(1) следующего содержания: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8"/>
      <w:footerReference w:type="default" r:id="rId9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Постановление Правительства РФ от 03.04.2013 N 290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29.06.2020)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 минимальном перечне услуг и работ, необходимы...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01.12.2022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www.consultant.ru" TargetMode="External"/><Relationship Id="rId12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45421&amp;date=01.12.2022&amp;dst=100140&amp;field=134" TargetMode="External"/><Relationship Id="rId14" Type="http://schemas.openxmlformats.org/officeDocument/2006/relationships/hyperlink" Target="https://login.consultant.ru/link/?req=doc&amp;base=LAW&amp;n=392653&amp;date=01.12.2022&amp;dst=100353&amp;field=134" TargetMode="External"/><Relationship Id="rId15" Type="http://schemas.openxmlformats.org/officeDocument/2006/relationships/hyperlink" Target="https://login.consultant.ru/link/?req=doc&amp;base=LAW&amp;n=359025&amp;date=01.12.2022&amp;dst=100032&amp;field=134" TargetMode="External"/><Relationship Id="rId16" Type="http://schemas.openxmlformats.org/officeDocument/2006/relationships/hyperlink" Target="https://login.consultant.ru/link/?req=doc&amp;base=LAW&amp;n=313828&amp;date=01.12.2022&amp;dst=100028&amp;field=134" TargetMode="External"/><Relationship Id="rId17" Type="http://schemas.openxmlformats.org/officeDocument/2006/relationships/hyperlink" Target="https://login.consultant.ru/link/?req=doc&amp;base=LAW&amp;n=356090&amp;date=01.12.2022&amp;dst=100212&amp;field=134" TargetMode="External"/><Relationship Id="rId18" Type="http://schemas.openxmlformats.org/officeDocument/2006/relationships/hyperlink" Target="https://login.consultant.ru/link/?req=doc&amp;base=LAW&amp;n=431970&amp;date=01.12.2022&amp;dst=101115&amp;field=134" TargetMode="External"/><Relationship Id="rId19" Type="http://schemas.openxmlformats.org/officeDocument/2006/relationships/hyperlink" Target="https://login.consultant.ru/link/?req=doc&amp;base=LAW&amp;n=345421&amp;date=01.12.2022&amp;dst=100141&amp;field=134" TargetMode="External"/><Relationship Id="rId20" Type="http://schemas.openxmlformats.org/officeDocument/2006/relationships/hyperlink" Target="https://login.consultant.ru/link/?req=doc&amp;base=LAW&amp;n=392653&amp;date=01.12.2022&amp;dst=100353&amp;field=134" TargetMode="External"/><Relationship Id="rId21" Type="http://schemas.openxmlformats.org/officeDocument/2006/relationships/hyperlink" Target="https://login.consultant.ru/link/?req=doc&amp;base=LAW&amp;n=313828&amp;date=01.12.2022&amp;dst=100028&amp;field=134" TargetMode="External"/><Relationship Id="rId22" Type="http://schemas.openxmlformats.org/officeDocument/2006/relationships/hyperlink" Target="https://login.consultant.ru/link/?req=doc&amp;base=LAW&amp;n=356090&amp;date=01.12.2022&amp;dst=100212&amp;field=134" TargetMode="External"/><Relationship Id="rId23" Type="http://schemas.openxmlformats.org/officeDocument/2006/relationships/hyperlink" Target="https://login.consultant.ru/link/?req=doc&amp;base=LAW&amp;n=348335&amp;date=01.12.2022&amp;dst=100278&amp;field=134" TargetMode="External"/><Relationship Id="rId24" Type="http://schemas.openxmlformats.org/officeDocument/2006/relationships/hyperlink" Target="https://login.consultant.ru/link/?req=doc&amp;base=LAW&amp;n=356090&amp;date=01.12.2022&amp;dst=100212&amp;field=134" TargetMode="External"/><Relationship Id="rId25" Type="http://schemas.openxmlformats.org/officeDocument/2006/relationships/hyperlink" Target="https://login.consultant.ru/link/?req=doc&amp;base=LAW&amp;n=313828&amp;date=01.12.2022&amp;dst=100029&amp;field=134" TargetMode="External"/><Relationship Id="rId26" Type="http://schemas.openxmlformats.org/officeDocument/2006/relationships/hyperlink" Target="https://login.consultant.ru/link/?req=doc&amp;base=LAW&amp;n=313828&amp;date=01.12.2022&amp;dst=100030&amp;field=134" TargetMode="External"/><Relationship Id="rId27" Type="http://schemas.openxmlformats.org/officeDocument/2006/relationships/hyperlink" Target="https://login.consultant.ru/link/?req=doc&amp;base=LAW&amp;n=392653&amp;date=01.12.2022&amp;dst=100354&amp;field=134" TargetMode="External"/><Relationship Id="rId28" Type="http://schemas.openxmlformats.org/officeDocument/2006/relationships/hyperlink" Target="https://login.consultant.ru/link/?req=doc&amp;base=LAW&amp;n=380283&amp;date=01.12.2022&amp;dst=94&amp;field=134" TargetMode="External"/><Relationship Id="rId29" Type="http://schemas.openxmlformats.org/officeDocument/2006/relationships/hyperlink" Target="https://login.consultant.ru/link/?req=doc&amp;base=LAW&amp;n=313828&amp;date=01.12.2022&amp;dst=100031&amp;field=134" TargetMode="External"/><Relationship Id="rId30" Type="http://schemas.openxmlformats.org/officeDocument/2006/relationships/hyperlink" Target="https://login.consultant.ru/link/?req=doc&amp;base=LAW&amp;n=313828&amp;date=01.12.2022&amp;dst=100034&amp;field=134" TargetMode="External"/><Relationship Id="rId31" Type="http://schemas.openxmlformats.org/officeDocument/2006/relationships/hyperlink" Target="https://login.consultant.ru/link/?req=doc&amp;base=LAW&amp;n=345421&amp;date=01.12.2022&amp;dst=100141&amp;field=134" TargetMode="External"/><Relationship Id="rId32" Type="http://schemas.openxmlformats.org/officeDocument/2006/relationships/hyperlink" Target="https://login.consultant.ru/link/?req=doc&amp;base=LAW&amp;n=345421&amp;date=01.12.2022&amp;dst=100143&amp;field=134" TargetMode="External"/><Relationship Id="rId33" Type="http://schemas.openxmlformats.org/officeDocument/2006/relationships/hyperlink" Target="https://login.consultant.ru/link/?req=doc&amp;base=LAW&amp;n=345421&amp;date=01.12.2022&amp;dst=100144&amp;field=134" TargetMode="External"/><Relationship Id="rId34" Type="http://schemas.openxmlformats.org/officeDocument/2006/relationships/hyperlink" Target="https://login.consultant.ru/link/?req=doc&amp;base=LAW&amp;n=359025&amp;date=01.12.2022&amp;dst=100032&amp;field=134" TargetMode="External"/><Relationship Id="rId35" Type="http://schemas.openxmlformats.org/officeDocument/2006/relationships/hyperlink" Target="https://login.consultant.ru/link/?req=doc&amp;base=LAW&amp;n=431970&amp;date=01.12.2022&amp;dst=101157&amp;field=134" TargetMode="External"/><Relationship Id="rId36" Type="http://schemas.openxmlformats.org/officeDocument/2006/relationships/hyperlink" Target="https://login.consultant.ru/link/?req=doc&amp;base=LAW&amp;n=431970&amp;date=01.12.2022&amp;dst=101123&amp;field=134" TargetMode="External"/><Relationship Id="rId37" Type="http://schemas.openxmlformats.org/officeDocument/2006/relationships/hyperlink" Target="https://login.consultant.ru/link/?req=doc&amp;base=LAW&amp;n=345421&amp;date=01.12.2022&amp;dst=100144&amp;field=134" TargetMode="External"/><Relationship Id="rId38" Type="http://schemas.openxmlformats.org/officeDocument/2006/relationships/hyperlink" Target="https://login.consultant.ru/link/?req=doc&amp;base=LAW&amp;n=359025&amp;date=01.12.2022&amp;dst=100033&amp;field=134" TargetMode="External"/><Relationship Id="rId39" Type="http://schemas.openxmlformats.org/officeDocument/2006/relationships/hyperlink" Target="https://login.consultant.ru/link/?req=doc&amp;base=LAW&amp;n=359025&amp;date=01.12.2022&amp;dst=100034&amp;field=134" TargetMode="External"/><Relationship Id="rId40" Type="http://schemas.openxmlformats.org/officeDocument/2006/relationships/hyperlink" Target="https://login.consultant.ru/link/?req=doc&amp;base=LAW&amp;n=193489&amp;date=01.12.2022&amp;dst=100009&amp;field=134" TargetMode="External"/><Relationship Id="rId41" Type="http://schemas.openxmlformats.org/officeDocument/2006/relationships/hyperlink" Target="https://login.consultant.ru/link/?req=doc&amp;base=LAW&amp;n=135306&amp;date=01.12.2022&amp;dst=100032&amp;field=134" TargetMode="External"/><Relationship Id="rId42" Type="http://schemas.openxmlformats.org/officeDocument/2006/relationships/hyperlink" Target="https://login.consultant.ru/link/?req=doc&amp;base=LAW&amp;n=135306&amp;date=01.12.2022&amp;dst=100119&amp;field=134" TargetMode="External"/><Relationship Id="rId43" Type="http://schemas.openxmlformats.org/officeDocument/2006/relationships/hyperlink" Target="https://login.consultant.ru/link/?req=doc&amp;base=LAW&amp;n=135306&amp;date=01.12.2022&amp;dst=100123&amp;field=134" TargetMode="External"/><Relationship Id="rId44" Type="http://schemas.openxmlformats.org/officeDocument/2006/relationships/hyperlink" Target="https://login.consultant.ru/link/?req=doc&amp;base=LAW&amp;n=135306&amp;date=01.12.2022&amp;dst=100124&amp;field=134" TargetMode="External"/><Relationship Id="rId45" Type="http://schemas.openxmlformats.org/officeDocument/2006/relationships/hyperlink" Target="https://login.consultant.ru/link/?req=doc&amp;base=LAW&amp;n=135306&amp;date=01.12.2022&amp;dst=100273&amp;field=134" TargetMode="External"/><Relationship Id="rId46" Type="http://schemas.openxmlformats.org/officeDocument/2006/relationships/hyperlink" Target="https://login.consultant.ru/link/?req=doc&amp;base=LAW&amp;n=135306&amp;date=01.12.2022&amp;dst=100299&amp;field=134" TargetMode="External"/><Relationship Id="rId47" Type="http://schemas.openxmlformats.org/officeDocument/2006/relationships/hyperlink" Target="https://login.consultant.ru/link/?req=doc&amp;base=LAW&amp;n=114254&amp;date=01.12.2022&amp;dst=100021&amp;field=134" TargetMode="External"/><Relationship Id="rId48" Type="http://schemas.openxmlformats.org/officeDocument/2006/relationships/hyperlink" Target="https://login.consultant.ru/link/?req=doc&amp;base=LAW&amp;n=114254&amp;date=01.12.2022&amp;dst=100021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290(ред. от 29.06.2020)&amp;quot;О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выполнения&amp;quot;(вместе с &amp;quot;Правилами оказания услуг и выполнения работ, необходимых для обеспечения надлежащего содержания общего имущества в многоквартирном доме&amp;quot;)</dc:title>
  <dc:creator/>
  <cp:lastModifiedBy/>
</cp:coreProperties>
</file>